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A1" w:rsidRDefault="00845AA7">
      <w:pPr>
        <w:pStyle w:val="Heading1"/>
        <w:spacing w:before="0" w:line="240" w:lineRule="auto"/>
        <w:jc w:val="right"/>
        <w:rPr>
          <w:rFonts w:ascii="Trebuchet MS" w:eastAsia="Trebuchet MS" w:hAnsi="Trebuchet MS" w:cs="Trebuchet MS"/>
          <w:color w:val="000000"/>
          <w:sz w:val="22"/>
          <w:szCs w:val="22"/>
        </w:rPr>
      </w:pPr>
      <w:bookmarkStart w:id="0" w:name="_GoBack"/>
      <w:bookmarkEnd w:id="0"/>
      <w:r>
        <w:rPr>
          <w:rFonts w:ascii="Trebuchet MS" w:eastAsia="Trebuchet MS" w:hAnsi="Trebuchet MS" w:cs="Trebuchet MS"/>
          <w:color w:val="000000"/>
          <w:sz w:val="22"/>
          <w:szCs w:val="22"/>
        </w:rPr>
        <w:t>Attachment A</w:t>
      </w:r>
    </w:p>
    <w:p w:rsidR="008A6D17" w:rsidRDefault="003E44A1">
      <w:pPr>
        <w:pStyle w:val="Heading1"/>
        <w:spacing w:before="0" w:line="240" w:lineRule="auto"/>
        <w:jc w:val="right"/>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 xml:space="preserve">Superintendent’s </w:t>
      </w:r>
      <w:r w:rsidR="00845AA7">
        <w:rPr>
          <w:rFonts w:ascii="Trebuchet MS" w:eastAsia="Trebuchet MS" w:hAnsi="Trebuchet MS" w:cs="Trebuchet MS"/>
          <w:color w:val="000000"/>
          <w:sz w:val="22"/>
          <w:szCs w:val="22"/>
        </w:rPr>
        <w:t>Memo #</w:t>
      </w:r>
      <w:r>
        <w:rPr>
          <w:rFonts w:ascii="Trebuchet MS" w:eastAsia="Trebuchet MS" w:hAnsi="Trebuchet MS" w:cs="Trebuchet MS"/>
          <w:color w:val="000000"/>
          <w:sz w:val="22"/>
          <w:szCs w:val="22"/>
        </w:rPr>
        <w:t>079-21</w:t>
      </w:r>
    </w:p>
    <w:p w:rsidR="008A6D17" w:rsidRDefault="003E44A1">
      <w:pPr>
        <w:pStyle w:val="Heading1"/>
        <w:spacing w:before="0" w:line="240" w:lineRule="auto"/>
        <w:jc w:val="right"/>
        <w:rPr>
          <w:rFonts w:ascii="Trebuchet MS" w:eastAsia="Trebuchet MS" w:hAnsi="Trebuchet MS" w:cs="Trebuchet MS"/>
          <w:sz w:val="22"/>
          <w:szCs w:val="22"/>
        </w:rPr>
      </w:pPr>
      <w:r>
        <w:rPr>
          <w:rFonts w:ascii="Trebuchet MS" w:eastAsia="Trebuchet MS" w:hAnsi="Trebuchet MS" w:cs="Trebuchet MS"/>
          <w:color w:val="000000"/>
          <w:sz w:val="22"/>
          <w:szCs w:val="22"/>
        </w:rPr>
        <w:t>March 26</w:t>
      </w:r>
      <w:r w:rsidR="00845AA7">
        <w:rPr>
          <w:rFonts w:ascii="Trebuchet MS" w:eastAsia="Trebuchet MS" w:hAnsi="Trebuchet MS" w:cs="Trebuchet MS"/>
          <w:color w:val="000000"/>
          <w:sz w:val="22"/>
          <w:szCs w:val="22"/>
        </w:rPr>
        <w:t>, 2021</w:t>
      </w:r>
    </w:p>
    <w:p w:rsidR="008A6D17" w:rsidRDefault="00845AA7">
      <w:pPr>
        <w:jc w:val="center"/>
      </w:pPr>
      <w:bookmarkStart w:id="1" w:name="_heading=h.gjdgxs" w:colFirst="0" w:colLast="0"/>
      <w:bookmarkEnd w:id="1"/>
      <w:r>
        <w:rPr>
          <w:b/>
          <w:noProof/>
        </w:rPr>
        <w:drawing>
          <wp:inline distT="0" distB="0" distL="0" distR="0">
            <wp:extent cx="2449247" cy="1272927"/>
            <wp:effectExtent l="0" t="0" r="0" b="0"/>
            <wp:docPr id="3" name="image1.jpg"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0" name="image1.jpg" descr="Virginia Department of Education Office of School Nutrition Programs logo"/>
                    <pic:cNvPicPr preferRelativeResize="0"/>
                  </pic:nvPicPr>
                  <pic:blipFill>
                    <a:blip r:embed="rId8"/>
                    <a:srcRect/>
                    <a:stretch>
                      <a:fillRect/>
                    </a:stretch>
                  </pic:blipFill>
                  <pic:spPr>
                    <a:xfrm>
                      <a:off x="0" y="0"/>
                      <a:ext cx="2449247" cy="1272927"/>
                    </a:xfrm>
                    <a:prstGeom prst="rect">
                      <a:avLst/>
                    </a:prstGeom>
                    <a:ln/>
                  </pic:spPr>
                </pic:pic>
              </a:graphicData>
            </a:graphic>
          </wp:inline>
        </w:drawing>
      </w:r>
    </w:p>
    <w:p w:rsidR="008A6D17" w:rsidRDefault="00845AA7">
      <w:pPr>
        <w:pStyle w:val="Heading1"/>
        <w:spacing w:after="360"/>
        <w:jc w:val="center"/>
        <w:rPr>
          <w:rFonts w:ascii="Trebuchet MS" w:eastAsia="Trebuchet MS" w:hAnsi="Trebuchet MS" w:cs="Trebuchet MS"/>
          <w:b/>
          <w:color w:val="000000"/>
          <w:sz w:val="40"/>
          <w:szCs w:val="40"/>
        </w:rPr>
      </w:pPr>
      <w:r>
        <w:rPr>
          <w:rFonts w:ascii="Trebuchet MS" w:eastAsia="Trebuchet MS" w:hAnsi="Trebuchet MS" w:cs="Trebuchet MS"/>
          <w:b/>
          <w:color w:val="000000"/>
          <w:sz w:val="40"/>
          <w:szCs w:val="40"/>
        </w:rPr>
        <w:t>School Year 2020-2021 Waivers - SFSP</w:t>
      </w:r>
    </w:p>
    <w:tbl>
      <w:tblPr>
        <w:tblStyle w:val="a"/>
        <w:tblW w:w="127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8"/>
        <w:gridCol w:w="4262"/>
        <w:gridCol w:w="2970"/>
        <w:gridCol w:w="3150"/>
      </w:tblGrid>
      <w:tr w:rsidR="008A6D17">
        <w:tc>
          <w:tcPr>
            <w:tcW w:w="2398" w:type="dxa"/>
            <w:shd w:val="clear" w:color="auto" w:fill="F2F2F2"/>
          </w:tcPr>
          <w:p w:rsidR="008A6D17" w:rsidRDefault="00845AA7">
            <w:pP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Waiver Title</w:t>
            </w:r>
          </w:p>
        </w:tc>
        <w:tc>
          <w:tcPr>
            <w:tcW w:w="4262" w:type="dxa"/>
            <w:shd w:val="clear" w:color="auto" w:fill="F2F2F2"/>
          </w:tcPr>
          <w:p w:rsidR="008A6D17" w:rsidRDefault="00845AA7">
            <w:pP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Description</w:t>
            </w:r>
          </w:p>
        </w:tc>
        <w:tc>
          <w:tcPr>
            <w:tcW w:w="2970" w:type="dxa"/>
            <w:shd w:val="clear" w:color="auto" w:fill="F2F2F2"/>
          </w:tcPr>
          <w:p w:rsidR="008A6D17" w:rsidRDefault="00845AA7">
            <w:pP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Sponsor Actions</w:t>
            </w:r>
          </w:p>
        </w:tc>
        <w:tc>
          <w:tcPr>
            <w:tcW w:w="3150" w:type="dxa"/>
            <w:shd w:val="clear" w:color="auto" w:fill="F2F2F2"/>
          </w:tcPr>
          <w:p w:rsidR="008A6D17" w:rsidRDefault="00845AA7">
            <w:pPr>
              <w:spacing w:line="276" w:lineRule="auto"/>
              <w:jc w:val="center"/>
              <w:rPr>
                <w:rFonts w:ascii="Trebuchet MS" w:eastAsia="Trebuchet MS" w:hAnsi="Trebuchet MS" w:cs="Trebuchet MS"/>
                <w:b/>
                <w:sz w:val="22"/>
                <w:szCs w:val="22"/>
              </w:rPr>
            </w:pPr>
            <w:r>
              <w:rPr>
                <w:rFonts w:ascii="Trebuchet MS" w:eastAsia="Trebuchet MS" w:hAnsi="Trebuchet MS" w:cs="Trebuchet MS"/>
                <w:b/>
                <w:sz w:val="22"/>
                <w:szCs w:val="22"/>
              </w:rPr>
              <w:t>Data Requirements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Nationwide Waiver of Onsite Monitoring Requirements for Sponsoring Organizations in the Summer Food Service Program (SFSP)</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This waiver allows sponsors of the SFSP to monitor their programs offsite. </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9">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 xml:space="preserve">. </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after="120" w:line="276" w:lineRule="auto"/>
              <w:rPr>
                <w:rFonts w:ascii="Trebuchet MS" w:eastAsia="Trebuchet MS" w:hAnsi="Trebuchet MS" w:cs="Trebuchet MS"/>
                <w:b/>
                <w:sz w:val="22"/>
                <w:szCs w:val="22"/>
              </w:rPr>
            </w:pPr>
            <w:r>
              <w:rPr>
                <w:rFonts w:ascii="Trebuchet MS" w:eastAsia="Trebuchet MS" w:hAnsi="Trebuchet MS" w:cs="Trebuchet MS"/>
                <w:b/>
                <w:sz w:val="22"/>
                <w:szCs w:val="22"/>
              </w:rPr>
              <w:t>State Agency</w:t>
            </w:r>
          </w:p>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Nationwide Waiver of Onsite Monitoring Requirements for State Agencies in the SFSP</w:t>
            </w:r>
          </w:p>
        </w:tc>
        <w:tc>
          <w:tcPr>
            <w:tcW w:w="4262" w:type="dxa"/>
          </w:tcPr>
          <w:p w:rsidR="008A6D17" w:rsidRDefault="00845AA7">
            <w:pPr>
              <w:spacing w:after="240" w:line="276" w:lineRule="auto"/>
              <w:rPr>
                <w:rFonts w:ascii="Trebuchet MS" w:eastAsia="Trebuchet MS" w:hAnsi="Trebuchet MS" w:cs="Trebuchet MS"/>
                <w:sz w:val="22"/>
                <w:szCs w:val="22"/>
              </w:rPr>
            </w:pPr>
            <w:r>
              <w:rPr>
                <w:rFonts w:ascii="Trebuchet MS" w:eastAsia="Trebuchet MS" w:hAnsi="Trebuchet MS" w:cs="Trebuchet MS"/>
                <w:sz w:val="22"/>
                <w:szCs w:val="22"/>
              </w:rPr>
              <w:t>This waiver allows the VDOE to conduct SFSP monitoring offsite.</w:t>
            </w:r>
          </w:p>
          <w:p w:rsidR="008A6D17" w:rsidRDefault="00845AA7">
            <w:pPr>
              <w:spacing w:line="276" w:lineRule="auto"/>
              <w:rPr>
                <w:rFonts w:ascii="Trebuchet MS" w:eastAsia="Trebuchet MS" w:hAnsi="Trebuchet MS" w:cs="Trebuchet MS"/>
                <w:b/>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No Action Required</w:t>
            </w: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 description of whether and how this waiver </w:t>
            </w:r>
            <w:r>
              <w:rPr>
                <w:rFonts w:ascii="Trebuchet MS" w:eastAsia="Trebuchet MS" w:hAnsi="Trebuchet MS" w:cs="Trebuchet MS"/>
                <w:color w:val="000000"/>
                <w:sz w:val="22"/>
                <w:szCs w:val="22"/>
              </w:rPr>
              <w:lastRenderedPageBreak/>
              <w:t>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Nationwide Waiver to Allow SFSP and SSO Operations through September 2021</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This waiver allows states to grant approval for sponsors to operate the SFSP.</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10">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Nationwide Waiver to Allow Area Eligibility for Closed Enrolled Sites in the SFSP and the SSO</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This waives the requirements for closed enrolled sties under the SFSP to collect income applications to determine that 50 percent of the children are eligible for free and reduced-price meals.</w:t>
            </w:r>
          </w:p>
          <w:p w:rsidR="008A6D17" w:rsidRDefault="00845AA7">
            <w:pPr>
              <w:spacing w:before="240" w:line="276" w:lineRule="auto"/>
              <w:rPr>
                <w:rFonts w:ascii="Trebuchet MS" w:eastAsia="Trebuchet MS" w:hAnsi="Trebuchet MS" w:cs="Trebuchet MS"/>
                <w:b/>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11">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Nationwide Waiver to Waive First Week Site Visits in the SFSP</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This waiver eliminates the requirements that sponsors must visit each of their sites at least once during the first week of operation. This waiver allows sponsors in good standing that had operated in the </w:t>
            </w:r>
            <w:r>
              <w:rPr>
                <w:rFonts w:ascii="Trebuchet MS" w:eastAsia="Trebuchet MS" w:hAnsi="Trebuchet MS" w:cs="Trebuchet MS"/>
                <w:sz w:val="22"/>
                <w:szCs w:val="22"/>
              </w:rPr>
              <w:lastRenderedPageBreak/>
              <w:t>previous year to waive the first week site visits.</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Sponsors must request to elect this waiver from the VDOE by completing the </w:t>
            </w:r>
            <w:hyperlink r:id="rId12">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 description of whether and how this waiver </w:t>
            </w:r>
            <w:r>
              <w:rPr>
                <w:rFonts w:ascii="Trebuchet MS" w:eastAsia="Trebuchet MS" w:hAnsi="Trebuchet MS" w:cs="Trebuchet MS"/>
                <w:color w:val="000000"/>
                <w:sz w:val="22"/>
                <w:szCs w:val="22"/>
              </w:rPr>
              <w:lastRenderedPageBreak/>
              <w:t>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Nationwide Waiver of Meal Service Time Restrictions in SFSP and SSO </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This waiver eliminates the requirements that three hours elapse between the beginning of one meal and the beginning of another, supper must begin no later than 7:00 p.m. and extend beyond 8:00 p.m., and service for lunch and supper is limited to two hours and breakfast and snack to one hour. This waiver lifts all restrictions on duration of meal service and elapsed time.</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13">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Nationwide Waiver to Allow Offer Versus Serve (OVS) Flexibilities in the SFSP </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This waiver allows state agencies administering the SFSP to allow SFAs and non-SFAs the use of OVS. The sponsors must be able to follow the appropriate parameters and must implement thoughtful planning and consideration when using in a non-congregate setting.</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14">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Nationwide Waiver to Allow Non-congregate Feeding in the SFSP</w:t>
            </w:r>
          </w:p>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and SSO </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This waiver allows meals to be served in a non-congregate setting. </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lastRenderedPageBreak/>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Sponsors must request to elect this waiver from the VDOE by completing the </w:t>
            </w:r>
            <w:hyperlink r:id="rId15">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A summary of the use of the waiver by the state </w:t>
            </w:r>
            <w:r>
              <w:rPr>
                <w:rFonts w:ascii="Trebuchet MS" w:eastAsia="Trebuchet MS" w:hAnsi="Trebuchet MS" w:cs="Trebuchet MS"/>
                <w:color w:val="000000"/>
                <w:sz w:val="22"/>
                <w:szCs w:val="22"/>
              </w:rPr>
              <w:lastRenderedPageBreak/>
              <w:t>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Nationwide Waiver to Allow Parents and Guardians to Pick-up Meals for Children</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This waiver allows meals to be distributed to parents or guardians to take home to their children. In order to elect this waiver, sponsors must be approved to provide meals in a non-congregate setting. </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16">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Nationwide Waiver to Extend Area Eligibility Waivers </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This waiver allows for the continuation of the suspension of area eligibility requirements for all eligible sponsors operating the SFSP. Program requirements require that open sites must be located in area where at least 50 percent of NSLP participants are eligible for free and reduced-price meals. This waiver allows the VDOE to continue to approve sites that are below 50 percent of NSLP.</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b/>
                <w:sz w:val="22"/>
                <w:szCs w:val="22"/>
              </w:rPr>
              <w:lastRenderedPageBreak/>
              <w:t>Effective through September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Sponsors must request to elect this waiver from the VDOE by completing the </w:t>
            </w:r>
            <w:hyperlink r:id="rId17">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r w:rsidR="008A6D17">
        <w:tc>
          <w:tcPr>
            <w:tcW w:w="2398"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Nationwide Waiver to Allow Meal Pattern Flexibility in the SFSP and the SSO </w:t>
            </w:r>
          </w:p>
        </w:tc>
        <w:tc>
          <w:tcPr>
            <w:tcW w:w="4262"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This waiver allows state agencies to approve flexibilities in meal pattern requirements in the SSO. </w:t>
            </w:r>
            <w:r>
              <w:rPr>
                <w:rFonts w:ascii="Trebuchet MS" w:eastAsia="Trebuchet MS" w:hAnsi="Trebuchet MS" w:cs="Trebuchet MS"/>
                <w:b/>
                <w:sz w:val="22"/>
                <w:szCs w:val="22"/>
              </w:rPr>
              <w:t>Effective through September 30, 2021.</w:t>
            </w:r>
          </w:p>
          <w:p w:rsidR="008A6D17" w:rsidRDefault="00845AA7">
            <w:pPr>
              <w:spacing w:before="240"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This waiver allows state agencies to approve flexibilities in meal pattern requirements in the SFSP. </w:t>
            </w:r>
            <w:r>
              <w:rPr>
                <w:rFonts w:ascii="Trebuchet MS" w:eastAsia="Trebuchet MS" w:hAnsi="Trebuchet MS" w:cs="Trebuchet MS"/>
                <w:b/>
                <w:sz w:val="22"/>
                <w:szCs w:val="22"/>
              </w:rPr>
              <w:t>Effective through June 30, 2021.</w:t>
            </w:r>
          </w:p>
        </w:tc>
        <w:tc>
          <w:tcPr>
            <w:tcW w:w="2970" w:type="dxa"/>
          </w:tcPr>
          <w:p w:rsidR="008A6D17" w:rsidRDefault="00845AA7">
            <w:pP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Sponsors must request to elect this waiver from the VDOE by completing the </w:t>
            </w:r>
            <w:hyperlink r:id="rId18">
              <w:r>
                <w:rPr>
                  <w:rFonts w:ascii="Trebuchet MS" w:eastAsia="Trebuchet MS" w:hAnsi="Trebuchet MS" w:cs="Trebuchet MS"/>
                  <w:color w:val="0563C1"/>
                  <w:sz w:val="22"/>
                  <w:szCs w:val="22"/>
                  <w:u w:val="single"/>
                </w:rPr>
                <w:t>2020-2021 SFSP/SSO Waiver Survey</w:t>
              </w:r>
            </w:hyperlink>
            <w:r>
              <w:rPr>
                <w:rFonts w:ascii="Trebuchet MS" w:eastAsia="Trebuchet MS" w:hAnsi="Trebuchet MS" w:cs="Trebuchet MS"/>
                <w:sz w:val="22"/>
                <w:szCs w:val="22"/>
              </w:rPr>
              <w:t>.</w:t>
            </w:r>
          </w:p>
          <w:p w:rsidR="008A6D17" w:rsidRDefault="008A6D17">
            <w:pPr>
              <w:spacing w:line="276" w:lineRule="auto"/>
              <w:rPr>
                <w:rFonts w:ascii="Trebuchet MS" w:eastAsia="Trebuchet MS" w:hAnsi="Trebuchet MS" w:cs="Trebuchet MS"/>
                <w:sz w:val="22"/>
                <w:szCs w:val="22"/>
              </w:rPr>
            </w:pPr>
          </w:p>
        </w:tc>
        <w:tc>
          <w:tcPr>
            <w:tcW w:w="3150" w:type="dxa"/>
          </w:tcPr>
          <w:p w:rsidR="008A6D17" w:rsidRDefault="00845AA7">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summary of the use of the waiver by the state agency and local program operators.</w:t>
            </w:r>
          </w:p>
          <w:p w:rsidR="008A6D17" w:rsidRDefault="00845AA7">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description of whether and how this waiver resulted in improved services to program participants.</w:t>
            </w:r>
          </w:p>
        </w:tc>
      </w:tr>
    </w:tbl>
    <w:p w:rsidR="008A6D17" w:rsidRDefault="008A6D17">
      <w:pPr>
        <w:spacing w:before="120" w:after="0"/>
        <w:rPr>
          <w:rFonts w:ascii="Trebuchet MS" w:eastAsia="Trebuchet MS" w:hAnsi="Trebuchet MS" w:cs="Trebuchet MS"/>
          <w:sz w:val="22"/>
          <w:szCs w:val="22"/>
        </w:rPr>
      </w:pPr>
    </w:p>
    <w:sectPr w:rsidR="008A6D17">
      <w:headerReference w:type="default" r:id="rId19"/>
      <w:headerReference w:type="first" r:id="rId20"/>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E6" w:rsidRDefault="00B85DE6">
      <w:pPr>
        <w:spacing w:after="0" w:line="240" w:lineRule="auto"/>
      </w:pPr>
      <w:r>
        <w:separator/>
      </w:r>
    </w:p>
  </w:endnote>
  <w:endnote w:type="continuationSeparator" w:id="0">
    <w:p w:rsidR="00B85DE6" w:rsidRDefault="00B8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E6" w:rsidRDefault="00B85DE6">
      <w:pPr>
        <w:spacing w:after="0" w:line="240" w:lineRule="auto"/>
      </w:pPr>
      <w:r>
        <w:separator/>
      </w:r>
    </w:p>
  </w:footnote>
  <w:footnote w:type="continuationSeparator" w:id="0">
    <w:p w:rsidR="00B85DE6" w:rsidRDefault="00B8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A1" w:rsidRDefault="003E44A1" w:rsidP="003E44A1">
    <w:pPr>
      <w:pStyle w:val="Heading1"/>
      <w:spacing w:before="0" w:line="240"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Attachment A</w:t>
    </w:r>
  </w:p>
  <w:p w:rsidR="003E44A1" w:rsidRDefault="003E44A1" w:rsidP="003E44A1">
    <w:pPr>
      <w:pStyle w:val="Heading1"/>
      <w:spacing w:before="0" w:line="240" w:lineRule="auto"/>
      <w:jc w:val="right"/>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Superintendent’s Memo #079-21</w:t>
    </w:r>
  </w:p>
  <w:p w:rsidR="003E44A1" w:rsidRDefault="003E44A1" w:rsidP="003E44A1">
    <w:pPr>
      <w:pStyle w:val="Heading1"/>
      <w:spacing w:before="0" w:line="240" w:lineRule="auto"/>
      <w:jc w:val="right"/>
      <w:rPr>
        <w:rFonts w:ascii="Trebuchet MS" w:eastAsia="Trebuchet MS" w:hAnsi="Trebuchet MS" w:cs="Trebuchet MS"/>
        <w:sz w:val="22"/>
        <w:szCs w:val="22"/>
      </w:rPr>
    </w:pPr>
    <w:r>
      <w:rPr>
        <w:rFonts w:ascii="Trebuchet MS" w:eastAsia="Trebuchet MS" w:hAnsi="Trebuchet MS" w:cs="Trebuchet MS"/>
        <w:color w:val="000000"/>
        <w:sz w:val="22"/>
        <w:szCs w:val="22"/>
      </w:rPr>
      <w:t>March 26, 2021</w:t>
    </w:r>
  </w:p>
  <w:p w:rsidR="008A6D17" w:rsidRDefault="008A6D17" w:rsidP="003E44A1">
    <w:pPr>
      <w:pBdr>
        <w:top w:val="nil"/>
        <w:left w:val="nil"/>
        <w:bottom w:val="nil"/>
        <w:right w:val="nil"/>
        <w:between w:val="nil"/>
      </w:pBdr>
      <w:tabs>
        <w:tab w:val="center" w:pos="4680"/>
        <w:tab w:val="right" w:pos="9360"/>
      </w:tabs>
      <w:spacing w:after="0" w:line="240" w:lineRule="auto"/>
      <w:jc w:val="center"/>
      <w:rPr>
        <w:rFonts w:ascii="Trebuchet MS" w:eastAsia="Trebuchet MS" w:hAnsi="Trebuchet MS" w:cs="Trebuchet M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17" w:rsidRDefault="008A6D17">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B11BB"/>
    <w:multiLevelType w:val="multilevel"/>
    <w:tmpl w:val="B1D81B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17"/>
    <w:rsid w:val="003E44A1"/>
    <w:rsid w:val="00845AA7"/>
    <w:rsid w:val="008A6D17"/>
    <w:rsid w:val="00B21A49"/>
    <w:rsid w:val="00B8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DDB5F-8C54-456E-9373-9DE66C56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table" w:styleId="TableGrid">
    <w:name w:val="Table Grid"/>
    <w:basedOn w:val="TableNormal"/>
    <w:uiPriority w:val="39"/>
    <w:rsid w:val="006C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7F5"/>
    <w:pPr>
      <w:ind w:left="720"/>
      <w:contextualSpacing/>
    </w:pPr>
  </w:style>
  <w:style w:type="paragraph" w:styleId="Header">
    <w:name w:val="header"/>
    <w:basedOn w:val="Normal"/>
    <w:link w:val="HeaderChar"/>
    <w:uiPriority w:val="99"/>
    <w:unhideWhenUsed/>
    <w:rsid w:val="006F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9A"/>
    <w:rPr>
      <w:rFonts w:ascii="Times New Roman" w:hAnsi="Times New Roman"/>
      <w:sz w:val="24"/>
    </w:rPr>
  </w:style>
  <w:style w:type="paragraph" w:styleId="Footer">
    <w:name w:val="footer"/>
    <w:basedOn w:val="Normal"/>
    <w:link w:val="FooterChar"/>
    <w:uiPriority w:val="99"/>
    <w:unhideWhenUsed/>
    <w:rsid w:val="006F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9A"/>
    <w:rPr>
      <w:rFonts w:ascii="Times New Roman" w:hAnsi="Times New Roman"/>
      <w:sz w:val="24"/>
    </w:rPr>
  </w:style>
  <w:style w:type="paragraph" w:styleId="BalloonText">
    <w:name w:val="Balloon Text"/>
    <w:basedOn w:val="Normal"/>
    <w:link w:val="BalloonTextChar"/>
    <w:uiPriority w:val="99"/>
    <w:semiHidden/>
    <w:unhideWhenUsed/>
    <w:rsid w:val="009B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EB"/>
    <w:rPr>
      <w:rFonts w:ascii="Tahoma" w:hAnsi="Tahoma" w:cs="Tahoma"/>
      <w:sz w:val="16"/>
      <w:szCs w:val="16"/>
    </w:rPr>
  </w:style>
  <w:style w:type="character" w:styleId="CommentReference">
    <w:name w:val="annotation reference"/>
    <w:basedOn w:val="DefaultParagraphFont"/>
    <w:uiPriority w:val="99"/>
    <w:semiHidden/>
    <w:unhideWhenUsed/>
    <w:rsid w:val="00833382"/>
    <w:rPr>
      <w:sz w:val="16"/>
      <w:szCs w:val="16"/>
    </w:rPr>
  </w:style>
  <w:style w:type="paragraph" w:styleId="CommentText">
    <w:name w:val="annotation text"/>
    <w:basedOn w:val="Normal"/>
    <w:link w:val="CommentTextChar"/>
    <w:uiPriority w:val="99"/>
    <w:semiHidden/>
    <w:unhideWhenUsed/>
    <w:rsid w:val="00833382"/>
    <w:pPr>
      <w:spacing w:line="240" w:lineRule="auto"/>
    </w:pPr>
    <w:rPr>
      <w:sz w:val="20"/>
      <w:szCs w:val="20"/>
    </w:rPr>
  </w:style>
  <w:style w:type="character" w:customStyle="1" w:styleId="CommentTextChar">
    <w:name w:val="Comment Text Char"/>
    <w:basedOn w:val="DefaultParagraphFont"/>
    <w:link w:val="CommentText"/>
    <w:uiPriority w:val="99"/>
    <w:semiHidden/>
    <w:rsid w:val="008333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382"/>
    <w:rPr>
      <w:b/>
      <w:bCs/>
    </w:rPr>
  </w:style>
  <w:style w:type="character" w:customStyle="1" w:styleId="CommentSubjectChar">
    <w:name w:val="Comment Subject Char"/>
    <w:basedOn w:val="CommentTextChar"/>
    <w:link w:val="CommentSubject"/>
    <w:uiPriority w:val="99"/>
    <w:semiHidden/>
    <w:rsid w:val="00833382"/>
    <w:rPr>
      <w:rFonts w:ascii="Times New Roman" w:hAnsi="Times New Roman"/>
      <w:b/>
      <w:bCs/>
      <w:sz w:val="20"/>
      <w:szCs w:val="20"/>
    </w:rPr>
  </w:style>
  <w:style w:type="character" w:styleId="Hyperlink">
    <w:name w:val="Hyperlink"/>
    <w:basedOn w:val="DefaultParagraphFont"/>
    <w:uiPriority w:val="99"/>
    <w:unhideWhenUsed/>
    <w:rsid w:val="006E0CBF"/>
    <w:rPr>
      <w:color w:val="0563C1" w:themeColor="hyperlink"/>
      <w:u w:val="single"/>
    </w:rPr>
  </w:style>
  <w:style w:type="character" w:customStyle="1" w:styleId="UnresolvedMention1">
    <w:name w:val="Unresolved Mention1"/>
    <w:basedOn w:val="DefaultParagraphFont"/>
    <w:uiPriority w:val="99"/>
    <w:semiHidden/>
    <w:unhideWhenUsed/>
    <w:rsid w:val="006E0CBF"/>
    <w:rPr>
      <w:color w:val="605E5C"/>
      <w:shd w:val="clear" w:color="auto" w:fill="E1DFDD"/>
    </w:rPr>
  </w:style>
  <w:style w:type="character" w:customStyle="1" w:styleId="UnresolvedMention2">
    <w:name w:val="Unresolved Mention2"/>
    <w:basedOn w:val="DefaultParagraphFont"/>
    <w:uiPriority w:val="99"/>
    <w:semiHidden/>
    <w:unhideWhenUsed/>
    <w:rsid w:val="007F65FC"/>
    <w:rPr>
      <w:color w:val="605E5C"/>
      <w:shd w:val="clear" w:color="auto" w:fill="E1DFDD"/>
    </w:rPr>
  </w:style>
  <w:style w:type="character" w:styleId="FollowedHyperlink">
    <w:name w:val="FollowedHyperlink"/>
    <w:basedOn w:val="DefaultParagraphFont"/>
    <w:uiPriority w:val="99"/>
    <w:semiHidden/>
    <w:unhideWhenUsed/>
    <w:rsid w:val="007F65FC"/>
    <w:rPr>
      <w:color w:val="954F72" w:themeColor="followedHyperlink"/>
      <w:u w:val="single"/>
    </w:rPr>
  </w:style>
  <w:style w:type="paragraph" w:styleId="Revision">
    <w:name w:val="Revision"/>
    <w:hidden/>
    <w:uiPriority w:val="99"/>
    <w:semiHidden/>
    <w:rsid w:val="00FC6DA7"/>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72" w:type="dxa"/>
        <w:bottom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rveymonkey.com/r/sfsp-sso-waivers" TargetMode="External"/><Relationship Id="rId18" Type="http://schemas.openxmlformats.org/officeDocument/2006/relationships/hyperlink" Target="https://www.surveymonkey.com/r/sfsp-sso-waiv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monkey.com/r/sfsp-sso-waivers" TargetMode="External"/><Relationship Id="rId17" Type="http://schemas.openxmlformats.org/officeDocument/2006/relationships/hyperlink" Target="https://www.surveymonkey.com/r/sfsp-sso-waivers" TargetMode="External"/><Relationship Id="rId2" Type="http://schemas.openxmlformats.org/officeDocument/2006/relationships/numbering" Target="numbering.xml"/><Relationship Id="rId16" Type="http://schemas.openxmlformats.org/officeDocument/2006/relationships/hyperlink" Target="https://www.surveymonkey.com/r/sfsp-sso-waiv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fsp-sso-waivers" TargetMode="External"/><Relationship Id="rId5" Type="http://schemas.openxmlformats.org/officeDocument/2006/relationships/webSettings" Target="webSettings.xml"/><Relationship Id="rId15" Type="http://schemas.openxmlformats.org/officeDocument/2006/relationships/hyperlink" Target="https://www.surveymonkey.com/r/sfsp-sso-waivers" TargetMode="External"/><Relationship Id="rId10" Type="http://schemas.openxmlformats.org/officeDocument/2006/relationships/hyperlink" Target="https://www.surveymonkey.com/r/sfsp-sso-waiv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sfsp-sso-waivers" TargetMode="External"/><Relationship Id="rId14" Type="http://schemas.openxmlformats.org/officeDocument/2006/relationships/hyperlink" Target="https://www.surveymonkey.com/r/sfsp-sso-waiv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bkQ4uzjJhLAXnxav6S8aR2rnA==">AMUW2mWTn2byyfMMjld99jd+BOmzOjfdajq3/1fDttRnFk8rWb/Lw2+17H6jYsQa9YvAWnJihkHk86c6fkTPo70csQP88YtNd2r2i4G1+HryPCg4GB7pIOz6so/f/LAxV6nUZznqCnIx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lastModifiedBy>Jennings, Laura (DOE)</cp:lastModifiedBy>
  <cp:revision>2</cp:revision>
  <dcterms:created xsi:type="dcterms:W3CDTF">2021-03-23T22:20:00Z</dcterms:created>
  <dcterms:modified xsi:type="dcterms:W3CDTF">2021-03-23T22:20:00Z</dcterms:modified>
</cp:coreProperties>
</file>