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8A" w:rsidRDefault="003A5208" w:rsidP="003A520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Attachment A</w:t>
      </w:r>
    </w:p>
    <w:p w:rsidR="003A5208" w:rsidRDefault="003A5208" w:rsidP="003A520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Superintendent’s Memo 208-22</w:t>
      </w:r>
    </w:p>
    <w:p w:rsidR="003A5208" w:rsidRDefault="003A5208" w:rsidP="003A5208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September 9, 2022</w:t>
      </w:r>
    </w:p>
    <w:p w:rsidR="0022038A" w:rsidRDefault="003A5208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Subaward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, Subcontract, and Professional Service Agreements Determinations</w:t>
      </w:r>
    </w:p>
    <w:p w:rsidR="0022038A" w:rsidRDefault="003A5208">
      <w:pPr>
        <w:spacing w:before="280" w:after="2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classification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subawards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subcontracts, and professional service agreements is a difficult topic to address because it cannot be applied universally. The Uniform Guidance states the determining factor in </w:t>
      </w:r>
      <w:hyperlink r:id="rId5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2 CFR 200.331 </w:t>
        </w:r>
        <w:proofErr w:type="spellStart"/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Subrecipient</w:t>
        </w:r>
        <w:proofErr w:type="spellEnd"/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 and contractor </w:t>
        </w:r>
        <w:proofErr w:type="gramStart"/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 xml:space="preserve">determinations </w:t>
        </w:r>
        <w:proofErr w:type="gramEnd"/>
      </w:hyperlink>
      <w:r>
        <w:rPr>
          <w:rFonts w:ascii="Times New Roman" w:eastAsia="Times New Roman" w:hAnsi="Times New Roman" w:cs="Times New Roman"/>
          <w:sz w:val="20"/>
          <w:szCs w:val="20"/>
        </w:rPr>
        <w:t>, “In determining whether an agreement between a pass-through entity and another non-Federal entity casts the lat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ter as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subrecipient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or a contractor,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the substance of the relationship is more important than the form of the agreement</w:t>
      </w:r>
      <w:r>
        <w:rPr>
          <w:rFonts w:ascii="Times New Roman" w:eastAsia="Times New Roman" w:hAnsi="Times New Roman" w:cs="Times New Roman"/>
          <w:sz w:val="20"/>
          <w:szCs w:val="20"/>
        </w:rPr>
        <w:t>.” The chart below was derived from the Uniform Guidance:  </w:t>
      </w:r>
    </w:p>
    <w:tbl>
      <w:tblPr>
        <w:tblStyle w:val="a"/>
        <w:tblW w:w="16931" w:type="dxa"/>
        <w:tblLayout w:type="fixed"/>
        <w:tblLook w:val="0400" w:firstRow="0" w:lastRow="0" w:firstColumn="0" w:lastColumn="0" w:noHBand="0" w:noVBand="1"/>
      </w:tblPr>
      <w:tblGrid>
        <w:gridCol w:w="1556"/>
        <w:gridCol w:w="6025"/>
        <w:gridCol w:w="4675"/>
        <w:gridCol w:w="4675"/>
      </w:tblGrid>
      <w:tr w:rsidR="0022038A"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Relationship Substance </w:t>
            </w:r>
          </w:p>
        </w:tc>
        <w:tc>
          <w:tcPr>
            <w:tcW w:w="6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Subaward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Subcontract </w:t>
            </w:r>
          </w:p>
        </w:tc>
        <w:tc>
          <w:tcPr>
            <w:tcW w:w="4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2038A" w:rsidRDefault="003A52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Professional Services </w:t>
            </w:r>
          </w:p>
        </w:tc>
      </w:tr>
      <w:tr w:rsidR="0022038A" w:rsidTr="003A5208">
        <w:trPr>
          <w:trHeight w:val="2005"/>
        </w:trPr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u w:val="single"/>
              </w:rPr>
              <w:t>Defi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  <w:u w:val="single"/>
              </w:rPr>
              <w:t>nition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subaward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for the purpose of carrying out a portion of a Federal award and creates a Federal assistance relationship with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subrecipient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hyperlink r:id="rId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 xml:space="preserve">See 2 C.F.R. § 200.92 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Subaward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. </w:t>
              </w:r>
            </w:hyperlink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A contract is for the purpose of obtaining goods and services for the non-Federal entity's own use and creates a procurement relationship with the contractor. 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See 2 C.F.R. §200.22 Contract. </w:t>
              </w:r>
            </w:hyperlink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038A" w:rsidRDefault="003A5208" w:rsidP="003A5208">
            <w:pPr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Costs of professional and consultant services rendered by persons who are members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of a particular profession or possess a special skill, and who are not officers or employees of the non-Federal entity, are allowable, subject to paragraphs (b) and (c) when reasonable in relation to the services rendered and when not contingent upon reco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very of the costs from the Federal Government. </w:t>
            </w:r>
            <w:hyperlink r:id="rId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See 2 C.F.R. § 200.459   Professional service costs.</w:t>
              </w:r>
            </w:hyperlink>
          </w:p>
        </w:tc>
      </w:tr>
      <w:tr w:rsidR="0022038A" w:rsidTr="003A5208">
        <w:trPr>
          <w:trHeight w:val="9853"/>
        </w:trPr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Characteristics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 Determines who is eligible to receive what Federal assistance;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 Has its performance measured in relation to whether objectives of a Federal program were met;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 Has responsibility for programmatic decision making;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 Is responsible for adherence 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 applicable Federal program requirements specified in the Federal award; and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 In accordance with its agreement, uses the Federal funds to carry out a program for a public purpose specified in authorizing statute, as opposed to providing goods or services for the benefit of the pass-through entity.</w:t>
            </w:r>
          </w:p>
          <w:p w:rsidR="0022038A" w:rsidRDefault="003A5208">
            <w:pPr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 Provides the goods and se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rvices within normal business operations;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 Provides similar goods or services to many different purchasers;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 Normally operates in a competitive environment;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 Provides goods or services that are ancillary to the operation of the Federal program; an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 Is not subject to compliance requirements of the Federal program as a result of the agreement, though similar requirements may apply for other reasons.</w:t>
            </w:r>
          </w:p>
          <w:p w:rsidR="0022038A" w:rsidRDefault="003A5208">
            <w:pPr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038A" w:rsidRDefault="003A5208">
            <w:pPr>
              <w:shd w:val="clear" w:color="auto" w:fill="FFFFFF"/>
              <w:spacing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(b) In determining the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allowability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costs in a particular case, no single factor or any special combination of factors is necessarily determinative. However, the following factors are relevant: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(1) The nature and scope of the service rendered in relatio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to the service required.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(2) The necessity of contracting for the service, considering the non-Federal entity's capability in the particular area.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(3) The past pattern of such costs, particularly in the years prior to Federal awards.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(4) The impact of Fe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deral awards on the non-Federal entity's business (i.e., what new problems have arisen).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(5) Whether the proportion of Federal work to the non-Federal entity's total business is such as to influence the non-Federal entity in favor of incurring the cost, pa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rticularly where the services rendered are not of a continuing nature and have little relationship to work under Federal awards.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(6) Whether the service can be performed more economically by direct employment rather than contracting.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(7) The qualifications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the individual or concern rendering the service and the customary fees charged, especially on non-federally funded activities.</w:t>
            </w:r>
          </w:p>
          <w:p w:rsidR="0022038A" w:rsidRDefault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(8) Adequacy of the contractual agreement for the service (e.g., description of the service, estimate of time required, rate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compensation, and termination provisions).</w:t>
            </w:r>
          </w:p>
          <w:p w:rsidR="0022038A" w:rsidRDefault="003A5208" w:rsidP="003A5208">
            <w:pPr>
              <w:shd w:val="clear" w:color="auto" w:fill="FFFFFF"/>
              <w:spacing w:before="280" w:after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(c) In addition to the factors in paragraph (b) of this section, to be allowable, retainer fees must be supported by evidence of bona fide services available or rendered.</w:t>
            </w:r>
          </w:p>
        </w:tc>
      </w:tr>
      <w:tr w:rsidR="0022038A">
        <w:tc>
          <w:tcPr>
            <w:tcW w:w="15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Treatment 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Generally, subject to exclusion of amounts over $25,000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CFR 200.68 Modified Total Direct Cost</w:t>
            </w:r>
            <w:bookmarkStart w:id="1" w:name="_GoBack"/>
            <w:bookmarkEnd w:id="1"/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38A" w:rsidRDefault="003A52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Generally, subject to exclusion of amounts over $25,000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CFR 200.68 Modified Total Direct Cost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2038A" w:rsidRDefault="003A520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Generally, not subject to exclusion of amounts over $25,000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when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providing an auxiliary expertise normally provided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inhouse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</w:tr>
    </w:tbl>
    <w:p w:rsidR="0022038A" w:rsidRDefault="0022038A">
      <w:pPr>
        <w:rPr>
          <w:sz w:val="20"/>
          <w:szCs w:val="20"/>
        </w:rPr>
      </w:pPr>
    </w:p>
    <w:sectPr w:rsidR="0022038A">
      <w:pgSz w:w="23811" w:h="16838" w:orient="landscape"/>
      <w:pgMar w:top="144" w:right="1440" w:bottom="14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8A"/>
    <w:rsid w:val="0022038A"/>
    <w:rsid w:val="003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8904"/>
  <w15:docId w15:val="{8F9D4102-906B-4BCF-9E7F-5816EDC9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F6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182F6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82F6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2F6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5E7FB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fr.gov/cgi-bin/text-idx?SID=8338e32b5b0cf02c057e2456ddd19f4e&amp;mc=true&amp;node=se2.1.200_1459&amp;rgn=div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fr.gov/current/title-2/subtitle-A/chapter-II/part-200/subpart-A/subject-group-ECFR2a6a0087862fd2c/section-200.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cfr.gov/current/title-2/subtitle-A/chapter-II/part-200/subpart-A/subject-group-ECFR2a6a0087862fd2c/section-200.1" TargetMode="External"/><Relationship Id="rId5" Type="http://schemas.openxmlformats.org/officeDocument/2006/relationships/hyperlink" Target="https://www.ecfr.gov/cgi-bin/text-idx?SID=b2b3388a95553d5e5ac2224de9c7bae1&amp;mc=true&amp;node=se2.1.200_1331&amp;rgn=div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vk1mGwvC9PhJSMZMN7HoXiaDg==">AMUW2mXKVlojDUUYjPYxH4oOetOZioz1VmVWiBFqD4WJFR7K+nc5cok/aVZ8C8YmedqZz6FOmu5kDVuP4bq/gTosOmUNSCrBZc3ew3ZD8WJE2MiTj2sEQufzi8cjlK0RT+uF0dFO2/It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782</Words>
  <Characters>4205</Characters>
  <Application>Microsoft Office Word</Application>
  <DocSecurity>0</DocSecurity>
  <Lines>262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Hylton, Andre</dc:creator>
  <cp:lastModifiedBy>VITA Program</cp:lastModifiedBy>
  <cp:revision>2</cp:revision>
  <dcterms:created xsi:type="dcterms:W3CDTF">2022-09-08T16:05:00Z</dcterms:created>
  <dcterms:modified xsi:type="dcterms:W3CDTF">2022-09-08T16:05:00Z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