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85DCA" w14:textId="545EBA0B" w:rsidR="004011E7" w:rsidRPr="004011E7" w:rsidRDefault="004011E7" w:rsidP="00FF2B74">
      <w:pPr>
        <w:pStyle w:val="Heading1"/>
        <w:tabs>
          <w:tab w:val="left" w:pos="1440"/>
        </w:tabs>
        <w:spacing w:before="0" w:after="0"/>
        <w:jc w:val="right"/>
        <w:rPr>
          <w:rFonts w:ascii="Times New Roman" w:hAnsi="Times New Roman" w:cs="Times New Roman"/>
          <w:color w:val="auto"/>
          <w:sz w:val="24"/>
          <w:szCs w:val="24"/>
        </w:rPr>
      </w:pPr>
      <w:r w:rsidRPr="004011E7">
        <w:rPr>
          <w:rFonts w:ascii="Times New Roman" w:hAnsi="Times New Roman" w:cs="Times New Roman"/>
          <w:color w:val="auto"/>
          <w:sz w:val="24"/>
          <w:szCs w:val="24"/>
        </w:rPr>
        <w:t>SCNP Memo #2023-2024-</w:t>
      </w:r>
      <w:r>
        <w:rPr>
          <w:rFonts w:ascii="Times New Roman" w:hAnsi="Times New Roman" w:cs="Times New Roman"/>
          <w:color w:val="auto"/>
          <w:sz w:val="24"/>
          <w:szCs w:val="24"/>
        </w:rPr>
        <w:t>88</w:t>
      </w:r>
    </w:p>
    <w:p w14:paraId="7452E692" w14:textId="77777777" w:rsidR="004011E7" w:rsidRPr="004011E7" w:rsidRDefault="004011E7" w:rsidP="00FF2B74">
      <w:pPr>
        <w:spacing w:after="240"/>
        <w:jc w:val="center"/>
        <w:rPr>
          <w:rFonts w:cs="Times New Roman"/>
        </w:rPr>
      </w:pPr>
      <w:r w:rsidRPr="004011E7">
        <w:rPr>
          <w:rFonts w:cs="Times New Roman"/>
          <w:noProof/>
        </w:rPr>
        <w:drawing>
          <wp:inline distT="0" distB="0" distL="0" distR="0" wp14:anchorId="14F428B9" wp14:editId="75CAFE0C">
            <wp:extent cx="694055" cy="694055"/>
            <wp:effectExtent l="0" t="0" r="0" b="0"/>
            <wp:docPr id="1" name="Picture 1" descr="Virginia State seal, Commonwealth of Virginia - Link to Superintendent's Memos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4011E7">
        <w:rPr>
          <w:rFonts w:cs="Times New Roman"/>
        </w:rPr>
        <w:br/>
      </w:r>
      <w:r w:rsidRPr="004011E7">
        <w:rPr>
          <w:rStyle w:val="Strong"/>
          <w:rFonts w:cs="Times New Roman"/>
          <w:sz w:val="27"/>
          <w:szCs w:val="27"/>
        </w:rPr>
        <w:t>COMMONWEALTH of VIRGINIA </w:t>
      </w:r>
      <w:r w:rsidRPr="004011E7">
        <w:rPr>
          <w:rFonts w:cs="Times New Roman"/>
          <w:b/>
          <w:bCs/>
          <w:sz w:val="27"/>
          <w:szCs w:val="27"/>
        </w:rPr>
        <w:br/>
      </w:r>
      <w:r w:rsidRPr="004011E7">
        <w:rPr>
          <w:rStyle w:val="Strong"/>
          <w:rFonts w:cs="Times New Roman"/>
          <w:sz w:val="27"/>
          <w:szCs w:val="27"/>
        </w:rPr>
        <w:t>Department of Education</w:t>
      </w:r>
    </w:p>
    <w:p w14:paraId="2B64673A" w14:textId="3C7DD194" w:rsidR="004011E7" w:rsidRPr="00FF2B74" w:rsidRDefault="004011E7" w:rsidP="00FF2B74">
      <w:pPr>
        <w:spacing w:after="120"/>
        <w:rPr>
          <w:rFonts w:cs="Times New Roman"/>
          <w:szCs w:val="24"/>
        </w:rPr>
      </w:pPr>
      <w:r w:rsidRPr="00FF2B74">
        <w:rPr>
          <w:rFonts w:cs="Times New Roman"/>
          <w:szCs w:val="24"/>
        </w:rPr>
        <w:t xml:space="preserve">DATE: </w:t>
      </w:r>
      <w:r w:rsidR="005F3CCF">
        <w:rPr>
          <w:rFonts w:cs="Times New Roman"/>
          <w:szCs w:val="24"/>
        </w:rPr>
        <w:tab/>
      </w:r>
      <w:r w:rsidRPr="00FF2B74">
        <w:rPr>
          <w:rFonts w:cs="Times New Roman"/>
          <w:szCs w:val="24"/>
        </w:rPr>
        <w:t xml:space="preserve">June </w:t>
      </w:r>
      <w:r w:rsidR="003528D6" w:rsidRPr="00FF2B74">
        <w:rPr>
          <w:rFonts w:cs="Times New Roman"/>
          <w:szCs w:val="24"/>
        </w:rPr>
        <w:t>20</w:t>
      </w:r>
      <w:r w:rsidRPr="00FF2B74">
        <w:rPr>
          <w:rFonts w:cs="Times New Roman"/>
          <w:szCs w:val="24"/>
        </w:rPr>
        <w:t>, 2024</w:t>
      </w:r>
    </w:p>
    <w:p w14:paraId="45D8DD08" w14:textId="0C73CA57" w:rsidR="004011E7" w:rsidRPr="00FF2B74" w:rsidRDefault="004011E7" w:rsidP="00FF2B74">
      <w:pPr>
        <w:spacing w:after="120"/>
        <w:rPr>
          <w:rFonts w:cs="Times New Roman"/>
          <w:szCs w:val="24"/>
        </w:rPr>
      </w:pPr>
      <w:r w:rsidRPr="00FF2B74">
        <w:rPr>
          <w:rFonts w:cs="Times New Roman"/>
          <w:szCs w:val="24"/>
        </w:rPr>
        <w:t xml:space="preserve">TO: </w:t>
      </w:r>
      <w:r w:rsidR="005F3CCF">
        <w:rPr>
          <w:rFonts w:cs="Times New Roman"/>
          <w:szCs w:val="24"/>
        </w:rPr>
        <w:tab/>
      </w:r>
      <w:r w:rsidR="005F3CCF">
        <w:rPr>
          <w:rFonts w:cs="Times New Roman"/>
          <w:szCs w:val="24"/>
        </w:rPr>
        <w:tab/>
      </w:r>
      <w:r w:rsidRPr="00FF2B74">
        <w:rPr>
          <w:rFonts w:cs="Times New Roman"/>
          <w:szCs w:val="24"/>
        </w:rPr>
        <w:t>Directors, Supervisors, and Contact Persons Addressed</w:t>
      </w:r>
    </w:p>
    <w:p w14:paraId="2BA46841" w14:textId="51261198" w:rsidR="004011E7" w:rsidRPr="00FF2B74" w:rsidRDefault="004011E7" w:rsidP="00FF2B74">
      <w:pPr>
        <w:spacing w:after="120"/>
        <w:rPr>
          <w:rFonts w:cs="Times New Roman"/>
          <w:szCs w:val="24"/>
        </w:rPr>
      </w:pPr>
      <w:r w:rsidRPr="00FF2B74">
        <w:rPr>
          <w:rFonts w:cs="Times New Roman"/>
          <w:szCs w:val="24"/>
        </w:rPr>
        <w:t xml:space="preserve">FROM: </w:t>
      </w:r>
      <w:r w:rsidR="005F3CCF">
        <w:rPr>
          <w:rFonts w:cs="Times New Roman"/>
          <w:szCs w:val="24"/>
        </w:rPr>
        <w:tab/>
      </w:r>
      <w:r w:rsidRPr="00FF2B74">
        <w:rPr>
          <w:rFonts w:cs="Times New Roman"/>
          <w:szCs w:val="24"/>
        </w:rPr>
        <w:t xml:space="preserve">Sandra C. Curwood, PhD, RDN, </w:t>
      </w:r>
      <w:r w:rsidRPr="00FF2B74">
        <w:rPr>
          <w:rFonts w:cs="Times New Roman"/>
          <w:b/>
          <w:i/>
          <w:szCs w:val="24"/>
        </w:rPr>
        <w:t>Sandy</w:t>
      </w:r>
    </w:p>
    <w:p w14:paraId="5D40521D" w14:textId="77777777" w:rsidR="004011E7" w:rsidRPr="00FF2B74" w:rsidRDefault="004011E7" w:rsidP="005F3CCF">
      <w:pPr>
        <w:pStyle w:val="Heading2"/>
        <w:spacing w:before="120" w:after="120"/>
        <w:rPr>
          <w:rFonts w:ascii="Times New Roman" w:hAnsi="Times New Roman" w:cs="Times New Roman"/>
          <w:b/>
          <w:bCs/>
          <w:color w:val="auto"/>
        </w:rPr>
      </w:pPr>
      <w:r w:rsidRPr="00FF2B74">
        <w:rPr>
          <w:rFonts w:ascii="Times New Roman" w:hAnsi="Times New Roman" w:cs="Times New Roman"/>
          <w:b/>
          <w:bCs/>
          <w:color w:val="auto"/>
        </w:rPr>
        <w:t>SUBJECT: New Simplified Approach to The Nonprogram Revenue Tool</w:t>
      </w:r>
    </w:p>
    <w:p w14:paraId="37F04CD1" w14:textId="18BFBEC7" w:rsidR="00FF2B74" w:rsidRPr="005F3CCF" w:rsidRDefault="004011E7" w:rsidP="004011E7">
      <w:pPr>
        <w:rPr>
          <w:szCs w:val="24"/>
        </w:rPr>
      </w:pPr>
      <w:r w:rsidRPr="005F3CCF">
        <w:rPr>
          <w:rFonts w:cs="Times New Roman"/>
          <w:szCs w:val="24"/>
        </w:rPr>
        <w:t xml:space="preserve">This memo provides guidance to school food authorities (SFAs) on how to complete the Nonprogram Revenue Tool using the new simplified approach. </w:t>
      </w:r>
      <w:r w:rsidR="00FF2B74" w:rsidRPr="005F3CCF">
        <w:rPr>
          <w:szCs w:val="24"/>
        </w:rPr>
        <w:t>Federal regulations require that all SFAs ensure that nonprogram food revenues equal at least the same proportion as their food costs (7 CFR 210.14(f)). Nonprogram foods include any non-reimbursable foods purchased using funds from the nonprofit school food service account (NSFSA). This encompasses all foods sold in schools as well as adult meals, foods sold outside of school hours, or any foods used for catering or vending activities. For the majority of SFAs, a la carte foods and beverages offered during meal service account for the largest share of nonprogram foods.</w:t>
      </w:r>
    </w:p>
    <w:p w14:paraId="079B0DD6" w14:textId="75B1900E" w:rsidR="004011E7" w:rsidRPr="005F3CCF" w:rsidRDefault="004011E7" w:rsidP="00FF2B74">
      <w:pPr>
        <w:spacing w:before="120" w:after="120"/>
        <w:rPr>
          <w:rFonts w:cs="Times New Roman"/>
          <w:szCs w:val="24"/>
        </w:rPr>
      </w:pPr>
      <w:r w:rsidRPr="005F3CCF">
        <w:rPr>
          <w:rFonts w:cs="Times New Roman"/>
          <w:szCs w:val="24"/>
        </w:rPr>
        <w:t xml:space="preserve">The Virginia Department of Education, Office of School and Community Nutrition Programs (VDOE-SCNP) will now be requiring the new simplified approach to assess compliance with the tool. </w:t>
      </w:r>
      <w:r w:rsidR="00FF2B74" w:rsidRPr="005F3CCF">
        <w:rPr>
          <w:rFonts w:cs="Times New Roman"/>
          <w:szCs w:val="24"/>
        </w:rPr>
        <w:t xml:space="preserve">The </w:t>
      </w:r>
      <w:r w:rsidRPr="005F3CCF">
        <w:rPr>
          <w:rFonts w:cs="Times New Roman"/>
          <w:szCs w:val="24"/>
        </w:rPr>
        <w:t xml:space="preserve">SFAs are to complete the Tool by </w:t>
      </w:r>
      <w:r w:rsidRPr="005F3CCF">
        <w:rPr>
          <w:rFonts w:cs="Times New Roman"/>
          <w:b/>
          <w:szCs w:val="24"/>
        </w:rPr>
        <w:t>July 31, 2024.</w:t>
      </w:r>
    </w:p>
    <w:p w14:paraId="4CFAD1A0" w14:textId="1EAFC5A8" w:rsidR="004011E7" w:rsidRPr="005F3CCF" w:rsidRDefault="004011E7" w:rsidP="00FF2B74">
      <w:pPr>
        <w:pStyle w:val="Heading2"/>
        <w:spacing w:before="120" w:after="120"/>
        <w:rPr>
          <w:rFonts w:ascii="Times New Roman" w:hAnsi="Times New Roman" w:cs="Times New Roman"/>
          <w:b/>
          <w:bCs/>
          <w:color w:val="auto"/>
          <w:sz w:val="24"/>
          <w:szCs w:val="24"/>
        </w:rPr>
      </w:pPr>
      <w:r w:rsidRPr="005F3CCF">
        <w:rPr>
          <w:rFonts w:ascii="Times New Roman" w:hAnsi="Times New Roman" w:cs="Times New Roman"/>
          <w:b/>
          <w:bCs/>
          <w:color w:val="auto"/>
          <w:sz w:val="24"/>
          <w:szCs w:val="24"/>
        </w:rPr>
        <w:t>Action Required:</w:t>
      </w:r>
    </w:p>
    <w:p w14:paraId="4A3D1C38" w14:textId="688DA731" w:rsidR="003528D6" w:rsidRPr="005F3CCF" w:rsidRDefault="003528D6" w:rsidP="004011E7">
      <w:pPr>
        <w:pStyle w:val="ListParagraph"/>
        <w:numPr>
          <w:ilvl w:val="0"/>
          <w:numId w:val="1"/>
        </w:numPr>
        <w:rPr>
          <w:sz w:val="24"/>
          <w:szCs w:val="24"/>
        </w:rPr>
      </w:pPr>
      <w:r w:rsidRPr="005F3CCF">
        <w:rPr>
          <w:sz w:val="24"/>
          <w:szCs w:val="24"/>
        </w:rPr>
        <w:t>Review Attachment A to this memo</w:t>
      </w:r>
      <w:r w:rsidR="008B1643" w:rsidRPr="005F3CCF">
        <w:rPr>
          <w:sz w:val="24"/>
          <w:szCs w:val="24"/>
        </w:rPr>
        <w:t>, Nonprogram Revenue Tool</w:t>
      </w:r>
    </w:p>
    <w:p w14:paraId="252DE3F4" w14:textId="6159B9E3" w:rsidR="004011E7" w:rsidRPr="005F3CCF" w:rsidRDefault="004011E7" w:rsidP="004011E7">
      <w:pPr>
        <w:pStyle w:val="ListParagraph"/>
        <w:numPr>
          <w:ilvl w:val="0"/>
          <w:numId w:val="1"/>
        </w:numPr>
        <w:rPr>
          <w:sz w:val="24"/>
          <w:szCs w:val="24"/>
        </w:rPr>
      </w:pPr>
      <w:r w:rsidRPr="005F3CCF">
        <w:rPr>
          <w:sz w:val="24"/>
          <w:szCs w:val="24"/>
        </w:rPr>
        <w:t xml:space="preserve">Review the </w:t>
      </w:r>
      <w:r w:rsidRPr="005F3CCF">
        <w:rPr>
          <w:rFonts w:cs="Times New Roman"/>
          <w:color w:val="222222"/>
          <w:sz w:val="24"/>
          <w:szCs w:val="24"/>
          <w:shd w:val="clear" w:color="auto" w:fill="FFFFFF"/>
        </w:rPr>
        <w:t>pre-recorded training webinar located in the VDOE-SCNP Training Hub in Virtual Virginia</w:t>
      </w:r>
    </w:p>
    <w:p w14:paraId="56EFF401" w14:textId="1D017718" w:rsidR="004011E7" w:rsidRPr="005F3CCF" w:rsidRDefault="004011E7" w:rsidP="004011E7">
      <w:pPr>
        <w:pStyle w:val="ListParagraph"/>
        <w:numPr>
          <w:ilvl w:val="0"/>
          <w:numId w:val="1"/>
        </w:numPr>
        <w:rPr>
          <w:sz w:val="24"/>
          <w:szCs w:val="24"/>
        </w:rPr>
      </w:pPr>
      <w:r w:rsidRPr="005F3CCF">
        <w:rPr>
          <w:rFonts w:cs="Times New Roman"/>
          <w:bCs/>
          <w:color w:val="222222"/>
          <w:sz w:val="24"/>
          <w:szCs w:val="24"/>
          <w:shd w:val="clear" w:color="auto" w:fill="FFFFFF"/>
        </w:rPr>
        <w:t>Complete Nonprogram Revenue Tool</w:t>
      </w:r>
    </w:p>
    <w:p w14:paraId="49D121F8" w14:textId="1DDC1A00" w:rsidR="004011E7" w:rsidRPr="005F3CCF" w:rsidRDefault="004011E7" w:rsidP="004011E7">
      <w:pPr>
        <w:pStyle w:val="ListParagraph"/>
        <w:numPr>
          <w:ilvl w:val="0"/>
          <w:numId w:val="1"/>
        </w:numPr>
        <w:rPr>
          <w:sz w:val="24"/>
          <w:szCs w:val="24"/>
        </w:rPr>
      </w:pPr>
      <w:r w:rsidRPr="005F3CCF">
        <w:rPr>
          <w:rFonts w:cs="Times New Roman"/>
          <w:bCs/>
          <w:color w:val="222222"/>
          <w:sz w:val="24"/>
          <w:szCs w:val="24"/>
          <w:shd w:val="clear" w:color="auto" w:fill="FFFFFF"/>
        </w:rPr>
        <w:t>File the completed Nonprogram Revenue Tool locally in your office</w:t>
      </w:r>
      <w:r w:rsidRPr="005F3CCF">
        <w:rPr>
          <w:bCs/>
          <w:sz w:val="24"/>
          <w:szCs w:val="24"/>
        </w:rPr>
        <w:t xml:space="preserve"> for three years plus the current </w:t>
      </w:r>
      <w:proofErr w:type="gramStart"/>
      <w:r w:rsidRPr="005F3CCF">
        <w:rPr>
          <w:bCs/>
          <w:sz w:val="24"/>
          <w:szCs w:val="24"/>
        </w:rPr>
        <w:t>year</w:t>
      </w:r>
      <w:proofErr w:type="gramEnd"/>
    </w:p>
    <w:p w14:paraId="257CD788" w14:textId="77777777" w:rsidR="00FF2B74" w:rsidRPr="005F3CCF" w:rsidRDefault="00FF2B74" w:rsidP="00FF2B74">
      <w:pPr>
        <w:spacing w:before="120" w:after="120"/>
        <w:rPr>
          <w:b/>
          <w:bCs/>
          <w:color w:val="000000"/>
          <w:szCs w:val="24"/>
        </w:rPr>
      </w:pPr>
      <w:r w:rsidRPr="005F3CCF">
        <w:rPr>
          <w:b/>
          <w:bCs/>
          <w:color w:val="000000"/>
          <w:szCs w:val="24"/>
        </w:rPr>
        <w:t>For more Information</w:t>
      </w:r>
    </w:p>
    <w:p w14:paraId="416536B3" w14:textId="77777777" w:rsidR="00FF2B74" w:rsidRPr="005F3CCF" w:rsidRDefault="00FF2B74" w:rsidP="005F3CCF">
      <w:pPr>
        <w:spacing w:after="120"/>
        <w:rPr>
          <w:color w:val="000000"/>
          <w:szCs w:val="24"/>
        </w:rPr>
      </w:pPr>
      <w:r w:rsidRPr="005F3CCF">
        <w:rPr>
          <w:color w:val="000000"/>
          <w:szCs w:val="24"/>
        </w:rPr>
        <w:t xml:space="preserve">For more information or questions regarding the Nonprogram Revenue Tool, please contact your assigned School Nutrition Programs regional specialist. </w:t>
      </w:r>
    </w:p>
    <w:p w14:paraId="1E694241" w14:textId="011E8C34" w:rsidR="00FF2B74" w:rsidRPr="005F3CCF" w:rsidRDefault="00FF2B74" w:rsidP="00FF2B74">
      <w:pPr>
        <w:spacing w:after="120"/>
        <w:rPr>
          <w:b/>
          <w:bCs/>
          <w:color w:val="000000"/>
          <w:szCs w:val="24"/>
        </w:rPr>
      </w:pPr>
      <w:r w:rsidRPr="005F3CCF">
        <w:rPr>
          <w:b/>
          <w:bCs/>
          <w:color w:val="000000"/>
          <w:szCs w:val="24"/>
        </w:rPr>
        <w:t>Attachment:</w:t>
      </w:r>
    </w:p>
    <w:p w14:paraId="5C14B6CA" w14:textId="689F6B61" w:rsidR="00FF2B74" w:rsidRPr="005F3CCF" w:rsidRDefault="005F3CCF" w:rsidP="005F3CCF">
      <w:pPr>
        <w:pStyle w:val="ListParagraph"/>
        <w:numPr>
          <w:ilvl w:val="0"/>
          <w:numId w:val="3"/>
        </w:numPr>
        <w:spacing w:after="120"/>
        <w:rPr>
          <w:color w:val="000000"/>
          <w:sz w:val="24"/>
          <w:szCs w:val="24"/>
        </w:rPr>
      </w:pPr>
      <w:r w:rsidRPr="005F3CCF">
        <w:rPr>
          <w:color w:val="000000"/>
          <w:sz w:val="24"/>
          <w:szCs w:val="24"/>
        </w:rPr>
        <w:t>Nonprogram Revenue Tool</w:t>
      </w:r>
    </w:p>
    <w:p w14:paraId="59530266" w14:textId="62F05701" w:rsidR="009E2D0C" w:rsidRPr="00FF2B74" w:rsidRDefault="00FF2B74" w:rsidP="00FF2B74">
      <w:pPr>
        <w:rPr>
          <w:rFonts w:cs="Times New Roman"/>
          <w:szCs w:val="24"/>
        </w:rPr>
      </w:pPr>
      <w:r w:rsidRPr="00FF2B74">
        <w:rPr>
          <w:color w:val="000000"/>
          <w:szCs w:val="24"/>
        </w:rPr>
        <w:t>SCC/CNC/</w:t>
      </w:r>
      <w:proofErr w:type="spellStart"/>
      <w:r w:rsidRPr="00FF2B74">
        <w:rPr>
          <w:color w:val="000000"/>
          <w:szCs w:val="24"/>
        </w:rPr>
        <w:t>fd</w:t>
      </w:r>
      <w:proofErr w:type="spellEnd"/>
    </w:p>
    <w:sectPr w:rsidR="009E2D0C" w:rsidRPr="00FF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35726"/>
    <w:multiLevelType w:val="hybridMultilevel"/>
    <w:tmpl w:val="C43A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C6323"/>
    <w:multiLevelType w:val="hybridMultilevel"/>
    <w:tmpl w:val="24A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444D"/>
    <w:multiLevelType w:val="hybridMultilevel"/>
    <w:tmpl w:val="F78E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216194">
    <w:abstractNumId w:val="2"/>
  </w:num>
  <w:num w:numId="2" w16cid:durableId="962882287">
    <w:abstractNumId w:val="1"/>
  </w:num>
  <w:num w:numId="3" w16cid:durableId="61271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E7"/>
    <w:rsid w:val="000B69B8"/>
    <w:rsid w:val="003528D6"/>
    <w:rsid w:val="003B3D02"/>
    <w:rsid w:val="004011E7"/>
    <w:rsid w:val="005F3CCF"/>
    <w:rsid w:val="00781A93"/>
    <w:rsid w:val="007A7454"/>
    <w:rsid w:val="008B1643"/>
    <w:rsid w:val="009E2D0C"/>
    <w:rsid w:val="00D97A19"/>
    <w:rsid w:val="00E37A96"/>
    <w:rsid w:val="00FF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B8BF"/>
  <w15:chartTrackingRefBased/>
  <w15:docId w15:val="{4C2FA1E0-ED0D-470F-9E45-5D3DEDA3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E7"/>
    <w:pPr>
      <w:spacing w:after="200" w:line="276"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4011E7"/>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4011E7"/>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4011E7"/>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A7454"/>
    <w:pPr>
      <w:keepNext/>
      <w:keepLines/>
      <w:spacing w:before="40" w:after="0" w:line="240" w:lineRule="auto"/>
      <w:outlineLvl w:val="3"/>
    </w:pPr>
    <w:rPr>
      <w:rFonts w:asciiTheme="majorHAnsi" w:eastAsiaTheme="majorEastAsia" w:hAnsiTheme="majorHAnsi" w:cstheme="majorBidi"/>
      <w:i/>
      <w:iCs/>
      <w:color w:val="0F4761" w:themeColor="accent1" w:themeShade="BF"/>
      <w:kern w:val="2"/>
      <w:sz w:val="22"/>
      <w14:ligatures w14:val="standardContextual"/>
    </w:rPr>
  </w:style>
  <w:style w:type="paragraph" w:styleId="Heading5">
    <w:name w:val="heading 5"/>
    <w:basedOn w:val="Normal"/>
    <w:next w:val="Normal"/>
    <w:link w:val="Heading5Char"/>
    <w:uiPriority w:val="9"/>
    <w:semiHidden/>
    <w:unhideWhenUsed/>
    <w:qFormat/>
    <w:rsid w:val="004011E7"/>
    <w:pPr>
      <w:keepNext/>
      <w:keepLines/>
      <w:spacing w:before="80" w:after="40" w:line="240" w:lineRule="auto"/>
      <w:outlineLvl w:val="4"/>
    </w:pPr>
    <w:rPr>
      <w:rFonts w:asciiTheme="minorHAnsi" w:eastAsiaTheme="majorEastAsia" w:hAnsiTheme="minorHAnsi" w:cstheme="majorBidi"/>
      <w:color w:val="0F4761" w:themeColor="accent1" w:themeShade="BF"/>
      <w:kern w:val="2"/>
      <w:sz w:val="22"/>
      <w14:ligatures w14:val="standardContextual"/>
    </w:rPr>
  </w:style>
  <w:style w:type="paragraph" w:styleId="Heading6">
    <w:name w:val="heading 6"/>
    <w:basedOn w:val="Normal"/>
    <w:next w:val="Normal"/>
    <w:link w:val="Heading6Char"/>
    <w:uiPriority w:val="9"/>
    <w:semiHidden/>
    <w:unhideWhenUsed/>
    <w:qFormat/>
    <w:rsid w:val="004011E7"/>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2"/>
      <w14:ligatures w14:val="standardContextual"/>
    </w:rPr>
  </w:style>
  <w:style w:type="paragraph" w:styleId="Heading7">
    <w:name w:val="heading 7"/>
    <w:basedOn w:val="Normal"/>
    <w:next w:val="Normal"/>
    <w:link w:val="Heading7Char"/>
    <w:uiPriority w:val="9"/>
    <w:semiHidden/>
    <w:unhideWhenUsed/>
    <w:qFormat/>
    <w:rsid w:val="004011E7"/>
    <w:pPr>
      <w:keepNext/>
      <w:keepLines/>
      <w:spacing w:before="40" w:after="0" w:line="240" w:lineRule="auto"/>
      <w:outlineLvl w:val="6"/>
    </w:pPr>
    <w:rPr>
      <w:rFonts w:asciiTheme="minorHAnsi" w:eastAsiaTheme="majorEastAsia" w:hAnsiTheme="minorHAnsi" w:cstheme="majorBidi"/>
      <w:color w:val="595959" w:themeColor="text1" w:themeTint="A6"/>
      <w:kern w:val="2"/>
      <w:sz w:val="22"/>
      <w14:ligatures w14:val="standardContextual"/>
    </w:rPr>
  </w:style>
  <w:style w:type="paragraph" w:styleId="Heading8">
    <w:name w:val="heading 8"/>
    <w:basedOn w:val="Normal"/>
    <w:next w:val="Normal"/>
    <w:link w:val="Heading8Char"/>
    <w:uiPriority w:val="9"/>
    <w:semiHidden/>
    <w:unhideWhenUsed/>
    <w:qFormat/>
    <w:rsid w:val="004011E7"/>
    <w:pPr>
      <w:keepNext/>
      <w:keepLines/>
      <w:spacing w:after="0" w:line="240" w:lineRule="auto"/>
      <w:outlineLvl w:val="7"/>
    </w:pPr>
    <w:rPr>
      <w:rFonts w:asciiTheme="minorHAnsi" w:eastAsiaTheme="majorEastAsia" w:hAnsiTheme="minorHAnsi" w:cstheme="majorBidi"/>
      <w:i/>
      <w:iCs/>
      <w:color w:val="272727" w:themeColor="text1" w:themeTint="D8"/>
      <w:kern w:val="2"/>
      <w:sz w:val="22"/>
      <w14:ligatures w14:val="standardContextual"/>
    </w:rPr>
  </w:style>
  <w:style w:type="paragraph" w:styleId="Heading9">
    <w:name w:val="heading 9"/>
    <w:basedOn w:val="Normal"/>
    <w:next w:val="Normal"/>
    <w:link w:val="Heading9Char"/>
    <w:uiPriority w:val="9"/>
    <w:semiHidden/>
    <w:unhideWhenUsed/>
    <w:qFormat/>
    <w:rsid w:val="004011E7"/>
    <w:pPr>
      <w:keepNext/>
      <w:keepLines/>
      <w:spacing w:after="0" w:line="240" w:lineRule="auto"/>
      <w:outlineLvl w:val="8"/>
    </w:pPr>
    <w:rPr>
      <w:rFonts w:asciiTheme="minorHAnsi" w:eastAsiaTheme="majorEastAsia" w:hAnsiTheme="minorHAnsi" w:cstheme="majorBidi"/>
      <w:color w:val="272727" w:themeColor="text1" w:themeTint="D8"/>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A7454"/>
    <w:rPr>
      <w:rFonts w:asciiTheme="majorHAnsi" w:eastAsiaTheme="majorEastAsia" w:hAnsiTheme="majorHAnsi" w:cstheme="majorBidi"/>
      <w:i/>
      <w:iCs/>
      <w:color w:val="0F4761" w:themeColor="accent1" w:themeShade="BF"/>
    </w:rPr>
  </w:style>
  <w:style w:type="character" w:customStyle="1" w:styleId="Heading1Char">
    <w:name w:val="Heading 1 Char"/>
    <w:basedOn w:val="DefaultParagraphFont"/>
    <w:link w:val="Heading1"/>
    <w:uiPriority w:val="9"/>
    <w:rsid w:val="004011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011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011E7"/>
    <w:rPr>
      <w:rFonts w:eastAsiaTheme="majorEastAsia" w:cstheme="majorBidi"/>
      <w:color w:val="0F4761" w:themeColor="accent1" w:themeShade="BF"/>
      <w:sz w:val="28"/>
      <w:szCs w:val="28"/>
    </w:rPr>
  </w:style>
  <w:style w:type="character" w:customStyle="1" w:styleId="Heading5Char">
    <w:name w:val="Heading 5 Char"/>
    <w:basedOn w:val="DefaultParagraphFont"/>
    <w:link w:val="Heading5"/>
    <w:uiPriority w:val="9"/>
    <w:semiHidden/>
    <w:rsid w:val="004011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11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11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11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11E7"/>
    <w:rPr>
      <w:rFonts w:eastAsiaTheme="majorEastAsia" w:cstheme="majorBidi"/>
      <w:color w:val="272727" w:themeColor="text1" w:themeTint="D8"/>
    </w:rPr>
  </w:style>
  <w:style w:type="paragraph" w:styleId="Title">
    <w:name w:val="Title"/>
    <w:basedOn w:val="Normal"/>
    <w:next w:val="Normal"/>
    <w:link w:val="TitleChar"/>
    <w:uiPriority w:val="10"/>
    <w:qFormat/>
    <w:rsid w:val="004011E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011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1E7"/>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011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11E7"/>
    <w:pPr>
      <w:spacing w:before="160" w:after="160" w:line="240" w:lineRule="auto"/>
      <w:jc w:val="center"/>
    </w:pPr>
    <w:rPr>
      <w:i/>
      <w:iCs/>
      <w:color w:val="404040" w:themeColor="text1" w:themeTint="BF"/>
      <w:kern w:val="2"/>
      <w:sz w:val="22"/>
      <w14:ligatures w14:val="standardContextual"/>
    </w:rPr>
  </w:style>
  <w:style w:type="character" w:customStyle="1" w:styleId="QuoteChar">
    <w:name w:val="Quote Char"/>
    <w:basedOn w:val="DefaultParagraphFont"/>
    <w:link w:val="Quote"/>
    <w:uiPriority w:val="29"/>
    <w:rsid w:val="004011E7"/>
    <w:rPr>
      <w:rFonts w:ascii="Times New Roman" w:hAnsi="Times New Roman"/>
      <w:i/>
      <w:iCs/>
      <w:color w:val="404040" w:themeColor="text1" w:themeTint="BF"/>
    </w:rPr>
  </w:style>
  <w:style w:type="paragraph" w:styleId="ListParagraph">
    <w:name w:val="List Paragraph"/>
    <w:basedOn w:val="Normal"/>
    <w:uiPriority w:val="34"/>
    <w:qFormat/>
    <w:rsid w:val="004011E7"/>
    <w:pPr>
      <w:spacing w:after="0" w:line="240" w:lineRule="auto"/>
      <w:ind w:left="720"/>
      <w:contextualSpacing/>
    </w:pPr>
    <w:rPr>
      <w:kern w:val="2"/>
      <w:sz w:val="22"/>
      <w14:ligatures w14:val="standardContextual"/>
    </w:rPr>
  </w:style>
  <w:style w:type="character" w:styleId="IntenseEmphasis">
    <w:name w:val="Intense Emphasis"/>
    <w:basedOn w:val="DefaultParagraphFont"/>
    <w:uiPriority w:val="21"/>
    <w:qFormat/>
    <w:rsid w:val="004011E7"/>
    <w:rPr>
      <w:i/>
      <w:iCs/>
      <w:color w:val="0F4761" w:themeColor="accent1" w:themeShade="BF"/>
    </w:rPr>
  </w:style>
  <w:style w:type="paragraph" w:styleId="IntenseQuote">
    <w:name w:val="Intense Quote"/>
    <w:basedOn w:val="Normal"/>
    <w:next w:val="Normal"/>
    <w:link w:val="IntenseQuoteChar"/>
    <w:uiPriority w:val="30"/>
    <w:qFormat/>
    <w:rsid w:val="004011E7"/>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2"/>
      <w14:ligatures w14:val="standardContextual"/>
    </w:rPr>
  </w:style>
  <w:style w:type="character" w:customStyle="1" w:styleId="IntenseQuoteChar">
    <w:name w:val="Intense Quote Char"/>
    <w:basedOn w:val="DefaultParagraphFont"/>
    <w:link w:val="IntenseQuote"/>
    <w:uiPriority w:val="30"/>
    <w:rsid w:val="004011E7"/>
    <w:rPr>
      <w:rFonts w:ascii="Times New Roman" w:hAnsi="Times New Roman"/>
      <w:i/>
      <w:iCs/>
      <w:color w:val="0F4761" w:themeColor="accent1" w:themeShade="BF"/>
    </w:rPr>
  </w:style>
  <w:style w:type="character" w:styleId="IntenseReference">
    <w:name w:val="Intense Reference"/>
    <w:basedOn w:val="DefaultParagraphFont"/>
    <w:uiPriority w:val="32"/>
    <w:qFormat/>
    <w:rsid w:val="004011E7"/>
    <w:rPr>
      <w:b/>
      <w:bCs/>
      <w:smallCaps/>
      <w:color w:val="0F4761" w:themeColor="accent1" w:themeShade="BF"/>
      <w:spacing w:val="5"/>
    </w:rPr>
  </w:style>
  <w:style w:type="character" w:styleId="Strong">
    <w:name w:val="Strong"/>
    <w:basedOn w:val="DefaultParagraphFont"/>
    <w:uiPriority w:val="22"/>
    <w:rsid w:val="004011E7"/>
    <w:rPr>
      <w:b/>
      <w:bCs/>
    </w:rPr>
  </w:style>
  <w:style w:type="character" w:styleId="CommentReference">
    <w:name w:val="annotation reference"/>
    <w:basedOn w:val="DefaultParagraphFont"/>
    <w:uiPriority w:val="99"/>
    <w:semiHidden/>
    <w:unhideWhenUsed/>
    <w:rsid w:val="00FF2B74"/>
    <w:rPr>
      <w:sz w:val="16"/>
      <w:szCs w:val="16"/>
    </w:rPr>
  </w:style>
  <w:style w:type="paragraph" w:styleId="CommentText">
    <w:name w:val="annotation text"/>
    <w:basedOn w:val="Normal"/>
    <w:link w:val="CommentTextChar"/>
    <w:uiPriority w:val="99"/>
    <w:unhideWhenUsed/>
    <w:rsid w:val="00FF2B74"/>
    <w:pPr>
      <w:spacing w:line="240" w:lineRule="auto"/>
    </w:pPr>
    <w:rPr>
      <w:sz w:val="20"/>
      <w:szCs w:val="20"/>
    </w:rPr>
  </w:style>
  <w:style w:type="character" w:customStyle="1" w:styleId="CommentTextChar">
    <w:name w:val="Comment Text Char"/>
    <w:basedOn w:val="DefaultParagraphFont"/>
    <w:link w:val="CommentText"/>
    <w:uiPriority w:val="99"/>
    <w:rsid w:val="00FF2B74"/>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F2B74"/>
    <w:rPr>
      <w:b/>
      <w:bCs/>
    </w:rPr>
  </w:style>
  <w:style w:type="character" w:customStyle="1" w:styleId="CommentSubjectChar">
    <w:name w:val="Comment Subject Char"/>
    <w:basedOn w:val="CommentTextChar"/>
    <w:link w:val="CommentSubject"/>
    <w:uiPriority w:val="99"/>
    <w:semiHidden/>
    <w:rsid w:val="00FF2B74"/>
    <w:rPr>
      <w:rFonts w:ascii="Times New Roman" w:hAnsi="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e.virginia.gov/administrators/index.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0C25-2599-403C-86FE-04AC8CE7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2023-2024-88-nonprogram-revenue-tool</vt:lpstr>
    </vt:vector>
  </TitlesOfParts>
  <Company>VITA</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2023-2024-88-nonprogram-revenue-tool</dc:title>
  <dc:subject/>
  <dc:creator>NUTRITION@doe.virginia.gov</dc:creator>
  <cp:keywords>NonprogramRevenue Tool</cp:keywords>
  <dc:description/>
  <cp:lastModifiedBy>Pleasants-deborous, Fiora (DOE)</cp:lastModifiedBy>
  <cp:revision>5</cp:revision>
  <dcterms:created xsi:type="dcterms:W3CDTF">2024-06-11T14:07:00Z</dcterms:created>
  <dcterms:modified xsi:type="dcterms:W3CDTF">2024-06-25T13:59:00Z</dcterms:modified>
</cp:coreProperties>
</file>