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803E" w14:textId="383C80A9" w:rsidR="00282C60" w:rsidRDefault="00282C60" w:rsidP="00335E03">
      <w:pPr>
        <w:pStyle w:val="Heading1"/>
        <w:spacing w:after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Attachment </w:t>
      </w:r>
      <w:r w:rsidR="00506B27">
        <w:rPr>
          <w:b w:val="0"/>
          <w:bCs/>
          <w:sz w:val="24"/>
          <w:szCs w:val="24"/>
        </w:rPr>
        <w:t>C</w:t>
      </w:r>
    </w:p>
    <w:p w14:paraId="0D59953B" w14:textId="064B7A78" w:rsidR="00DC70E4" w:rsidRPr="00C7750B" w:rsidRDefault="003F73B3" w:rsidP="00335E03">
      <w:pPr>
        <w:pStyle w:val="Heading1"/>
        <w:spacing w:after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</w:t>
      </w:r>
      <w:r w:rsidR="0058616C">
        <w:rPr>
          <w:b w:val="0"/>
          <w:bCs/>
          <w:sz w:val="24"/>
          <w:szCs w:val="24"/>
        </w:rPr>
        <w:t>C</w:t>
      </w:r>
      <w:r w:rsidR="005349B4">
        <w:rPr>
          <w:b w:val="0"/>
          <w:bCs/>
          <w:sz w:val="24"/>
          <w:szCs w:val="24"/>
        </w:rPr>
        <w:t>NP Memo #202</w:t>
      </w:r>
      <w:r w:rsidR="00A92D47">
        <w:rPr>
          <w:b w:val="0"/>
          <w:bCs/>
          <w:sz w:val="24"/>
          <w:szCs w:val="24"/>
        </w:rPr>
        <w:t>3</w:t>
      </w:r>
      <w:r w:rsidR="005349B4">
        <w:rPr>
          <w:b w:val="0"/>
          <w:bCs/>
          <w:sz w:val="24"/>
          <w:szCs w:val="24"/>
        </w:rPr>
        <w:t>-202</w:t>
      </w:r>
      <w:r w:rsidR="00A92D47">
        <w:rPr>
          <w:b w:val="0"/>
          <w:bCs/>
          <w:sz w:val="24"/>
          <w:szCs w:val="24"/>
        </w:rPr>
        <w:t>4</w:t>
      </w:r>
      <w:r w:rsidR="005349B4">
        <w:rPr>
          <w:b w:val="0"/>
          <w:bCs/>
          <w:sz w:val="24"/>
          <w:szCs w:val="24"/>
        </w:rPr>
        <w:t>-</w:t>
      </w:r>
      <w:r w:rsidR="0058616C">
        <w:rPr>
          <w:b w:val="0"/>
          <w:bCs/>
          <w:sz w:val="24"/>
          <w:szCs w:val="24"/>
        </w:rPr>
        <w:t>80</w:t>
      </w:r>
    </w:p>
    <w:p w14:paraId="40BEAF95" w14:textId="1102D946" w:rsidR="00DC70E4" w:rsidRDefault="003F73B3" w:rsidP="0058616C">
      <w:pPr>
        <w:pStyle w:val="Heading1"/>
      </w:pPr>
      <w:r>
        <w:rPr>
          <w:b w:val="0"/>
          <w:sz w:val="24"/>
          <w:szCs w:val="24"/>
        </w:rPr>
        <w:t xml:space="preserve">May </w:t>
      </w:r>
      <w:r w:rsidR="00CF1022">
        <w:rPr>
          <w:b w:val="0"/>
          <w:sz w:val="24"/>
          <w:szCs w:val="24"/>
        </w:rPr>
        <w:t>23</w:t>
      </w:r>
      <w:r w:rsidR="00DC70E4" w:rsidRPr="00C7750B">
        <w:rPr>
          <w:b w:val="0"/>
          <w:sz w:val="24"/>
          <w:szCs w:val="24"/>
        </w:rPr>
        <w:t>, 202</w:t>
      </w:r>
      <w:r w:rsidR="00A92D47">
        <w:rPr>
          <w:b w:val="0"/>
          <w:sz w:val="24"/>
          <w:szCs w:val="24"/>
        </w:rPr>
        <w:t>4</w:t>
      </w:r>
    </w:p>
    <w:p w14:paraId="1D1D54A0" w14:textId="46E97C1F" w:rsidR="00506B27" w:rsidRPr="006416DD" w:rsidRDefault="00506B27" w:rsidP="006416DD">
      <w:pPr>
        <w:pStyle w:val="Heading2"/>
        <w:rPr>
          <w:b w:val="0"/>
          <w:sz w:val="44"/>
          <w:szCs w:val="44"/>
        </w:rPr>
      </w:pPr>
      <w:r w:rsidRPr="006416DD">
        <w:rPr>
          <w:b w:val="0"/>
          <w:bCs w:val="0"/>
          <w:sz w:val="44"/>
          <w:szCs w:val="44"/>
        </w:rPr>
        <w:t>Evaluating Current CEP, Expiring CEP Cycles, and Termination</w:t>
      </w:r>
    </w:p>
    <w:p w14:paraId="09443653" w14:textId="031AECBA" w:rsidR="00506B27" w:rsidRPr="00E903AE" w:rsidRDefault="00506B27" w:rsidP="006416DD">
      <w:pPr>
        <w:pStyle w:val="Heading3"/>
        <w:spacing w:after="240"/>
      </w:pPr>
      <w:r w:rsidRPr="00E903AE">
        <w:t xml:space="preserve">Evaluating Current </w:t>
      </w:r>
      <w:r w:rsidR="00772B43">
        <w:t>Community Eligibility Provision (</w:t>
      </w:r>
      <w:r w:rsidRPr="00E903AE">
        <w:t>CEP</w:t>
      </w:r>
      <w:r w:rsidR="00772B43">
        <w:t>)</w:t>
      </w:r>
      <w:r w:rsidRPr="00E903AE">
        <w:t xml:space="preserve"> Schools for SY 2024-2025 Applications</w:t>
      </w:r>
    </w:p>
    <w:p w14:paraId="18E4CA79" w14:textId="77777777" w:rsidR="00506B27" w:rsidRDefault="00506B27" w:rsidP="006416DD">
      <w:r w:rsidRPr="000A7588">
        <w:t xml:space="preserve">LEAs must </w:t>
      </w:r>
      <w:r w:rsidRPr="00D02956">
        <w:rPr>
          <w:b/>
          <w:bCs/>
        </w:rPr>
        <w:t>evaluate the CEP Schedule in the SY 2024-2025 SNPWeb SFA Application</w:t>
      </w:r>
      <w:r>
        <w:t xml:space="preserve"> for </w:t>
      </w:r>
      <w:r w:rsidRPr="000A7588">
        <w:t>all currently approved CEP schools and groups, as soon as possible,</w:t>
      </w:r>
      <w:r>
        <w:t xml:space="preserve"> to determine if the school or group ISP reported for April 1, 2024, increased, requiring a new CEP application. </w:t>
      </w:r>
    </w:p>
    <w:p w14:paraId="1C383FE7" w14:textId="77777777" w:rsidR="00506B27" w:rsidRPr="00E903AE" w:rsidRDefault="00506B27">
      <w:pPr>
        <w:pStyle w:val="ListParagraph"/>
      </w:pPr>
      <w:r w:rsidRPr="00E903AE">
        <w:t xml:space="preserve">Approved CEP schools and groups with a new Data Year of 2023–2024 must submit a new CEP application by June 30, 2024. </w:t>
      </w:r>
    </w:p>
    <w:p w14:paraId="34F84062" w14:textId="77777777" w:rsidR="00506B27" w:rsidRPr="00E903AE" w:rsidRDefault="00506B27">
      <w:pPr>
        <w:pStyle w:val="ListParagraph"/>
      </w:pPr>
      <w:r w:rsidRPr="00E903AE">
        <w:t>Approved CEP schools and groups with a Data Year of 2022–2023 or earlier did not have a higher ISP on April 1, 2024, and will continue in year two, three, or four of the current cycle.</w:t>
      </w:r>
    </w:p>
    <w:p w14:paraId="32CAC3AC" w14:textId="77777777" w:rsidR="00506B27" w:rsidRPr="00E903AE" w:rsidRDefault="00506B27">
      <w:pPr>
        <w:pStyle w:val="ListParagraph"/>
      </w:pPr>
      <w:r w:rsidRPr="00E903AE">
        <w:t xml:space="preserve">Approved CEP schools and groups that make changes to add or remove schools from CEP must submit a new CEP application. </w:t>
      </w:r>
    </w:p>
    <w:p w14:paraId="2B48BB7B" w14:textId="6CD8C3C4" w:rsidR="00506B27" w:rsidRPr="00506B27" w:rsidRDefault="00506B27" w:rsidP="006416DD">
      <w:pPr>
        <w:pStyle w:val="Heading3"/>
        <w:spacing w:before="240" w:after="240"/>
      </w:pPr>
      <w:r w:rsidRPr="00506B27">
        <w:t>E</w:t>
      </w:r>
      <w:r>
        <w:t>xpiring CEP Cycles</w:t>
      </w:r>
    </w:p>
    <w:p w14:paraId="27C16FAF" w14:textId="23E4B37C" w:rsidR="00506B27" w:rsidRDefault="00506B27" w:rsidP="006416DD">
      <w:r w:rsidRPr="00D02956">
        <w:t>Approved CEP schools or groups</w:t>
      </w:r>
      <w:r w:rsidRPr="00D02956">
        <w:rPr>
          <w:b/>
          <w:bCs/>
        </w:rPr>
        <w:t xml:space="preserve"> with a four-year CEP cycle that expires at the end of SY 2023–2024</w:t>
      </w:r>
      <w:r>
        <w:t xml:space="preserve"> must submit a new CEP application by June 30, 2024. </w:t>
      </w:r>
    </w:p>
    <w:p w14:paraId="42E64A04" w14:textId="77777777" w:rsidR="00506B27" w:rsidRDefault="00506B27" w:rsidP="00E903AE">
      <w:pPr>
        <w:pStyle w:val="ListParagraph"/>
      </w:pPr>
      <w:r>
        <w:t>Refer to</w:t>
      </w:r>
      <w:hyperlink r:id="rId7" w:history="1">
        <w:r w:rsidRPr="00FD5DB9">
          <w:rPr>
            <w:rStyle w:val="Hyperlink"/>
          </w:rPr>
          <w:t xml:space="preserve"> SNP Memo #2023-2024-59, Attachment B</w:t>
        </w:r>
      </w:hyperlink>
      <w:r>
        <w:t xml:space="preserve">, for a list of LEAs with expiring CEP cycles. </w:t>
      </w:r>
    </w:p>
    <w:p w14:paraId="3DDD0FE0" w14:textId="42851181" w:rsidR="00506B27" w:rsidRPr="00506B27" w:rsidRDefault="00506B27" w:rsidP="006416DD">
      <w:pPr>
        <w:pStyle w:val="Heading3"/>
        <w:spacing w:before="240" w:after="240"/>
      </w:pPr>
      <w:r w:rsidRPr="00506B27">
        <w:t>Termination of CEP Participation</w:t>
      </w:r>
    </w:p>
    <w:p w14:paraId="17B25332" w14:textId="49C326FA" w:rsidR="00506B27" w:rsidRDefault="00506B27" w:rsidP="006416DD">
      <w:r>
        <w:t xml:space="preserve">LEAs that </w:t>
      </w:r>
      <w:r w:rsidRPr="00D02956">
        <w:rPr>
          <w:b/>
          <w:bCs/>
        </w:rPr>
        <w:t>elect to terminate school(s) or group(s) participation in CEP</w:t>
      </w:r>
      <w:r>
        <w:t xml:space="preserve"> prior to the end of the approved four-year cycle must notify the VDOE-SCNP by June 30 of the year prior.</w:t>
      </w:r>
    </w:p>
    <w:p w14:paraId="2F2E738A" w14:textId="77777777" w:rsidR="00506B27" w:rsidRPr="009D0CE5" w:rsidRDefault="00506B27">
      <w:pPr>
        <w:pStyle w:val="ListParagraph"/>
      </w:pPr>
      <w:r>
        <w:t>June 30, 2024, is the notification deadline t</w:t>
      </w:r>
      <w:r w:rsidRPr="009D0CE5">
        <w:t xml:space="preserve">o terminate CEP </w:t>
      </w:r>
      <w:r w:rsidRPr="0058616C">
        <w:t>participation</w:t>
      </w:r>
      <w:r w:rsidRPr="009D0CE5">
        <w:t xml:space="preserve"> in SY 202</w:t>
      </w:r>
      <w:r>
        <w:t>4</w:t>
      </w:r>
      <w:r w:rsidRPr="009D0CE5">
        <w:t>–202</w:t>
      </w:r>
      <w:r>
        <w:t>5.</w:t>
      </w:r>
    </w:p>
    <w:p w14:paraId="24134ED3" w14:textId="77777777" w:rsidR="00506B27" w:rsidRDefault="00506B27">
      <w:pPr>
        <w:pStyle w:val="ListParagraph"/>
      </w:pPr>
      <w:r>
        <w:t>Reasons for termination of CEP, including analysis of the financial impact, must be included in the notification.</w:t>
      </w:r>
    </w:p>
    <w:p w14:paraId="17BD1355" w14:textId="4AD31E9E" w:rsidR="00631183" w:rsidRDefault="00506B27">
      <w:pPr>
        <w:pStyle w:val="ListParagraph"/>
      </w:pPr>
      <w:r>
        <w:lastRenderedPageBreak/>
        <w:t xml:space="preserve">LEAs must submit the required VDOE form, found in SNPWeb, </w:t>
      </w:r>
      <w:r w:rsidRPr="009D0CE5">
        <w:rPr>
          <w:i/>
        </w:rPr>
        <w:t>SFA Notification to VDOE Termination of School Participation in CEP</w:t>
      </w:r>
      <w:r>
        <w:t xml:space="preserve">, to the Director of the VDOE-SCNP, Dr. Sandy Curwood, RDN, by email at </w:t>
      </w:r>
      <w:hyperlink r:id="rId8" w:history="1">
        <w:r w:rsidRPr="00BD23D5">
          <w:rPr>
            <w:rStyle w:val="Hyperlink"/>
          </w:rPr>
          <w:t>Sandra.Curwood@doe.virginia.gov</w:t>
        </w:r>
      </w:hyperlink>
      <w:r>
        <w:t xml:space="preserve">. </w:t>
      </w:r>
    </w:p>
    <w:sectPr w:rsidR="00631183" w:rsidSect="00616CD0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7579" w14:textId="77777777" w:rsidR="00C65F2C" w:rsidRDefault="00C65F2C" w:rsidP="00661067">
      <w:pPr>
        <w:spacing w:after="0" w:line="240" w:lineRule="auto"/>
      </w:pPr>
      <w:r>
        <w:separator/>
      </w:r>
    </w:p>
  </w:endnote>
  <w:endnote w:type="continuationSeparator" w:id="0">
    <w:p w14:paraId="42BA9A42" w14:textId="77777777" w:rsidR="00C65F2C" w:rsidRDefault="00C65F2C" w:rsidP="0066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775974"/>
      <w:docPartObj>
        <w:docPartGallery w:val="Page Numbers (Bottom of Page)"/>
        <w:docPartUnique/>
      </w:docPartObj>
    </w:sdtPr>
    <w:sdtContent>
      <w:p w14:paraId="54703E53" w14:textId="77777777" w:rsidR="00661067" w:rsidRDefault="00661067" w:rsidP="00CD0E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13D8E8" w14:textId="77777777" w:rsidR="00661067" w:rsidRDefault="00661067" w:rsidP="00C77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A5F" w14:textId="77777777" w:rsidR="00661067" w:rsidRDefault="00661067" w:rsidP="00C775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D4DF" w14:textId="77777777" w:rsidR="00C65F2C" w:rsidRDefault="00C65F2C" w:rsidP="00661067">
      <w:pPr>
        <w:spacing w:after="0" w:line="240" w:lineRule="auto"/>
      </w:pPr>
      <w:r>
        <w:separator/>
      </w:r>
    </w:p>
  </w:footnote>
  <w:footnote w:type="continuationSeparator" w:id="0">
    <w:p w14:paraId="085F2279" w14:textId="77777777" w:rsidR="00C65F2C" w:rsidRDefault="00C65F2C" w:rsidP="0066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84E5" w14:textId="77777777" w:rsidR="00282C60" w:rsidRDefault="00661067" w:rsidP="00661067">
    <w:pPr>
      <w:pStyle w:val="Heading1"/>
      <w:spacing w:after="0"/>
      <w:rPr>
        <w:b w:val="0"/>
        <w:sz w:val="24"/>
        <w:szCs w:val="24"/>
      </w:rPr>
    </w:pPr>
    <w:r w:rsidRPr="00DC70E4">
      <w:rPr>
        <w:b w:val="0"/>
        <w:sz w:val="24"/>
        <w:szCs w:val="24"/>
      </w:rPr>
      <w:t xml:space="preserve">Attachment </w:t>
    </w:r>
    <w:r>
      <w:rPr>
        <w:b w:val="0"/>
        <w:sz w:val="24"/>
        <w:szCs w:val="24"/>
      </w:rPr>
      <w:t>A</w:t>
    </w:r>
  </w:p>
  <w:p w14:paraId="1B4941A6" w14:textId="5A60BFD4" w:rsidR="00661067" w:rsidRPr="00DC70E4" w:rsidRDefault="003F14CA" w:rsidP="00661067">
    <w:pPr>
      <w:pStyle w:val="Heading1"/>
      <w:spacing w:after="0"/>
      <w:rPr>
        <w:b w:val="0"/>
        <w:sz w:val="24"/>
        <w:szCs w:val="24"/>
      </w:rPr>
    </w:pPr>
    <w:r>
      <w:rPr>
        <w:b w:val="0"/>
        <w:sz w:val="24"/>
        <w:szCs w:val="24"/>
      </w:rPr>
      <w:t>S</w:t>
    </w:r>
    <w:r w:rsidR="006F5D2A">
      <w:rPr>
        <w:b w:val="0"/>
        <w:sz w:val="24"/>
        <w:szCs w:val="24"/>
      </w:rPr>
      <w:t>C</w:t>
    </w:r>
    <w:r w:rsidR="005349B4">
      <w:rPr>
        <w:b w:val="0"/>
        <w:sz w:val="24"/>
        <w:szCs w:val="24"/>
      </w:rPr>
      <w:t>NP Memo #202</w:t>
    </w:r>
    <w:r w:rsidR="003214B3">
      <w:rPr>
        <w:b w:val="0"/>
        <w:sz w:val="24"/>
        <w:szCs w:val="24"/>
      </w:rPr>
      <w:t>3</w:t>
    </w:r>
    <w:r w:rsidR="005349B4">
      <w:rPr>
        <w:b w:val="0"/>
        <w:sz w:val="24"/>
        <w:szCs w:val="24"/>
      </w:rPr>
      <w:t>-202</w:t>
    </w:r>
    <w:r w:rsidR="003214B3">
      <w:rPr>
        <w:b w:val="0"/>
        <w:sz w:val="24"/>
        <w:szCs w:val="24"/>
      </w:rPr>
      <w:t>4</w:t>
    </w:r>
    <w:r w:rsidR="005349B4">
      <w:rPr>
        <w:b w:val="0"/>
        <w:sz w:val="24"/>
        <w:szCs w:val="24"/>
      </w:rPr>
      <w:t>-</w:t>
    </w:r>
    <w:r w:rsidR="006F5D2A">
      <w:rPr>
        <w:b w:val="0"/>
        <w:sz w:val="24"/>
        <w:szCs w:val="24"/>
      </w:rPr>
      <w:t>80</w:t>
    </w:r>
  </w:p>
  <w:p w14:paraId="22C402D8" w14:textId="36F54C5C" w:rsidR="003F73B3" w:rsidRPr="003F73B3" w:rsidRDefault="003F73B3" w:rsidP="003F73B3">
    <w:pPr>
      <w:pStyle w:val="Heading1"/>
      <w:rPr>
        <w:b w:val="0"/>
        <w:sz w:val="24"/>
        <w:szCs w:val="24"/>
      </w:rPr>
    </w:pPr>
    <w:r>
      <w:rPr>
        <w:b w:val="0"/>
        <w:sz w:val="24"/>
        <w:szCs w:val="24"/>
      </w:rPr>
      <w:t xml:space="preserve">May </w:t>
    </w:r>
    <w:r w:rsidR="00E903AE">
      <w:rPr>
        <w:b w:val="0"/>
        <w:sz w:val="24"/>
        <w:szCs w:val="24"/>
      </w:rPr>
      <w:t>23</w:t>
    </w:r>
    <w:r w:rsidR="00E37DEB">
      <w:rPr>
        <w:b w:val="0"/>
        <w:sz w:val="24"/>
        <w:szCs w:val="24"/>
      </w:rPr>
      <w:t>,</w:t>
    </w:r>
    <w:r w:rsidR="00661067" w:rsidRPr="00DC70E4">
      <w:rPr>
        <w:b w:val="0"/>
        <w:sz w:val="24"/>
        <w:szCs w:val="24"/>
      </w:rPr>
      <w:t xml:space="preserve"> 202</w:t>
    </w:r>
    <w:r w:rsidR="003214B3">
      <w:rPr>
        <w:b w:val="0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5999"/>
    <w:multiLevelType w:val="hybridMultilevel"/>
    <w:tmpl w:val="05480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59666F"/>
    <w:multiLevelType w:val="hybridMultilevel"/>
    <w:tmpl w:val="4CFA8D30"/>
    <w:lvl w:ilvl="0" w:tplc="D22EB1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BAF5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425DAD"/>
    <w:multiLevelType w:val="hybridMultilevel"/>
    <w:tmpl w:val="D8FE2BD8"/>
    <w:lvl w:ilvl="0" w:tplc="779E8CA8">
      <w:start w:val="1"/>
      <w:numFmt w:val="decimal"/>
      <w:lvlText w:val="%1."/>
      <w:lvlJc w:val="left"/>
      <w:pPr>
        <w:ind w:left="72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029C6"/>
    <w:multiLevelType w:val="hybridMultilevel"/>
    <w:tmpl w:val="6758313E"/>
    <w:lvl w:ilvl="0" w:tplc="A54CE2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324012"/>
    <w:multiLevelType w:val="hybridMultilevel"/>
    <w:tmpl w:val="7AEACA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14F85"/>
    <w:multiLevelType w:val="hybridMultilevel"/>
    <w:tmpl w:val="F19EBA52"/>
    <w:lvl w:ilvl="0" w:tplc="2272F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C7576"/>
    <w:multiLevelType w:val="hybridMultilevel"/>
    <w:tmpl w:val="171CE87E"/>
    <w:lvl w:ilvl="0" w:tplc="2272F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20E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7225E"/>
    <w:multiLevelType w:val="hybridMultilevel"/>
    <w:tmpl w:val="CB02AA76"/>
    <w:lvl w:ilvl="0" w:tplc="EADA4336">
      <w:start w:val="1"/>
      <w:numFmt w:val="bullet"/>
      <w:pStyle w:val="ListParagraph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9F69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474230">
    <w:abstractNumId w:val="5"/>
  </w:num>
  <w:num w:numId="2" w16cid:durableId="1332174798">
    <w:abstractNumId w:val="2"/>
  </w:num>
  <w:num w:numId="3" w16cid:durableId="1031414408">
    <w:abstractNumId w:val="3"/>
  </w:num>
  <w:num w:numId="4" w16cid:durableId="932401510">
    <w:abstractNumId w:val="1"/>
  </w:num>
  <w:num w:numId="5" w16cid:durableId="2130775403">
    <w:abstractNumId w:val="7"/>
  </w:num>
  <w:num w:numId="6" w16cid:durableId="896474252">
    <w:abstractNumId w:val="6"/>
  </w:num>
  <w:num w:numId="7" w16cid:durableId="620067635">
    <w:abstractNumId w:val="0"/>
  </w:num>
  <w:num w:numId="8" w16cid:durableId="1489832002">
    <w:abstractNumId w:val="8"/>
  </w:num>
  <w:num w:numId="9" w16cid:durableId="657464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D1"/>
    <w:rsid w:val="00026C42"/>
    <w:rsid w:val="00032841"/>
    <w:rsid w:val="00047100"/>
    <w:rsid w:val="0006392B"/>
    <w:rsid w:val="000668DB"/>
    <w:rsid w:val="000766E7"/>
    <w:rsid w:val="000B7E81"/>
    <w:rsid w:val="000D1BB9"/>
    <w:rsid w:val="00101A9D"/>
    <w:rsid w:val="00112ED1"/>
    <w:rsid w:val="001131A5"/>
    <w:rsid w:val="00117C74"/>
    <w:rsid w:val="00124E16"/>
    <w:rsid w:val="00141937"/>
    <w:rsid w:val="001508EE"/>
    <w:rsid w:val="00162820"/>
    <w:rsid w:val="001E2F3C"/>
    <w:rsid w:val="001F5E73"/>
    <w:rsid w:val="001F73ED"/>
    <w:rsid w:val="00213223"/>
    <w:rsid w:val="002142A6"/>
    <w:rsid w:val="0022054C"/>
    <w:rsid w:val="002209D0"/>
    <w:rsid w:val="00231882"/>
    <w:rsid w:val="00275DEA"/>
    <w:rsid w:val="00282C60"/>
    <w:rsid w:val="002866FE"/>
    <w:rsid w:val="00294D40"/>
    <w:rsid w:val="00302263"/>
    <w:rsid w:val="003043A7"/>
    <w:rsid w:val="003214B3"/>
    <w:rsid w:val="00334C19"/>
    <w:rsid w:val="00335E03"/>
    <w:rsid w:val="00351142"/>
    <w:rsid w:val="00352F11"/>
    <w:rsid w:val="00354884"/>
    <w:rsid w:val="003B5B86"/>
    <w:rsid w:val="003F14CA"/>
    <w:rsid w:val="003F73B3"/>
    <w:rsid w:val="004124B3"/>
    <w:rsid w:val="00432F88"/>
    <w:rsid w:val="00452023"/>
    <w:rsid w:val="00476F12"/>
    <w:rsid w:val="004C074E"/>
    <w:rsid w:val="004C7E94"/>
    <w:rsid w:val="004E21FB"/>
    <w:rsid w:val="004E3AC2"/>
    <w:rsid w:val="004F05BA"/>
    <w:rsid w:val="005005DE"/>
    <w:rsid w:val="00506B27"/>
    <w:rsid w:val="00514A16"/>
    <w:rsid w:val="00516573"/>
    <w:rsid w:val="00516E18"/>
    <w:rsid w:val="00524E93"/>
    <w:rsid w:val="005349B4"/>
    <w:rsid w:val="00542DD9"/>
    <w:rsid w:val="00561EAC"/>
    <w:rsid w:val="00565B41"/>
    <w:rsid w:val="00584809"/>
    <w:rsid w:val="00584F52"/>
    <w:rsid w:val="0058616C"/>
    <w:rsid w:val="005A16C2"/>
    <w:rsid w:val="005D4586"/>
    <w:rsid w:val="005D5B00"/>
    <w:rsid w:val="005E30A4"/>
    <w:rsid w:val="00616CD0"/>
    <w:rsid w:val="00627719"/>
    <w:rsid w:val="00631183"/>
    <w:rsid w:val="0063191F"/>
    <w:rsid w:val="006416DD"/>
    <w:rsid w:val="00644259"/>
    <w:rsid w:val="00661067"/>
    <w:rsid w:val="00674648"/>
    <w:rsid w:val="00675FC9"/>
    <w:rsid w:val="00677472"/>
    <w:rsid w:val="00677B8F"/>
    <w:rsid w:val="00696D9D"/>
    <w:rsid w:val="006A34F5"/>
    <w:rsid w:val="006A5C99"/>
    <w:rsid w:val="006B4EE0"/>
    <w:rsid w:val="006E7E60"/>
    <w:rsid w:val="006F1A78"/>
    <w:rsid w:val="006F216E"/>
    <w:rsid w:val="006F5D2A"/>
    <w:rsid w:val="00724943"/>
    <w:rsid w:val="00757264"/>
    <w:rsid w:val="00772B43"/>
    <w:rsid w:val="00776737"/>
    <w:rsid w:val="00780B13"/>
    <w:rsid w:val="00790F64"/>
    <w:rsid w:val="007C1EAA"/>
    <w:rsid w:val="00810F7F"/>
    <w:rsid w:val="00843822"/>
    <w:rsid w:val="00852A91"/>
    <w:rsid w:val="008832CC"/>
    <w:rsid w:val="008838C4"/>
    <w:rsid w:val="00897039"/>
    <w:rsid w:val="008C0520"/>
    <w:rsid w:val="008D1E5F"/>
    <w:rsid w:val="008D1F3F"/>
    <w:rsid w:val="008F4E72"/>
    <w:rsid w:val="00906EB9"/>
    <w:rsid w:val="009544B3"/>
    <w:rsid w:val="009777AF"/>
    <w:rsid w:val="009961FD"/>
    <w:rsid w:val="009D6D3F"/>
    <w:rsid w:val="00A2020C"/>
    <w:rsid w:val="00A32DAE"/>
    <w:rsid w:val="00A6576D"/>
    <w:rsid w:val="00A92D47"/>
    <w:rsid w:val="00B34409"/>
    <w:rsid w:val="00B44B2E"/>
    <w:rsid w:val="00B6778C"/>
    <w:rsid w:val="00BA701B"/>
    <w:rsid w:val="00BC5211"/>
    <w:rsid w:val="00C139AC"/>
    <w:rsid w:val="00C1575E"/>
    <w:rsid w:val="00C605FA"/>
    <w:rsid w:val="00C65F2C"/>
    <w:rsid w:val="00C7750B"/>
    <w:rsid w:val="00CA3C1A"/>
    <w:rsid w:val="00CA5B28"/>
    <w:rsid w:val="00CA5FC6"/>
    <w:rsid w:val="00CC48BA"/>
    <w:rsid w:val="00CF1022"/>
    <w:rsid w:val="00CF471E"/>
    <w:rsid w:val="00D27CE1"/>
    <w:rsid w:val="00D40E0C"/>
    <w:rsid w:val="00D734A4"/>
    <w:rsid w:val="00DA4BCD"/>
    <w:rsid w:val="00DA6CB1"/>
    <w:rsid w:val="00DB779C"/>
    <w:rsid w:val="00DC2E72"/>
    <w:rsid w:val="00DC70E4"/>
    <w:rsid w:val="00E16C7A"/>
    <w:rsid w:val="00E24990"/>
    <w:rsid w:val="00E37DEB"/>
    <w:rsid w:val="00E903AE"/>
    <w:rsid w:val="00EC4E52"/>
    <w:rsid w:val="00ED7AE0"/>
    <w:rsid w:val="00EE2F9D"/>
    <w:rsid w:val="00EE302E"/>
    <w:rsid w:val="00F015A8"/>
    <w:rsid w:val="00F17997"/>
    <w:rsid w:val="00F47422"/>
    <w:rsid w:val="00F9398F"/>
    <w:rsid w:val="00F93D97"/>
    <w:rsid w:val="00F9539E"/>
    <w:rsid w:val="00FC7BBF"/>
    <w:rsid w:val="00FD112F"/>
    <w:rsid w:val="00FD54EC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CE1CE"/>
  <w15:docId w15:val="{C1FAAAB3-77CA-4EB2-AACE-80DDC36D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ED1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067"/>
    <w:pPr>
      <w:keepNext/>
      <w:keepLines/>
      <w:spacing w:after="240"/>
      <w:jc w:val="righ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1022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3AE"/>
    <w:pPr>
      <w:keepNext/>
      <w:keepLines/>
      <w:spacing w:before="40" w:after="0"/>
      <w:outlineLvl w:val="2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12H1">
    <w:name w:val="Times New Roman 12 H1"/>
    <w:basedOn w:val="Heading1"/>
    <w:qFormat/>
    <w:rsid w:val="00EE302E"/>
    <w:pPr>
      <w:keepLines w:val="0"/>
      <w:spacing w:line="480" w:lineRule="auto"/>
    </w:pPr>
    <w:rPr>
      <w:rFonts w:eastAsia="Times New Roman" w:cs="Arial"/>
      <w:b w:val="0"/>
      <w:bCs/>
      <w:kern w:val="3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10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02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E903AE"/>
    <w:pPr>
      <w:numPr>
        <w:numId w:val="8"/>
      </w:numPr>
      <w:autoSpaceDE w:val="0"/>
      <w:autoSpaceDN w:val="0"/>
      <w:adjustRightInd w:val="0"/>
      <w:spacing w:after="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112ED1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112ED1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12ED1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903AE"/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6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0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067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61067"/>
  </w:style>
  <w:style w:type="paragraph" w:styleId="BalloonText">
    <w:name w:val="Balloon Text"/>
    <w:basedOn w:val="Normal"/>
    <w:link w:val="BalloonTextChar"/>
    <w:uiPriority w:val="99"/>
    <w:semiHidden/>
    <w:unhideWhenUsed/>
    <w:rsid w:val="006F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4E5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4943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7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urwood@doe.virgini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e.virginia.gov/programs-services/school-operations-support-services/school-nutrition/regulations-memos/director-s-memos-on-nutri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Director's Memo #2023-2024-80, Attachment C, Evaluating Current CEP, Expiring CEP Cycles, and Termination</vt:lpstr>
    </vt:vector>
  </TitlesOfParts>
  <Manager/>
  <Company>VDOE</Company>
  <LinksUpToDate>false</LinksUpToDate>
  <CharactersWithSpaces>2017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Director's Memo #2023-2024-80, Attachment C, Evaluating Current CEP, Expiring CEP Cycles, and Termination</dc:title>
  <dc:subject/>
  <dc:creator>DOE Nutrition</dc:creator>
  <cp:keywords>CEP Application 2024-2025</cp:keywords>
  <dc:description/>
  <cp:lastModifiedBy>Pleasants-deborous, Fiora (DOE)</cp:lastModifiedBy>
  <cp:revision>2</cp:revision>
  <dcterms:created xsi:type="dcterms:W3CDTF">2024-05-23T11:59:00Z</dcterms:created>
  <dcterms:modified xsi:type="dcterms:W3CDTF">2024-05-23T11:59:00Z</dcterms:modified>
  <cp:category/>
</cp:coreProperties>
</file>