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3776" w14:textId="30FEA0B9" w:rsidR="00676FBF" w:rsidRDefault="1AFD89BF" w:rsidP="698BB2C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20382D" wp14:editId="336A04F2">
            <wp:extent cx="8973516" cy="183832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143" cy="18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47D6" w14:textId="187D8435" w:rsidR="00240433" w:rsidRDefault="0CD0B6B4" w:rsidP="5D43704D">
      <w:pPr>
        <w:jc w:val="center"/>
        <w:rPr>
          <w:b/>
          <w:bCs/>
          <w:sz w:val="32"/>
          <w:szCs w:val="32"/>
        </w:rPr>
      </w:pPr>
      <w:r w:rsidRPr="5D43704D">
        <w:rPr>
          <w:b/>
          <w:bCs/>
          <w:sz w:val="32"/>
          <w:szCs w:val="32"/>
        </w:rPr>
        <w:t>Division Support Plan Crosswalk</w:t>
      </w:r>
    </w:p>
    <w:p w14:paraId="2CBAF2A2" w14:textId="5FDB63F0" w:rsidR="004904F2" w:rsidRDefault="004904F2" w:rsidP="004904F2">
      <w:pPr>
        <w:spacing w:after="0" w:line="239" w:lineRule="auto"/>
        <w:ind w:left="-90"/>
        <w:rPr>
          <w:sz w:val="24"/>
          <w:szCs w:val="24"/>
        </w:rPr>
      </w:pPr>
      <w:r w:rsidRPr="32672952">
        <w:rPr>
          <w:sz w:val="24"/>
          <w:szCs w:val="24"/>
        </w:rPr>
        <w:t>Th</w:t>
      </w:r>
      <w:r w:rsidR="4E1BD58A" w:rsidRPr="32672952">
        <w:rPr>
          <w:sz w:val="24"/>
          <w:szCs w:val="24"/>
        </w:rPr>
        <w:t>e purpose of the</w:t>
      </w:r>
      <w:r w:rsidRPr="32672952">
        <w:rPr>
          <w:sz w:val="24"/>
          <w:szCs w:val="24"/>
        </w:rPr>
        <w:t xml:space="preserve"> </w:t>
      </w:r>
      <w:r w:rsidR="0892FA26" w:rsidRPr="32672952">
        <w:rPr>
          <w:sz w:val="24"/>
          <w:szCs w:val="24"/>
        </w:rPr>
        <w:t>Division Support Plan Cr</w:t>
      </w:r>
      <w:r w:rsidRPr="32672952">
        <w:rPr>
          <w:sz w:val="24"/>
          <w:szCs w:val="24"/>
        </w:rPr>
        <w:t xml:space="preserve">osswalk </w:t>
      </w:r>
      <w:r w:rsidR="23662394" w:rsidRPr="32672952">
        <w:rPr>
          <w:sz w:val="24"/>
          <w:szCs w:val="24"/>
        </w:rPr>
        <w:t xml:space="preserve">is to </w:t>
      </w:r>
      <w:r w:rsidR="68B37630" w:rsidRPr="32672952">
        <w:rPr>
          <w:sz w:val="24"/>
          <w:szCs w:val="24"/>
        </w:rPr>
        <w:t xml:space="preserve">provide </w:t>
      </w:r>
      <w:r w:rsidRPr="32672952">
        <w:rPr>
          <w:sz w:val="24"/>
          <w:szCs w:val="24"/>
        </w:rPr>
        <w:t>division leaders</w:t>
      </w:r>
      <w:r w:rsidR="742E6764" w:rsidRPr="32672952">
        <w:rPr>
          <w:sz w:val="24"/>
          <w:szCs w:val="24"/>
        </w:rPr>
        <w:t xml:space="preserve"> </w:t>
      </w:r>
      <w:r w:rsidR="269DC456" w:rsidRPr="2CF0E854">
        <w:rPr>
          <w:sz w:val="24"/>
          <w:szCs w:val="24"/>
        </w:rPr>
        <w:t xml:space="preserve">with </w:t>
      </w:r>
      <w:r w:rsidR="70139ACB" w:rsidRPr="32672952">
        <w:rPr>
          <w:sz w:val="24"/>
          <w:szCs w:val="24"/>
        </w:rPr>
        <w:t xml:space="preserve">a tool </w:t>
      </w:r>
      <w:r w:rsidR="0C0623B0" w:rsidRPr="32672952">
        <w:rPr>
          <w:sz w:val="24"/>
          <w:szCs w:val="24"/>
        </w:rPr>
        <w:t>to use for t</w:t>
      </w:r>
      <w:r w:rsidR="6E4C0322" w:rsidRPr="32672952">
        <w:rPr>
          <w:sz w:val="24"/>
          <w:szCs w:val="24"/>
        </w:rPr>
        <w:t xml:space="preserve">he </w:t>
      </w:r>
      <w:r w:rsidRPr="32672952">
        <w:rPr>
          <w:sz w:val="24"/>
          <w:szCs w:val="24"/>
        </w:rPr>
        <w:t>align</w:t>
      </w:r>
      <w:r w:rsidR="4579E011" w:rsidRPr="32672952">
        <w:rPr>
          <w:sz w:val="24"/>
          <w:szCs w:val="24"/>
        </w:rPr>
        <w:t xml:space="preserve">ment of </w:t>
      </w:r>
      <w:r w:rsidRPr="32672952">
        <w:rPr>
          <w:sz w:val="24"/>
          <w:szCs w:val="24"/>
        </w:rPr>
        <w:t>the Virginia Support Framework to a</w:t>
      </w:r>
      <w:r w:rsidR="41557B15" w:rsidRPr="32672952">
        <w:rPr>
          <w:sz w:val="24"/>
          <w:szCs w:val="24"/>
        </w:rPr>
        <w:t xml:space="preserve"> current</w:t>
      </w:r>
      <w:r w:rsidRPr="32672952">
        <w:rPr>
          <w:sz w:val="24"/>
          <w:szCs w:val="24"/>
        </w:rPr>
        <w:t xml:space="preserve"> division plan. </w:t>
      </w:r>
      <w:r w:rsidR="58064DF9" w:rsidRPr="32672952">
        <w:rPr>
          <w:sz w:val="24"/>
          <w:szCs w:val="24"/>
        </w:rPr>
        <w:t>Evidence submitted in the crosswalk should align to one focus area in each domain.</w:t>
      </w:r>
      <w:r w:rsidR="005A3F7C" w:rsidRPr="32672952">
        <w:rPr>
          <w:sz w:val="24"/>
          <w:szCs w:val="24"/>
        </w:rPr>
        <w:t xml:space="preserve"> </w:t>
      </w:r>
      <w:r w:rsidR="1C054B27" w:rsidRPr="32672952">
        <w:rPr>
          <w:sz w:val="24"/>
          <w:szCs w:val="24"/>
        </w:rPr>
        <w:t>T</w:t>
      </w:r>
      <w:r w:rsidRPr="32672952">
        <w:rPr>
          <w:sz w:val="24"/>
          <w:szCs w:val="24"/>
        </w:rPr>
        <w:t>he VDOE Division Support Plan</w:t>
      </w:r>
      <w:r w:rsidR="1A697AC6" w:rsidRPr="32672952">
        <w:rPr>
          <w:sz w:val="24"/>
          <w:szCs w:val="24"/>
        </w:rPr>
        <w:t xml:space="preserve"> may be used to supplement the crosswalk if current division documentation requires further evidence in one or more domains.</w:t>
      </w:r>
      <w:r w:rsidRPr="32672952">
        <w:rPr>
          <w:sz w:val="24"/>
          <w:szCs w:val="24"/>
        </w:rPr>
        <w:t xml:space="preserve"> </w:t>
      </w:r>
    </w:p>
    <w:p w14:paraId="6208A0B0" w14:textId="66CD3C83" w:rsidR="004904F2" w:rsidRDefault="004904F2" w:rsidP="004904F2">
      <w:pPr>
        <w:spacing w:after="0" w:line="239" w:lineRule="auto"/>
        <w:ind w:left="-90"/>
        <w:rPr>
          <w:sz w:val="24"/>
          <w:szCs w:val="24"/>
        </w:rPr>
      </w:pPr>
    </w:p>
    <w:p w14:paraId="6E26BD98" w14:textId="77777777" w:rsidR="00FB438E" w:rsidRPr="00FB438E" w:rsidRDefault="00FB438E" w:rsidP="00FB43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438E">
        <w:rPr>
          <w:rFonts w:ascii="Calibri" w:eastAsia="Times New Roman" w:hAnsi="Calibri" w:cs="Calibri"/>
          <w:b/>
          <w:bCs/>
          <w:sz w:val="32"/>
          <w:szCs w:val="32"/>
        </w:rPr>
        <w:t>Profile Information: </w:t>
      </w:r>
      <w:r w:rsidRPr="00FB438E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7911"/>
      </w:tblGrid>
      <w:tr w:rsidR="00FB438E" w:rsidRPr="00FB438E" w14:paraId="69BC7247" w14:textId="77777777" w:rsidTr="42950A4D">
        <w:trPr>
          <w:trHeight w:val="480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44573E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Division: 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3DC6F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Division Contact Name: 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B438E" w:rsidRPr="00FB438E" w14:paraId="28185FCC" w14:textId="77777777" w:rsidTr="42950A4D">
        <w:trPr>
          <w:trHeight w:val="462"/>
        </w:trPr>
        <w:tc>
          <w:tcPr>
            <w:tcW w:w="6473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78F378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Documents Submitted: 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12F18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Division Contact Email: 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b/>
                <w:bCs/>
                <w:color w:val="080808"/>
                <w:shd w:val="clear" w:color="auto" w:fill="E1E3E6"/>
              </w:rPr>
              <w:t> 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B438E" w:rsidRPr="00FB438E" w14:paraId="780EE3E4" w14:textId="77777777" w:rsidTr="42950A4D">
        <w:trPr>
          <w:trHeight w:val="675"/>
        </w:trPr>
        <w:tc>
          <w:tcPr>
            <w:tcW w:w="6473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CDDF79" w14:textId="0810BF3E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 of Schools with </w:t>
            </w: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Level 2 Academic Achievement for all students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92CF55E" w14:textId="354F790C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      ​Math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 ​English</w: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 ​Science </w: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E943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DD1E5" w14:textId="6BA31B3D" w:rsidR="00FB438E" w:rsidRPr="00FB438E" w:rsidRDefault="00E9437D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 of Schools with 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Level 3 Indicators: 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="00FB438E"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EFA0141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B438E" w:rsidRPr="00FB438E" w14:paraId="703044FF" w14:textId="77777777" w:rsidTr="42950A4D">
        <w:trPr>
          <w:trHeight w:val="600"/>
        </w:trPr>
        <w:tc>
          <w:tcPr>
            <w:tcW w:w="14384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3083C" w14:textId="77777777" w:rsidR="00E9437D" w:rsidRDefault="00E9437D" w:rsidP="00FB43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 of Schools with </w:t>
            </w:r>
            <w:r w:rsidR="00FB438E"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Federal Identification:     </w:t>
            </w:r>
          </w:p>
          <w:p w14:paraId="5F48561D" w14:textId="77777777" w:rsidR="005A3F7C" w:rsidRDefault="00FB438E" w:rsidP="001263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Comprehensive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Support &amp; Improvement (CSI)  </w:t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​</w:t>
            </w:r>
          </w:p>
          <w:p w14:paraId="6387F113" w14:textId="77777777" w:rsidR="005A3F7C" w:rsidRDefault="00FB438E" w:rsidP="001263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Targeted Support &amp; Improvement (</w:t>
            </w:r>
            <w:proofErr w:type="gramStart"/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TSI)   </w:t>
            </w:r>
            <w:proofErr w:type="gramEnd"/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126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  <w:p w14:paraId="17CEB631" w14:textId="32D042F2" w:rsidR="00FB438E" w:rsidRPr="00FB438E" w:rsidRDefault="00FB438E" w:rsidP="0012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Additional Targeted Support &amp; Improvement (ATSI) </w:t>
            </w:r>
            <w:r w:rsidR="005A3F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3F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5A3F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5A3F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5A3F7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A3F7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A3F7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A3F7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A3F7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A3F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</w:tr>
      <w:tr w:rsidR="00FB438E" w:rsidRPr="00FB438E" w14:paraId="452E6D03" w14:textId="77777777" w:rsidTr="42950A4D">
        <w:trPr>
          <w:trHeight w:val="300"/>
        </w:trPr>
        <w:tc>
          <w:tcPr>
            <w:tcW w:w="14384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3EA9E" w14:textId="07C52FFF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Domains Completed</w:t>
            </w:r>
            <w:r w:rsidR="005A3F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 the Crosswalk</w:t>
            </w:r>
            <w:r w:rsidRPr="00FB4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ADC6C2B" w14:textId="77777777" w:rsidR="00FB438E" w:rsidRPr="00FB438E" w:rsidRDefault="00FB438E" w:rsidP="00FB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Academic Supports  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Staffing Supports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Professional Learning Supports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School Climate Supports </w:t>
            </w:r>
          </w:p>
        </w:tc>
      </w:tr>
      <w:tr w:rsidR="005A3F7C" w:rsidRPr="00FB438E" w14:paraId="1E028A0E" w14:textId="77777777" w:rsidTr="42950A4D">
        <w:trPr>
          <w:trHeight w:val="300"/>
        </w:trPr>
        <w:tc>
          <w:tcPr>
            <w:tcW w:w="14384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8D249" w14:textId="77777777" w:rsidR="005A3F7C" w:rsidRDefault="005A3F7C" w:rsidP="00FB43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 which areas, if any, will the division supplement the crosswalk with a domain of the Division Support Plan?</w:t>
            </w:r>
          </w:p>
          <w:p w14:paraId="4B01C580" w14:textId="61DACA45" w:rsidR="005A3F7C" w:rsidRPr="00FB438E" w:rsidRDefault="005A3F7C" w:rsidP="00FB43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Academic Supports  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Staffing Supports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Professional Learning Supports                 ​</w:t>
            </w:r>
            <w:r w:rsidRPr="00FB438E">
              <w:rPr>
                <w:rFonts w:ascii="Segoe UI Symbol" w:eastAsia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FB43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​ School Climate Supports </w:t>
            </w:r>
          </w:p>
        </w:tc>
      </w:tr>
    </w:tbl>
    <w:p w14:paraId="024D12E4" w14:textId="2291189D" w:rsidR="004904F2" w:rsidRDefault="004904F2" w:rsidP="004904F2">
      <w:pPr>
        <w:spacing w:after="0" w:line="239" w:lineRule="auto"/>
        <w:rPr>
          <w:sz w:val="24"/>
          <w:szCs w:val="24"/>
        </w:rPr>
      </w:pPr>
    </w:p>
    <w:p w14:paraId="1A69D62F" w14:textId="77777777" w:rsidR="00FB438E" w:rsidRPr="004904F2" w:rsidRDefault="00FB438E" w:rsidP="004904F2">
      <w:pPr>
        <w:spacing w:after="0" w:line="239" w:lineRule="auto"/>
        <w:rPr>
          <w:sz w:val="24"/>
          <w:szCs w:val="24"/>
        </w:rPr>
      </w:pPr>
    </w:p>
    <w:p w14:paraId="430DA590" w14:textId="26FE4204" w:rsidR="32672952" w:rsidRDefault="32672952" w:rsidP="32672952">
      <w:pPr>
        <w:spacing w:after="0" w:line="239" w:lineRule="auto"/>
        <w:rPr>
          <w:sz w:val="24"/>
          <w:szCs w:val="24"/>
        </w:rPr>
      </w:pPr>
    </w:p>
    <w:p w14:paraId="2840FA7B" w14:textId="2BC687CE" w:rsidR="32672952" w:rsidRDefault="32672952" w:rsidP="32672952">
      <w:pPr>
        <w:spacing w:after="0" w:line="239" w:lineRule="auto"/>
        <w:rPr>
          <w:sz w:val="24"/>
          <w:szCs w:val="24"/>
        </w:rPr>
      </w:pPr>
    </w:p>
    <w:tbl>
      <w:tblPr>
        <w:tblStyle w:val="TableGrid"/>
        <w:tblW w:w="14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20"/>
        <w:gridCol w:w="1680"/>
        <w:gridCol w:w="11355"/>
      </w:tblGrid>
      <w:tr w:rsidR="00676FBF" w14:paraId="08450F6B" w14:textId="77777777" w:rsidTr="32672952">
        <w:trPr>
          <w:trHeight w:val="390"/>
        </w:trPr>
        <w:tc>
          <w:tcPr>
            <w:tcW w:w="1320" w:type="dxa"/>
            <w:tcBorders>
              <w:top w:val="single" w:sz="6" w:space="0" w:color="080808"/>
              <w:left w:val="single" w:sz="6" w:space="0" w:color="080808"/>
              <w:bottom w:val="single" w:sz="0" w:space="0" w:color="080808"/>
              <w:right w:val="single" w:sz="6" w:space="0" w:color="080808"/>
            </w:tcBorders>
            <w:shd w:val="clear" w:color="auto" w:fill="27998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6691C02B" w14:textId="2A07A99F" w:rsidR="00676FBF" w:rsidRPr="5D43704D" w:rsidRDefault="00676FBF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lastRenderedPageBreak/>
              <w:t>Domain</w:t>
            </w:r>
          </w:p>
        </w:tc>
        <w:tc>
          <w:tcPr>
            <w:tcW w:w="168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0086150E" w14:textId="4273C8E3" w:rsidR="00676FBF" w:rsidRPr="5D43704D" w:rsidRDefault="00676FBF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113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2E26EFD" w14:textId="6EEE7F1C" w:rsidR="00676FBF" w:rsidRPr="5D43704D" w:rsidRDefault="00676FBF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</w:tr>
      <w:tr w:rsidR="00E26C08" w14:paraId="5A85529E" w14:textId="77777777" w:rsidTr="32672952">
        <w:trPr>
          <w:trHeight w:val="960"/>
        </w:trPr>
        <w:tc>
          <w:tcPr>
            <w:tcW w:w="1320" w:type="dxa"/>
            <w:vMerge w:val="restart"/>
            <w:tcBorders>
              <w:top w:val="single" w:sz="6" w:space="0" w:color="080808"/>
              <w:left w:val="single" w:sz="6" w:space="0" w:color="080808"/>
              <w:right w:val="single" w:sz="6" w:space="0" w:color="080808"/>
            </w:tcBorders>
            <w:shd w:val="clear" w:color="auto" w:fill="27998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4D611614" w14:textId="61D6FCA2" w:rsidR="00E26C08" w:rsidRDefault="00E26C08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Academic</w:t>
            </w:r>
          </w:p>
          <w:p w14:paraId="5037D3EB" w14:textId="10334FD8" w:rsidR="00E26C08" w:rsidRPr="00E26C08" w:rsidRDefault="00E26C08" w:rsidP="00E26C08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Supports</w:t>
            </w: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80808"/>
              <w:left w:val="single" w:sz="6" w:space="0" w:color="080808"/>
              <w:right w:val="single" w:sz="6" w:space="0" w:color="080808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4A1566BC" w14:textId="77777777" w:rsidR="00E26C08" w:rsidRDefault="00E26C08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 xml:space="preserve">High-Quality </w:t>
            </w:r>
          </w:p>
          <w:p w14:paraId="253290A6" w14:textId="32131CAE" w:rsidR="00E26C08" w:rsidRDefault="00E26C08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Instructional Materials</w:t>
            </w:r>
          </w:p>
        </w:tc>
        <w:tc>
          <w:tcPr>
            <w:tcW w:w="11355" w:type="dxa"/>
            <w:tcBorders>
              <w:top w:val="single" w:sz="6" w:space="0" w:color="080808"/>
              <w:left w:val="single" w:sz="6" w:space="0" w:color="080808"/>
              <w:right w:val="single" w:sz="6" w:space="0" w:color="080808"/>
            </w:tcBorders>
            <w:shd w:val="clear" w:color="auto" w:fill="auto"/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557F4469" w14:textId="257A1DE2" w:rsidR="00E26C08" w:rsidRDefault="00E26C08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acquires high-quality instructional materials that are aligned to learning expectations.</w:t>
            </w:r>
          </w:p>
          <w:p w14:paraId="34DE7196" w14:textId="0081BC57" w:rsidR="00E26C08" w:rsidRDefault="00E26C08" w:rsidP="698BB2CA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698BB2CA">
              <w:rPr>
                <w:rFonts w:ascii="Calibri" w:eastAsia="Calibri" w:hAnsi="Calibri" w:cs="Calibri"/>
                <w:color w:val="080808"/>
              </w:rPr>
              <w:t xml:space="preserve">School division develops &amp; implements a curriculum and assessment plan that is rigorous, intentional, and aligned to the Virginia Standards of Learning. </w:t>
            </w:r>
          </w:p>
        </w:tc>
      </w:tr>
      <w:tr w:rsidR="00E26C08" w14:paraId="192F8DF6" w14:textId="77777777" w:rsidTr="00DD112B">
        <w:trPr>
          <w:trHeight w:val="1513"/>
        </w:trPr>
        <w:tc>
          <w:tcPr>
            <w:tcW w:w="1320" w:type="dxa"/>
            <w:vMerge/>
            <w:tcBorders>
              <w:left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F5CD2E8" w14:textId="77777777" w:rsidR="00E26C08" w:rsidRDefault="00E26C08"/>
        </w:tc>
        <w:tc>
          <w:tcPr>
            <w:tcW w:w="168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3094748" w14:textId="77777777" w:rsidR="00E26C08" w:rsidRDefault="00E26C08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 xml:space="preserve">High-Quality </w:t>
            </w:r>
          </w:p>
          <w:p w14:paraId="549B55C1" w14:textId="06006AF4" w:rsidR="00E26C08" w:rsidRDefault="00E26C08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Instructional Routines</w:t>
            </w:r>
          </w:p>
        </w:tc>
        <w:tc>
          <w:tcPr>
            <w:tcW w:w="113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1DC475FE" w14:textId="38509476" w:rsidR="00E26C08" w:rsidRDefault="00E26C08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leaders aid school leaders in developing school operations and logistical instructional routines that support efficient and optimal learning.</w:t>
            </w:r>
          </w:p>
          <w:p w14:paraId="37A4B3A8" w14:textId="78C0BE58" w:rsidR="00E26C08" w:rsidRDefault="00E26C08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698BB2CA">
              <w:rPr>
                <w:rFonts w:ascii="Calibri" w:eastAsia="Calibri" w:hAnsi="Calibri" w:cs="Calibri"/>
                <w:color w:val="080808"/>
              </w:rPr>
              <w:t xml:space="preserve">School division leaders assist school leaders as they seek ways to provide an instructional program that actively engages all students by using effective, varied, and evidence-based practices to improve student academic performance. </w:t>
            </w:r>
          </w:p>
        </w:tc>
      </w:tr>
      <w:tr w:rsidR="00E26C08" w14:paraId="41A17DC5" w14:textId="77777777" w:rsidTr="0009090E">
        <w:trPr>
          <w:trHeight w:val="658"/>
        </w:trPr>
        <w:tc>
          <w:tcPr>
            <w:tcW w:w="1320" w:type="dxa"/>
            <w:vMerge/>
            <w:tcBorders>
              <w:left w:val="single" w:sz="6" w:space="0" w:color="080808"/>
              <w:right w:val="single" w:sz="6" w:space="0" w:color="080808"/>
            </w:tcBorders>
            <w:shd w:val="clear" w:color="auto" w:fill="27998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6D436E95" w14:textId="77777777" w:rsidR="00E26C08" w:rsidRDefault="00E26C08"/>
        </w:tc>
        <w:tc>
          <w:tcPr>
            <w:tcW w:w="168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AA8E0D4" w14:textId="77777777" w:rsidR="00E26C08" w:rsidRDefault="00E26C08" w:rsidP="32672952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High-Quality</w:t>
            </w:r>
          </w:p>
          <w:p w14:paraId="7F99DED9" w14:textId="281C023E" w:rsidR="00E26C08" w:rsidRDefault="00E26C08" w:rsidP="32672952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Prioritized Placement</w:t>
            </w:r>
          </w:p>
        </w:tc>
        <w:tc>
          <w:tcPr>
            <w:tcW w:w="113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0D71D0A4" w14:textId="558EDDE9" w:rsidR="00E26C08" w:rsidRDefault="00E26C08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reallocates highest performing internal teachers and principals to schools and classrooms with greatest turnaround need.</w:t>
            </w:r>
          </w:p>
        </w:tc>
      </w:tr>
    </w:tbl>
    <w:p w14:paraId="596A4E98" w14:textId="6C9572A6" w:rsidR="00676FBF" w:rsidRDefault="00676FB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95"/>
      </w:tblGrid>
      <w:tr w:rsidR="32672952" w14:paraId="206A6C2A" w14:textId="77777777" w:rsidTr="32672952">
        <w:trPr>
          <w:trHeight w:val="300"/>
        </w:trPr>
        <w:tc>
          <w:tcPr>
            <w:tcW w:w="14295" w:type="dxa"/>
          </w:tcPr>
          <w:p w14:paraId="3E31BC46" w14:textId="0836DF26" w:rsidR="32672952" w:rsidRPr="000D6193" w:rsidRDefault="06985B3F" w:rsidP="32672952">
            <w:pPr>
              <w:rPr>
                <w:i/>
                <w:iCs/>
              </w:rPr>
            </w:pPr>
            <w:r w:rsidRPr="00C53D21">
              <w:rPr>
                <w:b/>
                <w:bCs/>
              </w:rPr>
              <w:t>Focus Area</w:t>
            </w:r>
            <w:r w:rsidR="24DB14BE" w:rsidRPr="00C53D21">
              <w:rPr>
                <w:b/>
                <w:bCs/>
              </w:rPr>
              <w:t>:</w:t>
            </w:r>
            <w:r w:rsidR="24DB14BE">
              <w:t xml:space="preserve"> </w:t>
            </w:r>
            <w:r w:rsidR="24DB14BE" w:rsidRPr="32672952">
              <w:rPr>
                <w:i/>
                <w:iCs/>
              </w:rPr>
              <w:t>Select one</w:t>
            </w:r>
            <w:r w:rsidR="000D6193">
              <w:rPr>
                <w:i/>
                <w:iCs/>
              </w:rPr>
              <w:t xml:space="preserve"> focus area from the drop-down</w:t>
            </w:r>
            <w:r w:rsidR="24DB14BE" w:rsidRPr="32672952">
              <w:rPr>
                <w:i/>
                <w:iCs/>
              </w:rPr>
              <w:t xml:space="preserve"> based on </w:t>
            </w:r>
            <w:r w:rsidR="000D6193">
              <w:rPr>
                <w:i/>
                <w:iCs/>
              </w:rPr>
              <w:t>the division</w:t>
            </w:r>
            <w:r w:rsidR="00082A01">
              <w:rPr>
                <w:i/>
                <w:iCs/>
              </w:rPr>
              <w:t>’</w:t>
            </w:r>
            <w:r w:rsidR="000D6193">
              <w:rPr>
                <w:i/>
                <w:iCs/>
              </w:rPr>
              <w:t xml:space="preserve">s </w:t>
            </w:r>
            <w:r w:rsidR="24DB14BE" w:rsidRPr="32672952">
              <w:rPr>
                <w:i/>
                <w:iCs/>
              </w:rPr>
              <w:t>prioritization of needs.</w:t>
            </w:r>
            <w:r w:rsidR="000D6193">
              <w:rPr>
                <w:i/>
                <w:iCs/>
              </w:rPr>
              <w:t xml:space="preserve">    </w:t>
            </w:r>
            <w:sdt>
              <w:sdtPr>
                <w:rPr>
                  <w:i/>
                  <w:iCs/>
                </w:rPr>
                <w:id w:val="-13433500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High-Quality Instructional Materials" w:value="High-Quality Instructional Materials"/>
                  <w:listItem w:displayText="High-Quality Instructional Routines" w:value="High-Quality Instructional Routines"/>
                  <w:listItem w:displayText="High-Quality Prioritized Placement" w:value="High-Quality Prioritized Placement"/>
                </w:comboBox>
              </w:sdtPr>
              <w:sdtEndPr/>
              <w:sdtContent>
                <w:r w:rsidR="00CF5766" w:rsidRPr="0009515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32672952" w14:paraId="53F10390" w14:textId="77777777" w:rsidTr="32672952">
        <w:trPr>
          <w:trHeight w:val="300"/>
        </w:trPr>
        <w:tc>
          <w:tcPr>
            <w:tcW w:w="14295" w:type="dxa"/>
          </w:tcPr>
          <w:p w14:paraId="5C5DF0A8" w14:textId="727CBEA6" w:rsidR="32672952" w:rsidRDefault="00DA0C40" w:rsidP="32672952">
            <w:r w:rsidRPr="00431EFE">
              <w:rPr>
                <w:b/>
                <w:bCs/>
              </w:rPr>
              <w:t>Evidence/</w:t>
            </w:r>
            <w:r w:rsidR="32672952" w:rsidRPr="00C53D21">
              <w:rPr>
                <w:b/>
                <w:bCs/>
              </w:rPr>
              <w:t>Document</w:t>
            </w:r>
            <w:r w:rsidR="007139F3" w:rsidRPr="00C53D21">
              <w:rPr>
                <w:b/>
                <w:bCs/>
              </w:rPr>
              <w:t>/Page/Section</w:t>
            </w:r>
            <w:r w:rsidR="00816489" w:rsidRPr="00C53D21">
              <w:rPr>
                <w:b/>
                <w:bCs/>
              </w:rPr>
              <w:t>:</w:t>
            </w:r>
            <w:r w:rsidR="007139F3">
              <w:t xml:space="preserve"> </w:t>
            </w:r>
            <w:r w:rsidR="007139F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39F3">
              <w:instrText xml:space="preserve"> FORMTEXT </w:instrText>
            </w:r>
            <w:r w:rsidR="007139F3">
              <w:fldChar w:fldCharType="separate"/>
            </w:r>
            <w:r w:rsidR="007139F3">
              <w:rPr>
                <w:noProof/>
              </w:rPr>
              <w:t> </w:t>
            </w:r>
            <w:r w:rsidR="007139F3">
              <w:rPr>
                <w:noProof/>
              </w:rPr>
              <w:t> </w:t>
            </w:r>
            <w:r w:rsidR="007139F3">
              <w:rPr>
                <w:noProof/>
              </w:rPr>
              <w:t> </w:t>
            </w:r>
            <w:r w:rsidR="007139F3">
              <w:rPr>
                <w:noProof/>
              </w:rPr>
              <w:t> </w:t>
            </w:r>
            <w:r w:rsidR="007139F3">
              <w:rPr>
                <w:noProof/>
              </w:rPr>
              <w:t> </w:t>
            </w:r>
            <w:r w:rsidR="007139F3">
              <w:fldChar w:fldCharType="end"/>
            </w:r>
          </w:p>
        </w:tc>
      </w:tr>
      <w:tr w:rsidR="32672952" w14:paraId="0B0BB595" w14:textId="77777777" w:rsidTr="32672952">
        <w:trPr>
          <w:trHeight w:val="300"/>
        </w:trPr>
        <w:tc>
          <w:tcPr>
            <w:tcW w:w="14295" w:type="dxa"/>
          </w:tcPr>
          <w:p w14:paraId="18C2CD91" w14:textId="70E451AA" w:rsidR="32672952" w:rsidRPr="00C53D21" w:rsidRDefault="32672952" w:rsidP="32672952">
            <w:pPr>
              <w:rPr>
                <w:b/>
                <w:bCs/>
              </w:rPr>
            </w:pPr>
            <w:r w:rsidRPr="00C53D21">
              <w:rPr>
                <w:b/>
                <w:bCs/>
              </w:rPr>
              <w:t>Notes:</w:t>
            </w:r>
          </w:p>
          <w:p w14:paraId="3E41A6F4" w14:textId="08C51F78" w:rsidR="32672952" w:rsidRDefault="001E5C60" w:rsidP="3267295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9963FE" w14:textId="20E7F0DC" w:rsidR="32672952" w:rsidRDefault="32672952" w:rsidP="32672952"/>
    <w:p w14:paraId="75F11DC8" w14:textId="104BE688" w:rsidR="32672952" w:rsidRDefault="32672952" w:rsidP="32672952"/>
    <w:p w14:paraId="7D931518" w14:textId="641C361C" w:rsidR="32672952" w:rsidRDefault="32672952" w:rsidP="32672952"/>
    <w:p w14:paraId="429CDE0C" w14:textId="1F03DEB8" w:rsidR="32672952" w:rsidRDefault="32672952" w:rsidP="32672952"/>
    <w:p w14:paraId="3051AF81" w14:textId="5E51DABF" w:rsidR="32672952" w:rsidRDefault="32672952" w:rsidP="32672952"/>
    <w:p w14:paraId="3F49EAF3" w14:textId="49D24E02" w:rsidR="0009090E" w:rsidRDefault="000909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407887B" w14:textId="77777777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30"/>
        <w:gridCol w:w="1725"/>
        <w:gridCol w:w="11265"/>
      </w:tblGrid>
      <w:tr w:rsidR="5D43704D" w14:paraId="551D7301" w14:textId="77777777" w:rsidTr="32672952">
        <w:trPr>
          <w:trHeight w:val="510"/>
        </w:trPr>
        <w:tc>
          <w:tcPr>
            <w:tcW w:w="1230" w:type="dxa"/>
            <w:vMerge w:val="restart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FFC600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09060117" w14:textId="357CE080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Staffing</w:t>
            </w:r>
          </w:p>
          <w:p w14:paraId="71596F14" w14:textId="5AFAFD8B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Supports</w:t>
            </w:r>
          </w:p>
        </w:tc>
        <w:tc>
          <w:tcPr>
            <w:tcW w:w="172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6375BCE3" w14:textId="7EE3F5D9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112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EB44A67" w14:textId="50DC5BFB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</w:tr>
      <w:tr w:rsidR="0087677C" w14:paraId="75672E6E" w14:textId="77777777" w:rsidTr="32672952">
        <w:trPr>
          <w:trHeight w:val="1455"/>
        </w:trPr>
        <w:tc>
          <w:tcPr>
            <w:tcW w:w="1230" w:type="dxa"/>
            <w:vMerge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6E7F7BC4" w14:textId="77777777" w:rsidR="0087677C" w:rsidRDefault="0087677C"/>
        </w:tc>
        <w:tc>
          <w:tcPr>
            <w:tcW w:w="172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7B0D2582" w14:textId="2B3AA97A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Teacher Recruitment</w:t>
            </w:r>
          </w:p>
        </w:tc>
        <w:tc>
          <w:tcPr>
            <w:tcW w:w="112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0F3FB01A" w14:textId="7C9B272E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 xml:space="preserve">School division actively recruits and allocates teachers with instructional expertise and experience with high-risk populations to schools requiring greatest need and with highest vacancy rates. </w:t>
            </w:r>
          </w:p>
          <w:p w14:paraId="7B8C3CCC" w14:textId="43A4071D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 xml:space="preserve">School division seeks out innovative means of recruiting hard to fill teaching positions, including grow-your-own programs, career switching, and foreign recruitment programs. </w:t>
            </w:r>
          </w:p>
          <w:p w14:paraId="754FA4AA" w14:textId="2BDB2F92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retains high-quality teachers.</w:t>
            </w:r>
          </w:p>
        </w:tc>
      </w:tr>
      <w:tr w:rsidR="0087677C" w14:paraId="23D0330F" w14:textId="77777777" w:rsidTr="32672952">
        <w:trPr>
          <w:trHeight w:val="1440"/>
        </w:trPr>
        <w:tc>
          <w:tcPr>
            <w:tcW w:w="1230" w:type="dxa"/>
            <w:vMerge/>
            <w:vAlign w:val="center"/>
          </w:tcPr>
          <w:p w14:paraId="2B137796" w14:textId="77777777" w:rsidR="0087677C" w:rsidRDefault="0087677C"/>
        </w:tc>
        <w:tc>
          <w:tcPr>
            <w:tcW w:w="172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7F05722A" w14:textId="46F685B5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Principal Recruitment</w:t>
            </w:r>
          </w:p>
        </w:tc>
        <w:tc>
          <w:tcPr>
            <w:tcW w:w="112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13546846" w14:textId="429D5936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actively recruits and allocates school leaders with turnaround experience to instructional expertise in the schools requiring greatest need and with highest vacancy rates.</w:t>
            </w:r>
          </w:p>
          <w:p w14:paraId="73553A72" w14:textId="45D69BEB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Leadership Team creates a learning culture and develops leadership capacity among existing teacher corps.</w:t>
            </w:r>
          </w:p>
          <w:p w14:paraId="6CFB7E60" w14:textId="54F7D964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retains high-quality principals.</w:t>
            </w:r>
          </w:p>
        </w:tc>
      </w:tr>
      <w:tr w:rsidR="0087677C" w14:paraId="3C4413D6" w14:textId="77777777" w:rsidTr="32672952">
        <w:trPr>
          <w:trHeight w:val="1155"/>
        </w:trPr>
        <w:tc>
          <w:tcPr>
            <w:tcW w:w="1230" w:type="dxa"/>
            <w:vMerge/>
            <w:vAlign w:val="center"/>
          </w:tcPr>
          <w:p w14:paraId="6CE296C3" w14:textId="77777777" w:rsidR="0087677C" w:rsidRDefault="0087677C"/>
        </w:tc>
        <w:tc>
          <w:tcPr>
            <w:tcW w:w="172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74E777D5" w14:textId="35F6A93B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Prioritized Placement Model</w:t>
            </w:r>
          </w:p>
        </w:tc>
        <w:tc>
          <w:tcPr>
            <w:tcW w:w="112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34AABE4A" w14:textId="019034C9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prioritizes placement of newly hired expert teachers and expert administrators in highest instructional need positions.</w:t>
            </w:r>
          </w:p>
          <w:p w14:paraId="4B392798" w14:textId="0B1E46FF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Leadership Team is organized to maximize use of all available resources to support high-quality performance of students and staff</w:t>
            </w:r>
          </w:p>
        </w:tc>
      </w:tr>
    </w:tbl>
    <w:p w14:paraId="75DD2AF0" w14:textId="2AA65142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95"/>
      </w:tblGrid>
      <w:tr w:rsidR="0056685A" w:rsidRPr="000D6193" w14:paraId="34B8096A" w14:textId="77777777" w:rsidTr="009A13AD">
        <w:trPr>
          <w:trHeight w:val="300"/>
        </w:trPr>
        <w:tc>
          <w:tcPr>
            <w:tcW w:w="14295" w:type="dxa"/>
          </w:tcPr>
          <w:p w14:paraId="4131F606" w14:textId="77777777" w:rsidR="0056685A" w:rsidRPr="000D6193" w:rsidRDefault="0056685A" w:rsidP="009A13AD">
            <w:pPr>
              <w:rPr>
                <w:i/>
                <w:iCs/>
              </w:rPr>
            </w:pPr>
            <w:r w:rsidRPr="00C53D21">
              <w:rPr>
                <w:b/>
                <w:bCs/>
              </w:rPr>
              <w:t>Focus Area:</w:t>
            </w:r>
            <w:r>
              <w:t xml:space="preserve"> </w:t>
            </w:r>
            <w:r w:rsidRPr="32672952">
              <w:rPr>
                <w:i/>
                <w:iCs/>
              </w:rPr>
              <w:t>Select one</w:t>
            </w:r>
            <w:r>
              <w:rPr>
                <w:i/>
                <w:iCs/>
              </w:rPr>
              <w:t xml:space="preserve"> focus area from the drop-down</w:t>
            </w:r>
            <w:r w:rsidRPr="32672952">
              <w:rPr>
                <w:i/>
                <w:iCs/>
              </w:rPr>
              <w:t xml:space="preserve"> based on </w:t>
            </w:r>
            <w:r>
              <w:rPr>
                <w:i/>
                <w:iCs/>
              </w:rPr>
              <w:t xml:space="preserve">the division’s </w:t>
            </w:r>
            <w:r w:rsidRPr="32672952">
              <w:rPr>
                <w:i/>
                <w:iCs/>
              </w:rPr>
              <w:t>prioritization of needs.</w:t>
            </w:r>
            <w:r>
              <w:rPr>
                <w:i/>
                <w:iCs/>
              </w:rPr>
              <w:t xml:space="preserve">    </w:t>
            </w:r>
            <w:sdt>
              <w:sdtPr>
                <w:rPr>
                  <w:i/>
                  <w:iCs/>
                </w:rPr>
                <w:id w:val="1250852842"/>
                <w:placeholder>
                  <w:docPart w:val="702A39BCD7A3485192A71E7A8647082E"/>
                </w:placeholder>
                <w:showingPlcHdr/>
                <w:comboBox>
                  <w:listItem w:value="Choose an item."/>
                  <w:listItem w:displayText="Teacher Recruitment" w:value="Teacher Recruitment"/>
                  <w:listItem w:displayText="Principal Recruitment" w:value="Principal Recruitment"/>
                  <w:listItem w:displayText="Prioritized Placement Model" w:value="Prioritized Placement Model"/>
                </w:comboBox>
              </w:sdtPr>
              <w:sdtEndPr/>
              <w:sdtContent>
                <w:r w:rsidRPr="0009515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685A" w14:paraId="31A50FDE" w14:textId="77777777" w:rsidTr="009A13AD">
        <w:trPr>
          <w:trHeight w:val="300"/>
        </w:trPr>
        <w:tc>
          <w:tcPr>
            <w:tcW w:w="14295" w:type="dxa"/>
          </w:tcPr>
          <w:p w14:paraId="134DFB0E" w14:textId="24259553" w:rsidR="0056685A" w:rsidRDefault="00DA0C40" w:rsidP="009A13AD">
            <w:r w:rsidRPr="00431EFE">
              <w:rPr>
                <w:b/>
                <w:bCs/>
              </w:rPr>
              <w:t>Evidence/</w:t>
            </w:r>
            <w:r w:rsidR="0056685A" w:rsidRPr="00C53D21">
              <w:rPr>
                <w:b/>
                <w:bCs/>
              </w:rPr>
              <w:t>Document/Page/Section:</w:t>
            </w:r>
            <w:r w:rsidR="0056685A">
              <w:t xml:space="preserve"> </w:t>
            </w:r>
            <w:r w:rsidR="005668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685A">
              <w:instrText xml:space="preserve"> FORMTEXT </w:instrText>
            </w:r>
            <w:r w:rsidR="0056685A">
              <w:fldChar w:fldCharType="separate"/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fldChar w:fldCharType="end"/>
            </w:r>
          </w:p>
        </w:tc>
      </w:tr>
      <w:tr w:rsidR="0056685A" w14:paraId="48678C5D" w14:textId="77777777" w:rsidTr="009A13AD">
        <w:trPr>
          <w:trHeight w:val="300"/>
        </w:trPr>
        <w:tc>
          <w:tcPr>
            <w:tcW w:w="14295" w:type="dxa"/>
          </w:tcPr>
          <w:p w14:paraId="245E91F0" w14:textId="77777777" w:rsidR="0056685A" w:rsidRPr="00C53D21" w:rsidRDefault="0056685A" w:rsidP="009A13AD">
            <w:pPr>
              <w:rPr>
                <w:b/>
                <w:bCs/>
              </w:rPr>
            </w:pPr>
            <w:r w:rsidRPr="00C53D21">
              <w:rPr>
                <w:b/>
                <w:bCs/>
              </w:rPr>
              <w:t>Notes:</w:t>
            </w:r>
          </w:p>
          <w:p w14:paraId="5B11794E" w14:textId="77777777" w:rsidR="0056685A" w:rsidRDefault="0056685A" w:rsidP="009A13A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9E517C" w14:textId="7CDF6466" w:rsidR="5D43704D" w:rsidRDefault="5D43704D">
      <w:r>
        <w:br w:type="page"/>
      </w:r>
    </w:p>
    <w:p w14:paraId="4802E7C2" w14:textId="3D9DD901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3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1365"/>
        <w:gridCol w:w="11055"/>
      </w:tblGrid>
      <w:tr w:rsidR="5D43704D" w14:paraId="21765DCB" w14:textId="77777777" w:rsidTr="32672952">
        <w:trPr>
          <w:trHeight w:val="585"/>
        </w:trPr>
        <w:tc>
          <w:tcPr>
            <w:tcW w:w="1575" w:type="dxa"/>
            <w:vMerge w:val="restart"/>
            <w:tcBorders>
              <w:top w:val="single" w:sz="6" w:space="0" w:color="080808"/>
              <w:left w:val="single" w:sz="6" w:space="0" w:color="080808"/>
              <w:bottom w:val="single" w:sz="0" w:space="0" w:color="080808"/>
              <w:right w:val="single" w:sz="6" w:space="0" w:color="080808"/>
            </w:tcBorders>
            <w:shd w:val="clear" w:color="auto" w:fill="ED7D31" w:themeFill="accent2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2D17C644" w14:textId="0FCFB508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</w:pPr>
          </w:p>
          <w:p w14:paraId="511848B3" w14:textId="19EF702A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  <w:sz w:val="28"/>
                <w:szCs w:val="28"/>
              </w:rPr>
            </w:pPr>
            <w:proofErr w:type="spellStart"/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ProfessionalLearning</w:t>
            </w:r>
            <w:proofErr w:type="spellEnd"/>
          </w:p>
          <w:p w14:paraId="365EB76F" w14:textId="08B93B5B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8"/>
                <w:szCs w:val="28"/>
              </w:rPr>
              <w:t>Supports</w:t>
            </w:r>
          </w:p>
        </w:tc>
        <w:tc>
          <w:tcPr>
            <w:tcW w:w="13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0796A0CB" w14:textId="7EE3F5D9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110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5B9593F" w14:textId="50DC5BFB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</w:tr>
      <w:tr w:rsidR="0087677C" w14:paraId="37C40B6F" w14:textId="77777777" w:rsidTr="32672952">
        <w:trPr>
          <w:trHeight w:val="915"/>
        </w:trPr>
        <w:tc>
          <w:tcPr>
            <w:tcW w:w="1575" w:type="dxa"/>
            <w:vMerge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59A91CE" w14:textId="77777777" w:rsidR="0087677C" w:rsidRDefault="0087677C"/>
        </w:tc>
        <w:tc>
          <w:tcPr>
            <w:tcW w:w="13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6DAC7A37" w14:textId="5C239C72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Logistical &amp; Operational</w:t>
            </w:r>
          </w:p>
        </w:tc>
        <w:tc>
          <w:tcPr>
            <w:tcW w:w="110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20438E04" w14:textId="32512861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provide guidance to schools on tight student movement protocols that eliminate disruption and supports a learning-friendly environment.</w:t>
            </w:r>
          </w:p>
          <w:p w14:paraId="58DB11AA" w14:textId="0D76E3EC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develops a calendar and master schedule that prioritizes focused learning.</w:t>
            </w:r>
          </w:p>
        </w:tc>
      </w:tr>
      <w:tr w:rsidR="0087677C" w14:paraId="6378806A" w14:textId="77777777" w:rsidTr="32672952">
        <w:trPr>
          <w:trHeight w:val="1185"/>
        </w:trPr>
        <w:tc>
          <w:tcPr>
            <w:tcW w:w="1575" w:type="dxa"/>
            <w:vMerge/>
            <w:vAlign w:val="center"/>
          </w:tcPr>
          <w:p w14:paraId="4022E37D" w14:textId="77777777" w:rsidR="0087677C" w:rsidRDefault="0087677C"/>
        </w:tc>
        <w:tc>
          <w:tcPr>
            <w:tcW w:w="13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00DB6FB2" w14:textId="33C96991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Instructional Support Cycles</w:t>
            </w:r>
          </w:p>
          <w:p w14:paraId="54344821" w14:textId="3496AEBE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</w:p>
        </w:tc>
        <w:tc>
          <w:tcPr>
            <w:tcW w:w="110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2D130D09" w14:textId="5D20BF03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isolates patterns of teachers' behaviors that affect student progress and implements supports to align teachers for improved student learning outcomes.</w:t>
            </w:r>
          </w:p>
          <w:p w14:paraId="577C10CA" w14:textId="28BDE6D2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 xml:space="preserve">School Division Leadership Team provides instructionally centered decisions focused on support for teaching and learning, organizational </w:t>
            </w:r>
            <w:proofErr w:type="gramStart"/>
            <w:r w:rsidRPr="5D43704D">
              <w:rPr>
                <w:rFonts w:ascii="Calibri" w:eastAsia="Calibri" w:hAnsi="Calibri" w:cs="Calibri"/>
                <w:color w:val="080808"/>
              </w:rPr>
              <w:t>direction</w:t>
            </w:r>
            <w:proofErr w:type="gramEnd"/>
            <w:r w:rsidRPr="5D43704D">
              <w:rPr>
                <w:rFonts w:ascii="Calibri" w:eastAsia="Calibri" w:hAnsi="Calibri" w:cs="Calibri"/>
                <w:color w:val="080808"/>
              </w:rPr>
              <w:t xml:space="preserve"> and high growth expectations. </w:t>
            </w:r>
          </w:p>
        </w:tc>
      </w:tr>
      <w:tr w:rsidR="0087677C" w14:paraId="485F573A" w14:textId="77777777" w:rsidTr="002A5FD8">
        <w:trPr>
          <w:trHeight w:val="1423"/>
        </w:trPr>
        <w:tc>
          <w:tcPr>
            <w:tcW w:w="1575" w:type="dxa"/>
            <w:vMerge/>
            <w:vAlign w:val="center"/>
          </w:tcPr>
          <w:p w14:paraId="690AECC1" w14:textId="77777777" w:rsidR="0087677C" w:rsidRDefault="0087677C"/>
        </w:tc>
        <w:tc>
          <w:tcPr>
            <w:tcW w:w="136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3757BA06" w14:textId="6002D204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Career Development</w:t>
            </w:r>
          </w:p>
          <w:p w14:paraId="6CEDF6CB" w14:textId="32E5B1F8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</w:p>
        </w:tc>
        <w:tc>
          <w:tcPr>
            <w:tcW w:w="11055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65C7CD5D" w14:textId="7194166C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will equip instructional staff with evidence-based professional learning that targets student learning outcomes.</w:t>
            </w:r>
          </w:p>
          <w:p w14:paraId="146A98C2" w14:textId="0AEA1840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leaders will equip school leaders with professional development and observational tools that support optimal student learning.</w:t>
            </w:r>
          </w:p>
          <w:p w14:paraId="536A6D60" w14:textId="06A1AECA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Leadership Team implements performance evaluation procedures to improve teaching and learning.</w:t>
            </w:r>
          </w:p>
        </w:tc>
      </w:tr>
    </w:tbl>
    <w:p w14:paraId="03AEC132" w14:textId="0F1F1B1F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95"/>
      </w:tblGrid>
      <w:tr w:rsidR="0056685A" w:rsidRPr="000D6193" w14:paraId="6813BA5B" w14:textId="77777777" w:rsidTr="009A13AD">
        <w:trPr>
          <w:trHeight w:val="300"/>
        </w:trPr>
        <w:tc>
          <w:tcPr>
            <w:tcW w:w="14295" w:type="dxa"/>
          </w:tcPr>
          <w:p w14:paraId="608BA3B1" w14:textId="77777777" w:rsidR="0056685A" w:rsidRPr="000D6193" w:rsidRDefault="0056685A" w:rsidP="009A13AD">
            <w:pPr>
              <w:rPr>
                <w:i/>
                <w:iCs/>
              </w:rPr>
            </w:pPr>
            <w:r w:rsidRPr="00C53D21">
              <w:rPr>
                <w:b/>
                <w:bCs/>
              </w:rPr>
              <w:t>Focus Area:</w:t>
            </w:r>
            <w:r>
              <w:t xml:space="preserve"> </w:t>
            </w:r>
            <w:r w:rsidRPr="32672952">
              <w:rPr>
                <w:i/>
                <w:iCs/>
              </w:rPr>
              <w:t>Select one</w:t>
            </w:r>
            <w:r>
              <w:rPr>
                <w:i/>
                <w:iCs/>
              </w:rPr>
              <w:t xml:space="preserve"> focus area from the drop-down</w:t>
            </w:r>
            <w:r w:rsidRPr="32672952">
              <w:rPr>
                <w:i/>
                <w:iCs/>
              </w:rPr>
              <w:t xml:space="preserve"> based on </w:t>
            </w:r>
            <w:r>
              <w:rPr>
                <w:i/>
                <w:iCs/>
              </w:rPr>
              <w:t xml:space="preserve">the division’s </w:t>
            </w:r>
            <w:r w:rsidRPr="32672952">
              <w:rPr>
                <w:i/>
                <w:iCs/>
              </w:rPr>
              <w:t>prioritization of needs.</w:t>
            </w:r>
            <w:r>
              <w:rPr>
                <w:i/>
                <w:iCs/>
              </w:rPr>
              <w:t xml:space="preserve">    </w:t>
            </w:r>
            <w:sdt>
              <w:sdtPr>
                <w:rPr>
                  <w:i/>
                  <w:iCs/>
                </w:rPr>
                <w:id w:val="32234405"/>
                <w:placeholder>
                  <w:docPart w:val="34249F88703C47A29F0A23369A77BCBA"/>
                </w:placeholder>
                <w:showingPlcHdr/>
                <w:comboBox>
                  <w:listItem w:value="Choose an item."/>
                  <w:listItem w:displayText="Logical &amp; Operational" w:value="Logical &amp; Operational"/>
                  <w:listItem w:displayText="Instructional Support Cycles" w:value="Instructional Support Cycles"/>
                  <w:listItem w:displayText="Career Development" w:value="Career Development"/>
                </w:comboBox>
              </w:sdtPr>
              <w:sdtEndPr/>
              <w:sdtContent>
                <w:r w:rsidRPr="0009515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685A" w14:paraId="70EE34C0" w14:textId="77777777" w:rsidTr="009A13AD">
        <w:trPr>
          <w:trHeight w:val="300"/>
        </w:trPr>
        <w:tc>
          <w:tcPr>
            <w:tcW w:w="14295" w:type="dxa"/>
          </w:tcPr>
          <w:p w14:paraId="57E114F7" w14:textId="50DE4BAC" w:rsidR="0056685A" w:rsidRDefault="00DA0C40" w:rsidP="009A13AD">
            <w:r w:rsidRPr="00431EFE">
              <w:rPr>
                <w:b/>
                <w:bCs/>
              </w:rPr>
              <w:t>Evidence/</w:t>
            </w:r>
            <w:r w:rsidR="0056685A" w:rsidRPr="00C53D21">
              <w:rPr>
                <w:b/>
                <w:bCs/>
              </w:rPr>
              <w:t>Document/Page/Section:</w:t>
            </w:r>
            <w:r w:rsidR="0056685A">
              <w:t xml:space="preserve"> </w:t>
            </w:r>
            <w:r w:rsidR="005668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685A">
              <w:instrText xml:space="preserve"> FORMTEXT </w:instrText>
            </w:r>
            <w:r w:rsidR="0056685A">
              <w:fldChar w:fldCharType="separate"/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fldChar w:fldCharType="end"/>
            </w:r>
          </w:p>
        </w:tc>
      </w:tr>
      <w:tr w:rsidR="0056685A" w14:paraId="64B9E72D" w14:textId="77777777" w:rsidTr="009A13AD">
        <w:trPr>
          <w:trHeight w:val="300"/>
        </w:trPr>
        <w:tc>
          <w:tcPr>
            <w:tcW w:w="14295" w:type="dxa"/>
          </w:tcPr>
          <w:p w14:paraId="7D6A8E9A" w14:textId="77777777" w:rsidR="0056685A" w:rsidRPr="00C53D21" w:rsidRDefault="0056685A" w:rsidP="009A13AD">
            <w:pPr>
              <w:rPr>
                <w:b/>
                <w:bCs/>
              </w:rPr>
            </w:pPr>
            <w:r w:rsidRPr="00C53D21">
              <w:rPr>
                <w:b/>
                <w:bCs/>
              </w:rPr>
              <w:t>Notes:</w:t>
            </w:r>
          </w:p>
          <w:p w14:paraId="7BED96AA" w14:textId="77777777" w:rsidR="0056685A" w:rsidRDefault="0056685A" w:rsidP="009A13A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2B425" w14:textId="77777777" w:rsidR="0056685A" w:rsidRDefault="0056685A" w:rsidP="5D43704D">
      <w:pPr>
        <w:jc w:val="center"/>
        <w:rPr>
          <w:b/>
          <w:bCs/>
          <w:sz w:val="32"/>
          <w:szCs w:val="32"/>
        </w:rPr>
      </w:pPr>
    </w:p>
    <w:p w14:paraId="19D15B3F" w14:textId="375655FF" w:rsidR="5D43704D" w:rsidRDefault="5D43704D">
      <w:r>
        <w:br w:type="page"/>
      </w:r>
    </w:p>
    <w:p w14:paraId="07A97951" w14:textId="39839B10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4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7"/>
        <w:gridCol w:w="1500"/>
        <w:gridCol w:w="11220"/>
      </w:tblGrid>
      <w:tr w:rsidR="5D43704D" w14:paraId="2059F951" w14:textId="77777777" w:rsidTr="32672952">
        <w:trPr>
          <w:trHeight w:val="540"/>
        </w:trPr>
        <w:tc>
          <w:tcPr>
            <w:tcW w:w="1417" w:type="dxa"/>
            <w:vMerge w:val="restart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003C71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76C418A" w14:textId="719F2C8D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080B084" w14:textId="122F59B8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School Climate</w:t>
            </w:r>
          </w:p>
          <w:p w14:paraId="1283D936" w14:textId="790BDC2E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Supports</w:t>
            </w:r>
          </w:p>
        </w:tc>
        <w:tc>
          <w:tcPr>
            <w:tcW w:w="150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727A084" w14:textId="7EE3F5D9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Focus Area</w:t>
            </w:r>
          </w:p>
        </w:tc>
        <w:tc>
          <w:tcPr>
            <w:tcW w:w="1122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shd w:val="clear" w:color="auto" w:fill="D9D9D9" w:themeFill="background1" w:themeFillShade="D9"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2DDD1A19" w14:textId="50DC5BFB" w:rsidR="5D43704D" w:rsidRDefault="5D43704D" w:rsidP="5D43704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</w:pPr>
            <w:r w:rsidRPr="5D43704D">
              <w:rPr>
                <w:rFonts w:ascii="Calibri" w:eastAsia="Calibri" w:hAnsi="Calibri" w:cs="Calibri"/>
                <w:b/>
                <w:bCs/>
                <w:color w:val="080808"/>
                <w:sz w:val="24"/>
                <w:szCs w:val="24"/>
              </w:rPr>
              <w:t>Indicators</w:t>
            </w:r>
          </w:p>
        </w:tc>
      </w:tr>
      <w:tr w:rsidR="0087677C" w14:paraId="2C8B02CB" w14:textId="77777777" w:rsidTr="32672952">
        <w:trPr>
          <w:trHeight w:val="1095"/>
        </w:trPr>
        <w:tc>
          <w:tcPr>
            <w:tcW w:w="1417" w:type="dxa"/>
            <w:vMerge/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F793E47" w14:textId="77777777" w:rsidR="0087677C" w:rsidRDefault="0087677C"/>
        </w:tc>
        <w:tc>
          <w:tcPr>
            <w:tcW w:w="150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287DCDEF" w14:textId="45715D9F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Family Engagement</w:t>
            </w:r>
          </w:p>
        </w:tc>
        <w:tc>
          <w:tcPr>
            <w:tcW w:w="1122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22B67E20" w14:textId="7E2BD094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Leadership Team engages with families and community groups to establish a culture of school and family partnership.</w:t>
            </w:r>
          </w:p>
          <w:p w14:paraId="1D9DA09F" w14:textId="387EC9DC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implements practices that create a welcoming environment to enhance the school and family relationship.</w:t>
            </w:r>
          </w:p>
        </w:tc>
      </w:tr>
      <w:tr w:rsidR="0087677C" w14:paraId="132E8051" w14:textId="77777777" w:rsidTr="32672952">
        <w:trPr>
          <w:trHeight w:val="1140"/>
        </w:trPr>
        <w:tc>
          <w:tcPr>
            <w:tcW w:w="1417" w:type="dxa"/>
            <w:vMerge/>
            <w:vAlign w:val="center"/>
          </w:tcPr>
          <w:p w14:paraId="14200CB2" w14:textId="77777777" w:rsidR="0087677C" w:rsidRDefault="0087677C"/>
        </w:tc>
        <w:tc>
          <w:tcPr>
            <w:tcW w:w="150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0FD9FB5A" w14:textId="2473B200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Family Instructional Supports</w:t>
            </w:r>
          </w:p>
        </w:tc>
        <w:tc>
          <w:tcPr>
            <w:tcW w:w="1122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6F56BB5C" w14:textId="3AFA1EE9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assesses community needs to remove barriers to learning to meet the intellectual, social, career, and developmental needs of students.</w:t>
            </w:r>
          </w:p>
          <w:p w14:paraId="47AE20B2" w14:textId="51F751AE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provides materials and learning opportunities for family and community centers to support student learning.</w:t>
            </w:r>
          </w:p>
        </w:tc>
      </w:tr>
      <w:tr w:rsidR="0087677C" w14:paraId="11DAAF5D" w14:textId="77777777" w:rsidTr="32672952">
        <w:trPr>
          <w:trHeight w:val="1200"/>
        </w:trPr>
        <w:tc>
          <w:tcPr>
            <w:tcW w:w="1417" w:type="dxa"/>
            <w:vMerge/>
            <w:vAlign w:val="center"/>
          </w:tcPr>
          <w:p w14:paraId="7E05E61F" w14:textId="77777777" w:rsidR="0087677C" w:rsidRDefault="0087677C"/>
        </w:tc>
        <w:tc>
          <w:tcPr>
            <w:tcW w:w="150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7E8CDA6" w14:textId="1E110BED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Attendance Supports</w:t>
            </w:r>
          </w:p>
        </w:tc>
        <w:tc>
          <w:tcPr>
            <w:tcW w:w="1122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329EB8A3" w14:textId="61E81BB1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communicates with families to stress the value of school attendance.</w:t>
            </w:r>
          </w:p>
          <w:p w14:paraId="19C5192D" w14:textId="43E0FBFD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establishes a Breakfast After the Bell program.</w:t>
            </w:r>
          </w:p>
          <w:p w14:paraId="1ED5166D" w14:textId="0F36FD6E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monitors attendance data and celebrates individual and group successes.</w:t>
            </w:r>
          </w:p>
          <w:p w14:paraId="07617103" w14:textId="7F8E4520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removes barriers to ensure that students have daily access to school.</w:t>
            </w:r>
          </w:p>
        </w:tc>
      </w:tr>
      <w:tr w:rsidR="0087677C" w14:paraId="5F3E40BB" w14:textId="77777777" w:rsidTr="32672952">
        <w:trPr>
          <w:trHeight w:val="1095"/>
        </w:trPr>
        <w:tc>
          <w:tcPr>
            <w:tcW w:w="1417" w:type="dxa"/>
            <w:vMerge/>
            <w:vAlign w:val="center"/>
          </w:tcPr>
          <w:p w14:paraId="5C0FD94D" w14:textId="77777777" w:rsidR="0087677C" w:rsidRDefault="0087677C"/>
        </w:tc>
        <w:tc>
          <w:tcPr>
            <w:tcW w:w="150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  <w:vAlign w:val="center"/>
          </w:tcPr>
          <w:p w14:paraId="15A61DA6" w14:textId="10039054" w:rsidR="0087677C" w:rsidRDefault="0087677C" w:rsidP="5D43704D">
            <w:pPr>
              <w:spacing w:line="240" w:lineRule="exact"/>
              <w:jc w:val="center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Discipline Supports</w:t>
            </w:r>
          </w:p>
        </w:tc>
        <w:tc>
          <w:tcPr>
            <w:tcW w:w="11220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tcMar>
              <w:top w:w="29" w:type="dxa"/>
              <w:left w:w="59" w:type="dxa"/>
              <w:bottom w:w="29" w:type="dxa"/>
              <w:right w:w="59" w:type="dxa"/>
            </w:tcMar>
          </w:tcPr>
          <w:p w14:paraId="5D1922A3" w14:textId="310AD6A7" w:rsidR="0087677C" w:rsidRDefault="0087677C" w:rsidP="32672952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32672952">
              <w:rPr>
                <w:rFonts w:ascii="Calibri" w:eastAsia="Calibri" w:hAnsi="Calibri" w:cs="Calibri"/>
                <w:color w:val="080808"/>
              </w:rPr>
              <w:t>School division establishes practices within the school that promote structured expectations, self-regulation, and engagement practices.</w:t>
            </w:r>
          </w:p>
          <w:p w14:paraId="02C83E9A" w14:textId="230E8188" w:rsidR="0087677C" w:rsidRDefault="0087677C" w:rsidP="5D43704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color w:val="080808"/>
              </w:rPr>
            </w:pPr>
            <w:r w:rsidRPr="5D43704D">
              <w:rPr>
                <w:rFonts w:ascii="Calibri" w:eastAsia="Calibri" w:hAnsi="Calibri" w:cs="Calibri"/>
                <w:color w:val="080808"/>
              </w:rPr>
              <w:t>School division leaders provide guidance and support to school leaders on best practices to connect every child to a trusted adult.</w:t>
            </w:r>
          </w:p>
        </w:tc>
      </w:tr>
    </w:tbl>
    <w:p w14:paraId="707EE29F" w14:textId="0071AAA2" w:rsidR="5D43704D" w:rsidRDefault="5D43704D" w:rsidP="5D4370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95"/>
      </w:tblGrid>
      <w:tr w:rsidR="0056685A" w:rsidRPr="000D6193" w14:paraId="35CB9DF1" w14:textId="77777777" w:rsidTr="009A13AD">
        <w:trPr>
          <w:trHeight w:val="300"/>
        </w:trPr>
        <w:tc>
          <w:tcPr>
            <w:tcW w:w="14295" w:type="dxa"/>
          </w:tcPr>
          <w:p w14:paraId="570A00C0" w14:textId="77777777" w:rsidR="0056685A" w:rsidRPr="000D6193" w:rsidRDefault="0056685A" w:rsidP="009A13AD">
            <w:pPr>
              <w:rPr>
                <w:i/>
                <w:iCs/>
              </w:rPr>
            </w:pPr>
            <w:r w:rsidRPr="00C53D21">
              <w:rPr>
                <w:b/>
                <w:bCs/>
              </w:rPr>
              <w:t>Focus Area:</w:t>
            </w:r>
            <w:r>
              <w:t xml:space="preserve"> </w:t>
            </w:r>
            <w:r w:rsidRPr="32672952">
              <w:rPr>
                <w:i/>
                <w:iCs/>
              </w:rPr>
              <w:t>Select one</w:t>
            </w:r>
            <w:r>
              <w:rPr>
                <w:i/>
                <w:iCs/>
              </w:rPr>
              <w:t xml:space="preserve"> focus area from the drop-down</w:t>
            </w:r>
            <w:r w:rsidRPr="32672952">
              <w:rPr>
                <w:i/>
                <w:iCs/>
              </w:rPr>
              <w:t xml:space="preserve"> based on </w:t>
            </w:r>
            <w:r>
              <w:rPr>
                <w:i/>
                <w:iCs/>
              </w:rPr>
              <w:t xml:space="preserve">the division’s </w:t>
            </w:r>
            <w:r w:rsidRPr="32672952">
              <w:rPr>
                <w:i/>
                <w:iCs/>
              </w:rPr>
              <w:t>prioritization of needs.</w:t>
            </w:r>
            <w:r>
              <w:rPr>
                <w:i/>
                <w:iCs/>
              </w:rPr>
              <w:t xml:space="preserve">    </w:t>
            </w:r>
            <w:sdt>
              <w:sdtPr>
                <w:rPr>
                  <w:i/>
                  <w:iCs/>
                </w:rPr>
                <w:id w:val="-753120818"/>
                <w:placeholder>
                  <w:docPart w:val="4DC80B766FD2451D9BAF257E5B26333F"/>
                </w:placeholder>
                <w:showingPlcHdr/>
                <w:comboBox>
                  <w:listItem w:value="Choose an item."/>
                  <w:listItem w:displayText="Family Engagement" w:value="Family Engagement"/>
                  <w:listItem w:displayText="Family Instructional Supports" w:value="Family Instructional Supports"/>
                  <w:listItem w:displayText="Attendance Supports" w:value="Attendance Supports"/>
                  <w:listItem w:displayText="School Discipline Supports" w:value="School Discipline Supports"/>
                </w:comboBox>
              </w:sdtPr>
              <w:sdtEndPr/>
              <w:sdtContent>
                <w:r w:rsidRPr="0009515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685A" w14:paraId="72233BD6" w14:textId="77777777" w:rsidTr="009A13AD">
        <w:trPr>
          <w:trHeight w:val="300"/>
        </w:trPr>
        <w:tc>
          <w:tcPr>
            <w:tcW w:w="14295" w:type="dxa"/>
          </w:tcPr>
          <w:p w14:paraId="5F76F85F" w14:textId="7B09DA00" w:rsidR="0056685A" w:rsidRDefault="00DA0C40" w:rsidP="009A13AD">
            <w:r w:rsidRPr="00431EFE">
              <w:rPr>
                <w:b/>
                <w:bCs/>
              </w:rPr>
              <w:t>Evidence/</w:t>
            </w:r>
            <w:r w:rsidR="0056685A" w:rsidRPr="00C53D21">
              <w:rPr>
                <w:b/>
                <w:bCs/>
              </w:rPr>
              <w:t xml:space="preserve">Document/Page/Section: </w:t>
            </w:r>
            <w:r w:rsidR="005668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685A">
              <w:instrText xml:space="preserve"> FORMTEXT </w:instrText>
            </w:r>
            <w:r w:rsidR="0056685A">
              <w:fldChar w:fldCharType="separate"/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rPr>
                <w:noProof/>
              </w:rPr>
              <w:t> </w:t>
            </w:r>
            <w:r w:rsidR="0056685A">
              <w:fldChar w:fldCharType="end"/>
            </w:r>
          </w:p>
        </w:tc>
      </w:tr>
      <w:tr w:rsidR="0056685A" w14:paraId="4AEF9799" w14:textId="77777777" w:rsidTr="009A13AD">
        <w:trPr>
          <w:trHeight w:val="300"/>
        </w:trPr>
        <w:tc>
          <w:tcPr>
            <w:tcW w:w="14295" w:type="dxa"/>
          </w:tcPr>
          <w:p w14:paraId="4CBB6D17" w14:textId="77777777" w:rsidR="0056685A" w:rsidRPr="00C53D21" w:rsidRDefault="0056685A" w:rsidP="009A13AD">
            <w:pPr>
              <w:rPr>
                <w:b/>
                <w:bCs/>
              </w:rPr>
            </w:pPr>
            <w:r w:rsidRPr="00C53D21">
              <w:rPr>
                <w:b/>
                <w:bCs/>
              </w:rPr>
              <w:t>Notes:</w:t>
            </w:r>
          </w:p>
          <w:p w14:paraId="4D54D802" w14:textId="77777777" w:rsidR="0056685A" w:rsidRDefault="0056685A" w:rsidP="009A13A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CA4A3D" w14:textId="77777777" w:rsidR="0056685A" w:rsidRDefault="0056685A" w:rsidP="5D43704D">
      <w:pPr>
        <w:jc w:val="center"/>
        <w:rPr>
          <w:b/>
          <w:bCs/>
          <w:sz w:val="32"/>
          <w:szCs w:val="32"/>
        </w:rPr>
      </w:pPr>
    </w:p>
    <w:sectPr w:rsidR="005668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20A"/>
    <w:multiLevelType w:val="hybridMultilevel"/>
    <w:tmpl w:val="577C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AB95"/>
    <w:multiLevelType w:val="hybridMultilevel"/>
    <w:tmpl w:val="FF725170"/>
    <w:lvl w:ilvl="0" w:tplc="87E02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C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26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B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C5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8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C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EC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05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6A49"/>
    <w:multiLevelType w:val="hybridMultilevel"/>
    <w:tmpl w:val="993E782A"/>
    <w:lvl w:ilvl="0" w:tplc="4A1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85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2A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AD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B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02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86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C5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05001">
    <w:abstractNumId w:val="1"/>
  </w:num>
  <w:num w:numId="2" w16cid:durableId="813185464">
    <w:abstractNumId w:val="2"/>
  </w:num>
  <w:num w:numId="3" w16cid:durableId="3963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DD2D3"/>
    <w:rsid w:val="0006195E"/>
    <w:rsid w:val="0007141F"/>
    <w:rsid w:val="00082A01"/>
    <w:rsid w:val="0009090E"/>
    <w:rsid w:val="000D6193"/>
    <w:rsid w:val="001263DB"/>
    <w:rsid w:val="00134613"/>
    <w:rsid w:val="00175774"/>
    <w:rsid w:val="001D3A12"/>
    <w:rsid w:val="001E5C60"/>
    <w:rsid w:val="00240433"/>
    <w:rsid w:val="00294A90"/>
    <w:rsid w:val="002A5FD8"/>
    <w:rsid w:val="002A7EF7"/>
    <w:rsid w:val="002D69AC"/>
    <w:rsid w:val="0038031A"/>
    <w:rsid w:val="003A19ED"/>
    <w:rsid w:val="003C3151"/>
    <w:rsid w:val="0042591F"/>
    <w:rsid w:val="00431EFE"/>
    <w:rsid w:val="00434ACA"/>
    <w:rsid w:val="004904F2"/>
    <w:rsid w:val="00543491"/>
    <w:rsid w:val="0056685A"/>
    <w:rsid w:val="005A3F7C"/>
    <w:rsid w:val="00676FBF"/>
    <w:rsid w:val="006B2C07"/>
    <w:rsid w:val="007139F3"/>
    <w:rsid w:val="0078149C"/>
    <w:rsid w:val="007B5B02"/>
    <w:rsid w:val="007F1EC7"/>
    <w:rsid w:val="00816489"/>
    <w:rsid w:val="0087677C"/>
    <w:rsid w:val="009A13AD"/>
    <w:rsid w:val="00AC1AAA"/>
    <w:rsid w:val="00B27CC4"/>
    <w:rsid w:val="00BD0758"/>
    <w:rsid w:val="00C53D21"/>
    <w:rsid w:val="00CD15EC"/>
    <w:rsid w:val="00CF5766"/>
    <w:rsid w:val="00D14D2A"/>
    <w:rsid w:val="00D67F7C"/>
    <w:rsid w:val="00D842B2"/>
    <w:rsid w:val="00DA0C40"/>
    <w:rsid w:val="00DD112B"/>
    <w:rsid w:val="00DF349B"/>
    <w:rsid w:val="00DF35A3"/>
    <w:rsid w:val="00E26C08"/>
    <w:rsid w:val="00E44BE1"/>
    <w:rsid w:val="00E94278"/>
    <w:rsid w:val="00E9437D"/>
    <w:rsid w:val="00F53155"/>
    <w:rsid w:val="00FB438E"/>
    <w:rsid w:val="0236117B"/>
    <w:rsid w:val="048BF46A"/>
    <w:rsid w:val="06985B3F"/>
    <w:rsid w:val="0709829E"/>
    <w:rsid w:val="074DD2D3"/>
    <w:rsid w:val="08436604"/>
    <w:rsid w:val="0883795C"/>
    <w:rsid w:val="0892FA26"/>
    <w:rsid w:val="08A552FF"/>
    <w:rsid w:val="09D09D51"/>
    <w:rsid w:val="09F2AC4F"/>
    <w:rsid w:val="0BFBA658"/>
    <w:rsid w:val="0C0623B0"/>
    <w:rsid w:val="0C8CEEB5"/>
    <w:rsid w:val="0CD0B6B4"/>
    <w:rsid w:val="0D6E1510"/>
    <w:rsid w:val="0E4A760E"/>
    <w:rsid w:val="0F09E571"/>
    <w:rsid w:val="0F2699A3"/>
    <w:rsid w:val="117DB1C5"/>
    <w:rsid w:val="11BA24B1"/>
    <w:rsid w:val="12418633"/>
    <w:rsid w:val="12961EF6"/>
    <w:rsid w:val="12ED6952"/>
    <w:rsid w:val="130647D3"/>
    <w:rsid w:val="13EBCFDF"/>
    <w:rsid w:val="142E7CE8"/>
    <w:rsid w:val="14A21834"/>
    <w:rsid w:val="17640E1C"/>
    <w:rsid w:val="1767927A"/>
    <w:rsid w:val="18CDAA65"/>
    <w:rsid w:val="18CFCD94"/>
    <w:rsid w:val="19758957"/>
    <w:rsid w:val="1A697AC6"/>
    <w:rsid w:val="1AD68D8E"/>
    <w:rsid w:val="1AFD89BF"/>
    <w:rsid w:val="1C054B27"/>
    <w:rsid w:val="1CCBC7E0"/>
    <w:rsid w:val="1CD59FA7"/>
    <w:rsid w:val="200D4069"/>
    <w:rsid w:val="23662394"/>
    <w:rsid w:val="24DB14BE"/>
    <w:rsid w:val="2550F652"/>
    <w:rsid w:val="269DC456"/>
    <w:rsid w:val="26CE5940"/>
    <w:rsid w:val="28B6AC49"/>
    <w:rsid w:val="28CED907"/>
    <w:rsid w:val="2A4661BF"/>
    <w:rsid w:val="2A7E2AB8"/>
    <w:rsid w:val="2C15526B"/>
    <w:rsid w:val="2CF0E854"/>
    <w:rsid w:val="2E91D9E8"/>
    <w:rsid w:val="3125367A"/>
    <w:rsid w:val="31BF3494"/>
    <w:rsid w:val="32672952"/>
    <w:rsid w:val="34D64D4E"/>
    <w:rsid w:val="35DB8331"/>
    <w:rsid w:val="37C2B60C"/>
    <w:rsid w:val="382E7618"/>
    <w:rsid w:val="39FF18BC"/>
    <w:rsid w:val="3C3363BB"/>
    <w:rsid w:val="3D0AEEE6"/>
    <w:rsid w:val="3D15B6F4"/>
    <w:rsid w:val="3DCF341C"/>
    <w:rsid w:val="403A1B20"/>
    <w:rsid w:val="41557B15"/>
    <w:rsid w:val="41B180EF"/>
    <w:rsid w:val="42950A4D"/>
    <w:rsid w:val="4579E011"/>
    <w:rsid w:val="45C70BAE"/>
    <w:rsid w:val="464C6C48"/>
    <w:rsid w:val="466FAA53"/>
    <w:rsid w:val="477F40CA"/>
    <w:rsid w:val="4A815474"/>
    <w:rsid w:val="4B2BB81F"/>
    <w:rsid w:val="4E1BD58A"/>
    <w:rsid w:val="4ED63698"/>
    <w:rsid w:val="520F5047"/>
    <w:rsid w:val="52C60DC3"/>
    <w:rsid w:val="52CE0444"/>
    <w:rsid w:val="545EBB9C"/>
    <w:rsid w:val="5469D4A5"/>
    <w:rsid w:val="562D829E"/>
    <w:rsid w:val="5697E416"/>
    <w:rsid w:val="57FB221D"/>
    <w:rsid w:val="58064DF9"/>
    <w:rsid w:val="59DAA424"/>
    <w:rsid w:val="5D43704D"/>
    <w:rsid w:val="5DA69023"/>
    <w:rsid w:val="5DD70686"/>
    <w:rsid w:val="5E0C939E"/>
    <w:rsid w:val="5E160F6B"/>
    <w:rsid w:val="5ECAC979"/>
    <w:rsid w:val="5EEDAA11"/>
    <w:rsid w:val="5F01E4CB"/>
    <w:rsid w:val="5F45ACD7"/>
    <w:rsid w:val="5F706849"/>
    <w:rsid w:val="5FA863FF"/>
    <w:rsid w:val="60A7F331"/>
    <w:rsid w:val="6243B929"/>
    <w:rsid w:val="62B8F525"/>
    <w:rsid w:val="62E004C1"/>
    <w:rsid w:val="63E70D13"/>
    <w:rsid w:val="647ED80C"/>
    <w:rsid w:val="66E68500"/>
    <w:rsid w:val="67A3C954"/>
    <w:rsid w:val="67B79931"/>
    <w:rsid w:val="688622F4"/>
    <w:rsid w:val="68B37630"/>
    <w:rsid w:val="694458CF"/>
    <w:rsid w:val="6944874B"/>
    <w:rsid w:val="698BB2CA"/>
    <w:rsid w:val="69C429A7"/>
    <w:rsid w:val="6BE184B5"/>
    <w:rsid w:val="6C9B11E6"/>
    <w:rsid w:val="6E4C0322"/>
    <w:rsid w:val="6F5D4DC2"/>
    <w:rsid w:val="6FB1703F"/>
    <w:rsid w:val="70139ACB"/>
    <w:rsid w:val="70841D4F"/>
    <w:rsid w:val="713AA408"/>
    <w:rsid w:val="72188E05"/>
    <w:rsid w:val="742E6764"/>
    <w:rsid w:val="75578E72"/>
    <w:rsid w:val="764DCAAE"/>
    <w:rsid w:val="76728916"/>
    <w:rsid w:val="77671440"/>
    <w:rsid w:val="7A2AFF95"/>
    <w:rsid w:val="7A4004A5"/>
    <w:rsid w:val="7A53CF32"/>
    <w:rsid w:val="7AFE3A80"/>
    <w:rsid w:val="7BC6CFF6"/>
    <w:rsid w:val="7C9A0AE1"/>
    <w:rsid w:val="7D62A057"/>
    <w:rsid w:val="7E4684E4"/>
    <w:rsid w:val="7E64729E"/>
    <w:rsid w:val="7F4EA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D2D3"/>
  <w15:chartTrackingRefBased/>
  <w15:docId w15:val="{FFA688D2-C8B3-4388-91AA-119C96B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A90"/>
    <w:rPr>
      <w:color w:val="808080"/>
    </w:rPr>
  </w:style>
  <w:style w:type="paragraph" w:customStyle="1" w:styleId="paragraph">
    <w:name w:val="paragraph"/>
    <w:basedOn w:val="Normal"/>
    <w:rsid w:val="00F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438E"/>
  </w:style>
  <w:style w:type="character" w:customStyle="1" w:styleId="eop">
    <w:name w:val="eop"/>
    <w:basedOn w:val="DefaultParagraphFont"/>
    <w:rsid w:val="00FB438E"/>
  </w:style>
  <w:style w:type="character" w:customStyle="1" w:styleId="contentcontrolboundarysink">
    <w:name w:val="contentcontrolboundarysink"/>
    <w:basedOn w:val="DefaultParagraphFont"/>
    <w:rsid w:val="00F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9439-6042-4C45-9159-361EC8C6464C}"/>
      </w:docPartPr>
      <w:docPartBody>
        <w:p w:rsidR="00AC1AAA" w:rsidRDefault="00AC1AAA">
          <w:r w:rsidRPr="0009515B">
            <w:rPr>
              <w:rStyle w:val="PlaceholderText"/>
            </w:rPr>
            <w:t>Choose an item.</w:t>
          </w:r>
        </w:p>
      </w:docPartBody>
    </w:docPart>
    <w:docPart>
      <w:docPartPr>
        <w:name w:val="702A39BCD7A3485192A71E7A8647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64BC-6634-4780-B34B-0C16D6ED1D25}"/>
      </w:docPartPr>
      <w:docPartBody>
        <w:p w:rsidR="00AC1AAA" w:rsidRDefault="00AC1AAA" w:rsidP="00AC1AAA">
          <w:pPr>
            <w:pStyle w:val="702A39BCD7A3485192A71E7A8647082E"/>
          </w:pPr>
          <w:r w:rsidRPr="0009515B">
            <w:rPr>
              <w:rStyle w:val="PlaceholderText"/>
            </w:rPr>
            <w:t>Choose an item.</w:t>
          </w:r>
        </w:p>
      </w:docPartBody>
    </w:docPart>
    <w:docPart>
      <w:docPartPr>
        <w:name w:val="34249F88703C47A29F0A23369A77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1030-CC4E-4D15-86DC-2877B042A9FA}"/>
      </w:docPartPr>
      <w:docPartBody>
        <w:p w:rsidR="00AC1AAA" w:rsidRDefault="00AC1AAA" w:rsidP="00AC1AAA">
          <w:pPr>
            <w:pStyle w:val="34249F88703C47A29F0A23369A77BCBA"/>
          </w:pPr>
          <w:r w:rsidRPr="0009515B">
            <w:rPr>
              <w:rStyle w:val="PlaceholderText"/>
            </w:rPr>
            <w:t>Choose an item.</w:t>
          </w:r>
        </w:p>
      </w:docPartBody>
    </w:docPart>
    <w:docPart>
      <w:docPartPr>
        <w:name w:val="4DC80B766FD2451D9BAF257E5B26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E6EC-D265-4EE8-BB21-E60160B2D6B9}"/>
      </w:docPartPr>
      <w:docPartBody>
        <w:p w:rsidR="00AC1AAA" w:rsidRDefault="00AC1AAA" w:rsidP="00AC1AAA">
          <w:pPr>
            <w:pStyle w:val="4DC80B766FD2451D9BAF257E5B26333F"/>
          </w:pPr>
          <w:r w:rsidRPr="000951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AA"/>
    <w:rsid w:val="00612919"/>
    <w:rsid w:val="00A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AAA"/>
    <w:rPr>
      <w:color w:val="808080"/>
    </w:rPr>
  </w:style>
  <w:style w:type="paragraph" w:customStyle="1" w:styleId="702A39BCD7A3485192A71E7A8647082E">
    <w:name w:val="702A39BCD7A3485192A71E7A8647082E"/>
    <w:rsid w:val="00AC1AAA"/>
  </w:style>
  <w:style w:type="paragraph" w:customStyle="1" w:styleId="34249F88703C47A29F0A23369A77BCBA">
    <w:name w:val="34249F88703C47A29F0A23369A77BCBA"/>
    <w:rsid w:val="00AC1AAA"/>
  </w:style>
  <w:style w:type="paragraph" w:customStyle="1" w:styleId="4DC80B766FD2451D9BAF257E5B26333F">
    <w:name w:val="4DC80B766FD2451D9BAF257E5B26333F"/>
    <w:rsid w:val="00AC1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4ED2C8492E4EADBA937CA1119FD6" ma:contentTypeVersion="15" ma:contentTypeDescription="Create a new document." ma:contentTypeScope="" ma:versionID="505daf663cadc51cd044ec44e5f31d9b">
  <xsd:schema xmlns:xsd="http://www.w3.org/2001/XMLSchema" xmlns:xs="http://www.w3.org/2001/XMLSchema" xmlns:p="http://schemas.microsoft.com/office/2006/metadata/properties" xmlns:ns2="bc7859b9-5717-42f6-ada5-7b436250c4c9" xmlns:ns3="4d0cf8a6-db13-44ff-9be7-8993c21021b7" targetNamespace="http://schemas.microsoft.com/office/2006/metadata/properties" ma:root="true" ma:fieldsID="c709f1b60124349f7936c4a774570418" ns2:_="" ns3:_="">
    <xsd:import namespace="bc7859b9-5717-42f6-ada5-7b436250c4c9"/>
    <xsd:import namespace="4d0cf8a6-db13-44ff-9be7-8993c21021b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59b9-5717-42f6-ada5-7b436250c4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f8a6-db13-44ff-9be7-8993c21021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3c4559-9452-4051-a68a-31fe16d9f444}" ma:internalName="TaxCatchAll" ma:showField="CatchAllData" ma:web="4d0cf8a6-db13-44ff-9be7-8993c2102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cf8a6-db13-44ff-9be7-8993c21021b7" xsi:nil="true"/>
    <lcf76f155ced4ddcb4097134ff3c332f xmlns="bc7859b9-5717-42f6-ada5-7b436250c4c9">
      <Terms xmlns="http://schemas.microsoft.com/office/infopath/2007/PartnerControls"/>
    </lcf76f155ced4ddcb4097134ff3c332f>
    <SharedWithUsers xmlns="4d0cf8a6-db13-44ff-9be7-8993c21021b7">
      <UserInfo>
        <DisplayName>Kiser-edwards, April (DOE)</DisplayName>
        <AccountId>14</AccountId>
        <AccountType/>
      </UserInfo>
      <UserInfo>
        <DisplayName>Henderson, Danjile (DOE)</DisplayName>
        <AccountId>20</AccountId>
        <AccountType/>
      </UserInfo>
      <UserInfo>
        <DisplayName>Jennings, Mark (DOE)</DisplayName>
        <AccountId>21</AccountId>
        <AccountType/>
      </UserInfo>
      <UserInfo>
        <DisplayName>Carroll, Katie (DOE)</DisplayName>
        <AccountId>331</AccountId>
        <AccountType/>
      </UserInfo>
      <UserInfo>
        <DisplayName>Albon, Brendon (DOE)</DisplayName>
        <AccountId>225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6903D0-BC2E-4FF5-A49C-9A95F8E8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042CE-DA37-439D-82C6-3F6317A8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859b9-5717-42f6-ada5-7b436250c4c9"/>
    <ds:schemaRef ds:uri="4d0cf8a6-db13-44ff-9be7-8993c2102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9D813-507F-4E61-B93E-BE728C3B543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c7859b9-5717-42f6-ada5-7b436250c4c9"/>
    <ds:schemaRef ds:uri="http://purl.org/dc/elements/1.1/"/>
    <ds:schemaRef ds:uri="http://purl.org/dc/dcmitype/"/>
    <ds:schemaRef ds:uri="4d0cf8a6-db13-44ff-9be7-8993c21021b7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Drzymala, Lisa (DOE)</dc:creator>
  <cp:keywords/>
  <dc:description/>
  <cp:lastModifiedBy>Drzymala, Lisa (DOE)</cp:lastModifiedBy>
  <cp:revision>4</cp:revision>
  <dcterms:created xsi:type="dcterms:W3CDTF">2024-02-28T14:38:00Z</dcterms:created>
  <dcterms:modified xsi:type="dcterms:W3CDTF">2024-02-28T18:08:00Z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0x0101002B924ED2C8492E4EADBA937CA1119FD6</vt:lpwstr>
  </property>
  <property fmtid="{D5CDD505-2E9C-101B-9397-08002B2CF9AE}" pid="3" name="MediaServiceImageTags">
    <vt:lpwstr/>
  </property>
</Properties>
</file>