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6ED1F51A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2E027B">
        <w:t>3</w:t>
      </w:r>
      <w:r w:rsidR="00FD2088">
        <w:t>-202</w:t>
      </w:r>
      <w:r w:rsidR="002E027B">
        <w:t>4</w:t>
      </w:r>
      <w:r w:rsidR="00FD2088">
        <w:t>-</w:t>
      </w:r>
      <w:r w:rsidR="00C170BF">
        <w:t>50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482A123C" w:rsidR="00167950" w:rsidRPr="00A65EE6" w:rsidRDefault="00167950" w:rsidP="00167950">
      <w:r w:rsidRPr="00A65EE6">
        <w:t xml:space="preserve">DATE: </w:t>
      </w:r>
      <w:r w:rsidR="00A4563F">
        <w:t xml:space="preserve">February </w:t>
      </w:r>
      <w:r w:rsidR="00CA770E">
        <w:t>15</w:t>
      </w:r>
      <w:r w:rsidR="00A4563F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054D9DA6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C4336C">
        <w:rPr>
          <w:sz w:val="31"/>
          <w:szCs w:val="31"/>
        </w:rPr>
        <w:t xml:space="preserve">Summer Food Service Program </w:t>
      </w:r>
      <w:r w:rsidR="00C4336C" w:rsidRPr="00BF7EC9">
        <w:rPr>
          <w:sz w:val="31"/>
          <w:szCs w:val="31"/>
        </w:rPr>
        <w:t xml:space="preserve">Reimbursement Rates for </w:t>
      </w:r>
      <w:r w:rsidR="00C4336C">
        <w:rPr>
          <w:sz w:val="31"/>
          <w:szCs w:val="31"/>
        </w:rPr>
        <w:t>Calendar Year 2024</w:t>
      </w:r>
    </w:p>
    <w:p w14:paraId="627DD921" w14:textId="69B0DAD4" w:rsidR="002E027B" w:rsidRDefault="0063637F" w:rsidP="002E027B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purpose of this memorandum is to notify operators of the Summer Food Service Program (SFSP) of </w:t>
      </w:r>
      <w:r w:rsidR="00536B40">
        <w:rPr>
          <w:color w:val="000000"/>
          <w:sz w:val="23"/>
          <w:szCs w:val="23"/>
        </w:rPr>
        <w:t xml:space="preserve">updates to the SFSP reimbursement rates. </w:t>
      </w:r>
      <w:r w:rsidR="00787807">
        <w:rPr>
          <w:color w:val="000000"/>
          <w:sz w:val="23"/>
          <w:szCs w:val="23"/>
        </w:rPr>
        <w:t>On J</w:t>
      </w:r>
      <w:r w:rsidR="00A4563F">
        <w:rPr>
          <w:color w:val="000000"/>
          <w:sz w:val="23"/>
          <w:szCs w:val="23"/>
        </w:rPr>
        <w:t>anuary 19, 2024</w:t>
      </w:r>
      <w:r w:rsidR="00787807">
        <w:rPr>
          <w:color w:val="000000"/>
          <w:sz w:val="23"/>
          <w:szCs w:val="23"/>
        </w:rPr>
        <w:t>, t</w:t>
      </w:r>
      <w:r w:rsidR="002E027B" w:rsidRPr="00BF7EC9">
        <w:rPr>
          <w:color w:val="000000"/>
          <w:sz w:val="23"/>
          <w:szCs w:val="23"/>
        </w:rPr>
        <w:t xml:space="preserve">he </w:t>
      </w:r>
      <w:r w:rsidR="006434B5">
        <w:rPr>
          <w:color w:val="000000"/>
          <w:sz w:val="23"/>
          <w:szCs w:val="23"/>
        </w:rPr>
        <w:t>U.S. Department of Agriculture announced</w:t>
      </w:r>
      <w:r w:rsidR="002E027B" w:rsidRPr="00BF7EC9">
        <w:rPr>
          <w:color w:val="000000"/>
          <w:sz w:val="23"/>
          <w:szCs w:val="23"/>
        </w:rPr>
        <w:t xml:space="preserve"> the </w:t>
      </w:r>
      <w:r w:rsidR="00455269" w:rsidRPr="00455269">
        <w:rPr>
          <w:color w:val="000000"/>
          <w:sz w:val="23"/>
          <w:szCs w:val="23"/>
        </w:rPr>
        <w:t xml:space="preserve">adjustments </w:t>
      </w:r>
      <w:r>
        <w:rPr>
          <w:color w:val="000000"/>
          <w:sz w:val="23"/>
          <w:szCs w:val="23"/>
        </w:rPr>
        <w:t>to</w:t>
      </w:r>
      <w:r w:rsidR="00455269" w:rsidRPr="00455269">
        <w:rPr>
          <w:color w:val="000000"/>
          <w:sz w:val="23"/>
          <w:szCs w:val="23"/>
        </w:rPr>
        <w:t xml:space="preserve"> </w:t>
      </w:r>
      <w:r w:rsidR="00455269">
        <w:rPr>
          <w:color w:val="000000"/>
          <w:sz w:val="23"/>
          <w:szCs w:val="23"/>
        </w:rPr>
        <w:t>S</w:t>
      </w:r>
      <w:r w:rsidR="00455269" w:rsidRPr="00455269">
        <w:rPr>
          <w:color w:val="000000"/>
          <w:sz w:val="23"/>
          <w:szCs w:val="23"/>
        </w:rPr>
        <w:t xml:space="preserve">FSP </w:t>
      </w:r>
      <w:r>
        <w:rPr>
          <w:color w:val="000000"/>
          <w:sz w:val="23"/>
          <w:szCs w:val="23"/>
        </w:rPr>
        <w:t>reimbursement rates for</w:t>
      </w:r>
      <w:r w:rsidR="00455269" w:rsidRPr="00455269">
        <w:rPr>
          <w:color w:val="000000"/>
          <w:sz w:val="23"/>
          <w:szCs w:val="23"/>
        </w:rPr>
        <w:t xml:space="preserve"> calendar year 2024.</w:t>
      </w:r>
      <w:r w:rsidR="00787807">
        <w:rPr>
          <w:color w:val="000000"/>
          <w:sz w:val="23"/>
          <w:szCs w:val="23"/>
        </w:rPr>
        <w:t xml:space="preserve"> </w:t>
      </w:r>
      <w:r w:rsidR="002E027B" w:rsidRPr="00BF7EC9">
        <w:rPr>
          <w:color w:val="000000"/>
          <w:sz w:val="23"/>
          <w:szCs w:val="23"/>
        </w:rPr>
        <w:t xml:space="preserve">The rates </w:t>
      </w:r>
      <w:r w:rsidR="00A4563F" w:rsidRPr="00A4563F">
        <w:rPr>
          <w:color w:val="000000"/>
          <w:sz w:val="23"/>
          <w:szCs w:val="23"/>
        </w:rPr>
        <w:t xml:space="preserve">address changes in the Consumer Price Index, as required under the Richard B. Russell National School Lunch </w:t>
      </w:r>
      <w:r w:rsidR="00A4373D" w:rsidRPr="00A4563F">
        <w:rPr>
          <w:color w:val="000000"/>
          <w:sz w:val="23"/>
          <w:szCs w:val="23"/>
        </w:rPr>
        <w:t>Act</w:t>
      </w:r>
      <w:r w:rsidR="00A4373D">
        <w:rPr>
          <w:color w:val="000000"/>
          <w:sz w:val="23"/>
          <w:szCs w:val="23"/>
        </w:rPr>
        <w:t xml:space="preserve"> and</w:t>
      </w:r>
      <w:r w:rsidR="00A4563F">
        <w:rPr>
          <w:color w:val="000000"/>
          <w:sz w:val="23"/>
          <w:szCs w:val="23"/>
        </w:rPr>
        <w:t xml:space="preserve"> are </w:t>
      </w:r>
      <w:r w:rsidR="002E027B" w:rsidRPr="00BF7EC9">
        <w:rPr>
          <w:color w:val="000000"/>
          <w:sz w:val="23"/>
          <w:szCs w:val="23"/>
        </w:rPr>
        <w:t>effective J</w:t>
      </w:r>
      <w:r w:rsidR="00A4563F">
        <w:rPr>
          <w:color w:val="000000"/>
          <w:sz w:val="23"/>
          <w:szCs w:val="23"/>
        </w:rPr>
        <w:t>anuary 1, 2024</w:t>
      </w:r>
      <w:r w:rsidR="00C4336C">
        <w:rPr>
          <w:rFonts w:cs="Times New Roman"/>
          <w:color w:val="000000"/>
          <w:sz w:val="23"/>
          <w:szCs w:val="23"/>
        </w:rPr>
        <w:t>–</w:t>
      </w:r>
      <w:r w:rsidR="00A4563F">
        <w:rPr>
          <w:color w:val="000000"/>
          <w:sz w:val="23"/>
          <w:szCs w:val="23"/>
        </w:rPr>
        <w:t>December 31, 2024</w:t>
      </w:r>
      <w:r w:rsidR="002E027B" w:rsidRPr="00BF7EC9">
        <w:rPr>
          <w:color w:val="000000"/>
          <w:sz w:val="23"/>
          <w:szCs w:val="23"/>
        </w:rPr>
        <w:t>.</w:t>
      </w:r>
    </w:p>
    <w:p w14:paraId="494AF2C0" w14:textId="691E21A8" w:rsidR="005620A8" w:rsidRPr="001A793D" w:rsidRDefault="00A4563F" w:rsidP="00A530FA">
      <w:pPr>
        <w:pStyle w:val="Heading3"/>
        <w:rPr>
          <w:szCs w:val="24"/>
        </w:rPr>
      </w:pPr>
      <w:r>
        <w:rPr>
          <w:sz w:val="24"/>
          <w:szCs w:val="24"/>
        </w:rPr>
        <w:t xml:space="preserve">Calendar Year </w:t>
      </w:r>
      <w:r w:rsidR="005620A8" w:rsidRPr="00A530FA">
        <w:rPr>
          <w:sz w:val="24"/>
          <w:szCs w:val="24"/>
        </w:rPr>
        <w:t>2024 S</w:t>
      </w:r>
      <w:r>
        <w:rPr>
          <w:sz w:val="24"/>
          <w:szCs w:val="24"/>
        </w:rPr>
        <w:t>ummer Food Service Program R</w:t>
      </w:r>
      <w:r w:rsidR="005620A8" w:rsidRPr="00A530FA">
        <w:rPr>
          <w:sz w:val="24"/>
          <w:szCs w:val="24"/>
        </w:rPr>
        <w:t>eimbursement Rates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NP Reimbursement Rates effective July 1, 2022 to June 30, 2022"/>
        <w:tblDescription w:val="SNP Reimbursement Rates effective July 1, 2022, to June 30, 2022"/>
      </w:tblPr>
      <w:tblGrid>
        <w:gridCol w:w="3422"/>
        <w:gridCol w:w="2451"/>
        <w:gridCol w:w="3284"/>
      </w:tblGrid>
      <w:tr w:rsidR="00455269" w:rsidRPr="00767D2C" w14:paraId="75A0351C" w14:textId="5655FBA1" w:rsidTr="00455269">
        <w:trPr>
          <w:trHeight w:val="287"/>
          <w:tblHeader/>
        </w:trPr>
        <w:tc>
          <w:tcPr>
            <w:tcW w:w="34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DBDE2" w14:textId="77777777" w:rsidR="00455269" w:rsidRPr="00D56F0C" w:rsidRDefault="00455269" w:rsidP="00274F30">
            <w:pPr>
              <w:rPr>
                <w:b/>
                <w:color w:val="000000"/>
                <w:sz w:val="23"/>
                <w:szCs w:val="23"/>
              </w:rPr>
            </w:pPr>
            <w:r w:rsidRPr="00D56F0C">
              <w:rPr>
                <w:b/>
                <w:color w:val="000000"/>
                <w:sz w:val="23"/>
                <w:szCs w:val="23"/>
              </w:rPr>
              <w:t>Meal Type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D402B" w14:textId="660C5B12" w:rsidR="00455269" w:rsidRPr="00D56F0C" w:rsidRDefault="00455269" w:rsidP="00274F30">
            <w:pPr>
              <w:rPr>
                <w:b/>
                <w:color w:val="000000"/>
                <w:sz w:val="23"/>
                <w:szCs w:val="23"/>
              </w:rPr>
            </w:pPr>
            <w:r w:rsidRPr="00455269">
              <w:rPr>
                <w:b/>
                <w:color w:val="000000"/>
                <w:sz w:val="23"/>
                <w:szCs w:val="23"/>
              </w:rPr>
              <w:t>Rural</w:t>
            </w:r>
            <w:r w:rsidR="00274F30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455269">
              <w:rPr>
                <w:b/>
                <w:color w:val="000000"/>
                <w:sz w:val="23"/>
                <w:szCs w:val="23"/>
              </w:rPr>
              <w:t xml:space="preserve">or </w:t>
            </w:r>
            <w:r w:rsidR="00536B40">
              <w:rPr>
                <w:b/>
                <w:color w:val="000000"/>
                <w:sz w:val="23"/>
                <w:szCs w:val="23"/>
              </w:rPr>
              <w:t>S</w:t>
            </w:r>
            <w:r w:rsidRPr="00455269">
              <w:rPr>
                <w:b/>
                <w:color w:val="000000"/>
                <w:sz w:val="23"/>
                <w:szCs w:val="23"/>
              </w:rPr>
              <w:t>elf-</w:t>
            </w:r>
            <w:r w:rsidR="00536B40">
              <w:rPr>
                <w:b/>
                <w:color w:val="000000"/>
                <w:sz w:val="23"/>
                <w:szCs w:val="23"/>
              </w:rPr>
              <w:t>P</w:t>
            </w:r>
            <w:r w:rsidRPr="00455269">
              <w:rPr>
                <w:b/>
                <w:color w:val="000000"/>
                <w:sz w:val="23"/>
                <w:szCs w:val="23"/>
              </w:rPr>
              <w:t xml:space="preserve">rep </w:t>
            </w:r>
            <w:r w:rsidR="00536B40">
              <w:rPr>
                <w:b/>
                <w:color w:val="000000"/>
                <w:sz w:val="23"/>
                <w:szCs w:val="23"/>
              </w:rPr>
              <w:t>S</w:t>
            </w:r>
            <w:r w:rsidRPr="00455269">
              <w:rPr>
                <w:b/>
                <w:color w:val="000000"/>
                <w:sz w:val="23"/>
                <w:szCs w:val="23"/>
              </w:rPr>
              <w:t>ites</w:t>
            </w:r>
          </w:p>
        </w:tc>
        <w:tc>
          <w:tcPr>
            <w:tcW w:w="3284" w:type="dxa"/>
            <w:shd w:val="clear" w:color="auto" w:fill="F2F2F2" w:themeFill="background1" w:themeFillShade="F2"/>
            <w:noWrap/>
            <w:vAlign w:val="center"/>
            <w:hideMark/>
          </w:tcPr>
          <w:p w14:paraId="0BD3676C" w14:textId="7873715F" w:rsidR="00455269" w:rsidRPr="00D56F0C" w:rsidRDefault="00536B40" w:rsidP="00274F30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Urban or Vended Sites</w:t>
            </w:r>
          </w:p>
        </w:tc>
      </w:tr>
      <w:tr w:rsidR="00455269" w:rsidRPr="00767D2C" w14:paraId="61DC1C3F" w14:textId="7CA38217" w:rsidTr="00B85902">
        <w:trPr>
          <w:trHeight w:val="287"/>
        </w:trPr>
        <w:tc>
          <w:tcPr>
            <w:tcW w:w="342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27360" w14:textId="4FBF9E04" w:rsidR="00455269" w:rsidRPr="00767D2C" w:rsidRDefault="00455269" w:rsidP="004552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Breakfast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2B1E31E" w14:textId="7FD1352E" w:rsidR="00455269" w:rsidRPr="00767D2C" w:rsidRDefault="00455269" w:rsidP="00455269">
            <w:pPr>
              <w:rPr>
                <w:color w:val="000000"/>
                <w:sz w:val="23"/>
                <w:szCs w:val="23"/>
              </w:rPr>
            </w:pPr>
            <w:r w:rsidRPr="00130FCB">
              <w:rPr>
                <w:color w:val="000000"/>
                <w:sz w:val="23"/>
                <w:szCs w:val="23"/>
              </w:rPr>
              <w:t>$2.9</w:t>
            </w:r>
            <w:r w:rsidR="0063637F">
              <w:rPr>
                <w:color w:val="000000"/>
                <w:sz w:val="23"/>
                <w:szCs w:val="23"/>
              </w:rPr>
              <w:t>775</w:t>
            </w:r>
          </w:p>
        </w:tc>
        <w:tc>
          <w:tcPr>
            <w:tcW w:w="3284" w:type="dxa"/>
            <w:noWrap/>
            <w:hideMark/>
          </w:tcPr>
          <w:p w14:paraId="5D62E65D" w14:textId="67F2D55C" w:rsidR="00455269" w:rsidRPr="00767D2C" w:rsidRDefault="00455269" w:rsidP="00455269">
            <w:pPr>
              <w:rPr>
                <w:color w:val="000000"/>
                <w:sz w:val="23"/>
                <w:szCs w:val="23"/>
              </w:rPr>
            </w:pPr>
            <w:r w:rsidRPr="00130FCB">
              <w:rPr>
                <w:color w:val="000000"/>
                <w:sz w:val="23"/>
                <w:szCs w:val="23"/>
              </w:rPr>
              <w:t>$2.92</w:t>
            </w:r>
            <w:r w:rsidR="0063637F">
              <w:rPr>
                <w:color w:val="000000"/>
                <w:sz w:val="23"/>
                <w:szCs w:val="23"/>
              </w:rPr>
              <w:t>25</w:t>
            </w:r>
          </w:p>
        </w:tc>
      </w:tr>
      <w:tr w:rsidR="00455269" w:rsidRPr="00767D2C" w14:paraId="61C5D91A" w14:textId="703514C8" w:rsidTr="00455269">
        <w:trPr>
          <w:trHeight w:val="384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48F87" w14:textId="174DD01C" w:rsidR="00455269" w:rsidRPr="00767D2C" w:rsidRDefault="00455269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Lunch or Supper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A7E00B8" w14:textId="5D8EB338" w:rsidR="00455269" w:rsidRPr="00767D2C" w:rsidRDefault="00130FCB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$5.21</w:t>
            </w:r>
            <w:r w:rsidR="0063637F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3284" w:type="dxa"/>
            <w:noWrap/>
            <w:vAlign w:val="center"/>
          </w:tcPr>
          <w:p w14:paraId="4EEE9059" w14:textId="4B264F6F" w:rsidR="00455269" w:rsidRPr="00767D2C" w:rsidRDefault="00130FCB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$5.13</w:t>
            </w:r>
            <w:r w:rsidR="0063637F">
              <w:rPr>
                <w:color w:val="000000"/>
                <w:sz w:val="23"/>
                <w:szCs w:val="23"/>
              </w:rPr>
              <w:t>00</w:t>
            </w:r>
          </w:p>
        </w:tc>
      </w:tr>
      <w:tr w:rsidR="00455269" w:rsidRPr="00767D2C" w14:paraId="4F587AEA" w14:textId="1018F4F3" w:rsidTr="00455269">
        <w:trPr>
          <w:trHeight w:val="287"/>
        </w:trPr>
        <w:tc>
          <w:tcPr>
            <w:tcW w:w="342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69D6C" w14:textId="56574F16" w:rsidR="00455269" w:rsidRPr="00767D2C" w:rsidRDefault="00455269" w:rsidP="005620A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Snack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A9E55D9" w14:textId="17F226AA" w:rsidR="00455269" w:rsidRPr="00767D2C" w:rsidRDefault="00130FCB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$1.2</w:t>
            </w:r>
            <w:r w:rsidR="0063637F">
              <w:rPr>
                <w:color w:val="000000"/>
                <w:sz w:val="23"/>
                <w:szCs w:val="23"/>
              </w:rPr>
              <w:t>350</w:t>
            </w:r>
          </w:p>
        </w:tc>
        <w:tc>
          <w:tcPr>
            <w:tcW w:w="3284" w:type="dxa"/>
            <w:noWrap/>
            <w:vAlign w:val="center"/>
          </w:tcPr>
          <w:p w14:paraId="275061C4" w14:textId="3FC21276" w:rsidR="00455269" w:rsidRPr="00767D2C" w:rsidRDefault="00130FCB" w:rsidP="00A530F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$1.2</w:t>
            </w:r>
            <w:r w:rsidR="0063637F">
              <w:rPr>
                <w:color w:val="000000"/>
                <w:sz w:val="23"/>
                <w:szCs w:val="23"/>
              </w:rPr>
              <w:t>050</w:t>
            </w:r>
          </w:p>
        </w:tc>
      </w:tr>
    </w:tbl>
    <w:p w14:paraId="43786920" w14:textId="42A65517" w:rsidR="00130FCB" w:rsidRDefault="00130FCB" w:rsidP="00A4373D">
      <w:pPr>
        <w:spacing w:before="240" w:after="240"/>
      </w:pPr>
      <w:r w:rsidRPr="00130FCB">
        <w:t>For more information, please contact your assigned S</w:t>
      </w:r>
      <w:r w:rsidR="00536B40">
        <w:t>C</w:t>
      </w:r>
      <w:r w:rsidRPr="00130FCB">
        <w:t>NP regional specialist or CNP regional specialist.</w:t>
      </w:r>
    </w:p>
    <w:p w14:paraId="34D7BC65" w14:textId="4788688D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130FCB">
        <w:rPr>
          <w:color w:val="000000"/>
          <w:sz w:val="23"/>
          <w:szCs w:val="23"/>
        </w:rPr>
        <w:t>SMG</w:t>
      </w:r>
      <w:r w:rsidR="006434B5">
        <w:rPr>
          <w:color w:val="000000"/>
          <w:sz w:val="23"/>
          <w:szCs w:val="23"/>
        </w:rPr>
        <w:t>/</w:t>
      </w:r>
      <w:proofErr w:type="spellStart"/>
      <w:r w:rsidR="00130FCB">
        <w:rPr>
          <w:color w:val="000000"/>
          <w:sz w:val="23"/>
          <w:szCs w:val="23"/>
        </w:rPr>
        <w:t>f</w:t>
      </w:r>
      <w:r w:rsidR="00C170BF">
        <w:rPr>
          <w:color w:val="000000"/>
          <w:sz w:val="23"/>
          <w:szCs w:val="23"/>
        </w:rPr>
        <w:t>d</w:t>
      </w:r>
      <w:proofErr w:type="spellEnd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4A95" w14:textId="77777777" w:rsidR="002E6436" w:rsidRDefault="002E6436" w:rsidP="00B25322">
      <w:pPr>
        <w:spacing w:after="0" w:line="240" w:lineRule="auto"/>
      </w:pPr>
      <w:r>
        <w:separator/>
      </w:r>
    </w:p>
  </w:endnote>
  <w:endnote w:type="continuationSeparator" w:id="0">
    <w:p w14:paraId="13C41ED2" w14:textId="77777777" w:rsidR="002E6436" w:rsidRDefault="002E643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C78D" w14:textId="77777777" w:rsidR="002E6436" w:rsidRDefault="002E6436" w:rsidP="00B25322">
      <w:pPr>
        <w:spacing w:after="0" w:line="240" w:lineRule="auto"/>
      </w:pPr>
      <w:r>
        <w:separator/>
      </w:r>
    </w:p>
  </w:footnote>
  <w:footnote w:type="continuationSeparator" w:id="0">
    <w:p w14:paraId="7D4B2F4F" w14:textId="77777777" w:rsidR="002E6436" w:rsidRDefault="002E643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711A9"/>
    <w:rsid w:val="00082849"/>
    <w:rsid w:val="00091C87"/>
    <w:rsid w:val="000C39E1"/>
    <w:rsid w:val="000D3280"/>
    <w:rsid w:val="000E2D83"/>
    <w:rsid w:val="000F6B21"/>
    <w:rsid w:val="00113781"/>
    <w:rsid w:val="00130FCB"/>
    <w:rsid w:val="00167950"/>
    <w:rsid w:val="001A793D"/>
    <w:rsid w:val="001C51CB"/>
    <w:rsid w:val="001C582F"/>
    <w:rsid w:val="001F5BEF"/>
    <w:rsid w:val="00223595"/>
    <w:rsid w:val="00227B1E"/>
    <w:rsid w:val="00245B88"/>
    <w:rsid w:val="002505BC"/>
    <w:rsid w:val="0027145D"/>
    <w:rsid w:val="00274F30"/>
    <w:rsid w:val="002A6350"/>
    <w:rsid w:val="002B418B"/>
    <w:rsid w:val="002D0EFA"/>
    <w:rsid w:val="002E027B"/>
    <w:rsid w:val="002E0B52"/>
    <w:rsid w:val="002E6436"/>
    <w:rsid w:val="002F2DAF"/>
    <w:rsid w:val="00310C56"/>
    <w:rsid w:val="0031177E"/>
    <w:rsid w:val="00314F1F"/>
    <w:rsid w:val="003238EA"/>
    <w:rsid w:val="00340E2E"/>
    <w:rsid w:val="003649B6"/>
    <w:rsid w:val="003C2EFA"/>
    <w:rsid w:val="003C4B37"/>
    <w:rsid w:val="003D79AA"/>
    <w:rsid w:val="00406FF4"/>
    <w:rsid w:val="004125ED"/>
    <w:rsid w:val="00436535"/>
    <w:rsid w:val="004404C6"/>
    <w:rsid w:val="0044476F"/>
    <w:rsid w:val="00455269"/>
    <w:rsid w:val="00480879"/>
    <w:rsid w:val="004829E4"/>
    <w:rsid w:val="00485E6E"/>
    <w:rsid w:val="0049697A"/>
    <w:rsid w:val="004F340D"/>
    <w:rsid w:val="004F6547"/>
    <w:rsid w:val="00536B40"/>
    <w:rsid w:val="00544584"/>
    <w:rsid w:val="0055372F"/>
    <w:rsid w:val="005620A8"/>
    <w:rsid w:val="005E06EF"/>
    <w:rsid w:val="005E1117"/>
    <w:rsid w:val="005F66C6"/>
    <w:rsid w:val="006246F7"/>
    <w:rsid w:val="00625A9B"/>
    <w:rsid w:val="00635BB8"/>
    <w:rsid w:val="0063637F"/>
    <w:rsid w:val="006434B5"/>
    <w:rsid w:val="00653DCC"/>
    <w:rsid w:val="00703884"/>
    <w:rsid w:val="0073236D"/>
    <w:rsid w:val="00777B8E"/>
    <w:rsid w:val="00787807"/>
    <w:rsid w:val="00793593"/>
    <w:rsid w:val="007A73B4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4373D"/>
    <w:rsid w:val="00A4563F"/>
    <w:rsid w:val="00A530FA"/>
    <w:rsid w:val="00A65EE6"/>
    <w:rsid w:val="00A67B2F"/>
    <w:rsid w:val="00AD228F"/>
    <w:rsid w:val="00AD3A80"/>
    <w:rsid w:val="00AE4F93"/>
    <w:rsid w:val="00AE65FD"/>
    <w:rsid w:val="00B01E92"/>
    <w:rsid w:val="00B17BA8"/>
    <w:rsid w:val="00B25322"/>
    <w:rsid w:val="00B728ED"/>
    <w:rsid w:val="00B83C04"/>
    <w:rsid w:val="00BC1A9C"/>
    <w:rsid w:val="00BC7894"/>
    <w:rsid w:val="00BE00E6"/>
    <w:rsid w:val="00C07DFE"/>
    <w:rsid w:val="00C170BF"/>
    <w:rsid w:val="00C23584"/>
    <w:rsid w:val="00C24D60"/>
    <w:rsid w:val="00C25FA1"/>
    <w:rsid w:val="00C4336C"/>
    <w:rsid w:val="00C67A1D"/>
    <w:rsid w:val="00C707D4"/>
    <w:rsid w:val="00CA70A4"/>
    <w:rsid w:val="00CA770E"/>
    <w:rsid w:val="00CB4CB0"/>
    <w:rsid w:val="00CE346A"/>
    <w:rsid w:val="00CF0233"/>
    <w:rsid w:val="00D2218A"/>
    <w:rsid w:val="00D25F61"/>
    <w:rsid w:val="00D319DC"/>
    <w:rsid w:val="00D534B4"/>
    <w:rsid w:val="00D55B56"/>
    <w:rsid w:val="00D72E53"/>
    <w:rsid w:val="00DA14B1"/>
    <w:rsid w:val="00DD368F"/>
    <w:rsid w:val="00DE36A1"/>
    <w:rsid w:val="00E12E2F"/>
    <w:rsid w:val="00E17D35"/>
    <w:rsid w:val="00E4085F"/>
    <w:rsid w:val="00E75FCE"/>
    <w:rsid w:val="00E760E6"/>
    <w:rsid w:val="00EB268B"/>
    <w:rsid w:val="00EB2F6A"/>
    <w:rsid w:val="00ED79E7"/>
    <w:rsid w:val="00F233CD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20A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Summer Food Service Program Reimbursement Rates for Calendar Year 2024</vt:lpstr>
    </vt:vector>
  </TitlesOfParts>
  <Manager/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Summer Food Service Program Reimbursement Rates for Calendar Year 2024</dc:title>
  <dc:subject/>
  <dc:creator/>
  <cp:keywords/>
  <dc:description/>
  <cp:lastModifiedBy/>
  <cp:revision>1</cp:revision>
  <dcterms:created xsi:type="dcterms:W3CDTF">2024-02-12T17:22:00Z</dcterms:created>
  <dcterms:modified xsi:type="dcterms:W3CDTF">2024-02-12T17:22:00Z</dcterms:modified>
  <cp:category/>
</cp:coreProperties>
</file>