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68A4B393" w:rsidR="00E53D4E" w:rsidRPr="00287BBE" w:rsidRDefault="0012175F" w:rsidP="00E53D4E">
      <w:pPr>
        <w:pStyle w:val="H1"/>
        <w:spacing w:after="120"/>
        <w:rPr>
          <w:rFonts w:ascii="Times New Roman" w:hAnsi="Times New Roman" w:cs="Times New Roman"/>
        </w:rPr>
      </w:pPr>
      <w:r w:rsidRPr="00287BBE">
        <w:rPr>
          <w:rFonts w:ascii="Times New Roman" w:hAnsi="Times New Roman" w:cs="Times New Roman"/>
          <w:noProof/>
        </w:rPr>
        <w:drawing>
          <wp:inline distT="0" distB="0" distL="0" distR="0" wp14:anchorId="2CCDB813" wp14:editId="2903A51C">
            <wp:extent cx="4114800" cy="842743"/>
            <wp:effectExtent l="0" t="0" r="0" b="0"/>
            <wp:docPr id="1442392337"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92337" name="Picture 1" descr="Virginia Department of Education, Office of School and Community Nutrition Program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10FD196C" w:rsidR="00085B2F" w:rsidRPr="006756C9" w:rsidRDefault="0058743B" w:rsidP="006756C9">
      <w:pPr>
        <w:pStyle w:val="H1"/>
        <w:spacing w:after="120" w:line="240" w:lineRule="auto"/>
        <w:rPr>
          <w:rFonts w:ascii="Times New Roman" w:hAnsi="Times New Roman" w:cs="Times New Roman"/>
          <w:sz w:val="40"/>
          <w:szCs w:val="28"/>
        </w:rPr>
      </w:pPr>
      <w:r w:rsidRPr="006756C9">
        <w:rPr>
          <w:rFonts w:ascii="Times New Roman" w:hAnsi="Times New Roman" w:cs="Times New Roman"/>
          <w:sz w:val="40"/>
          <w:szCs w:val="28"/>
        </w:rPr>
        <w:t>School Year 2022-2023 Excess Balance Overview</w:t>
      </w:r>
    </w:p>
    <w:p w14:paraId="5C5FA28C" w14:textId="2FB0B7B0" w:rsidR="007F191A" w:rsidRPr="006756C9" w:rsidRDefault="0058743B" w:rsidP="006756C9">
      <w:pPr>
        <w:pStyle w:val="H2"/>
        <w:spacing w:before="120" w:line="240" w:lineRule="auto"/>
        <w:ind w:left="360"/>
        <w:rPr>
          <w:rFonts w:ascii="Times New Roman" w:hAnsi="Times New Roman" w:cs="Times New Roman"/>
          <w:sz w:val="24"/>
          <w:szCs w:val="24"/>
        </w:rPr>
      </w:pPr>
      <w:r w:rsidRPr="006756C9">
        <w:rPr>
          <w:rFonts w:ascii="Times New Roman" w:hAnsi="Times New Roman" w:cs="Times New Roman"/>
          <w:sz w:val="28"/>
          <w:szCs w:val="28"/>
        </w:rPr>
        <w:t>Frequently Asked Questions</w:t>
      </w:r>
    </w:p>
    <w:p w14:paraId="05F84A8A" w14:textId="76FED617" w:rsidR="008F76E8" w:rsidRPr="006756C9" w:rsidRDefault="0058743B"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t>Will the excess balance be from the 2022</w:t>
      </w:r>
      <w:r w:rsidR="00C21732" w:rsidRPr="006756C9">
        <w:rPr>
          <w:rFonts w:ascii="Times New Roman" w:hAnsi="Times New Roman" w:cs="Times New Roman"/>
          <w:sz w:val="24"/>
        </w:rPr>
        <w:t>–</w:t>
      </w:r>
      <w:r w:rsidRPr="006756C9">
        <w:rPr>
          <w:rFonts w:ascii="Times New Roman" w:hAnsi="Times New Roman" w:cs="Times New Roman"/>
          <w:sz w:val="24"/>
        </w:rPr>
        <w:t xml:space="preserve">2023 school </w:t>
      </w:r>
      <w:r w:rsidR="000C7A80" w:rsidRPr="006756C9">
        <w:rPr>
          <w:rFonts w:ascii="Times New Roman" w:hAnsi="Times New Roman" w:cs="Times New Roman"/>
          <w:sz w:val="24"/>
        </w:rPr>
        <w:t>year end,</w:t>
      </w:r>
      <w:r w:rsidRPr="006756C9">
        <w:rPr>
          <w:rFonts w:ascii="Times New Roman" w:hAnsi="Times New Roman" w:cs="Times New Roman"/>
          <w:sz w:val="24"/>
        </w:rPr>
        <w:t xml:space="preserve"> or will it consider current standing which is 6 months later?</w:t>
      </w:r>
    </w:p>
    <w:p w14:paraId="70F2C2D9" w14:textId="75E84DA7" w:rsidR="00B64545" w:rsidRPr="006756C9" w:rsidRDefault="00B64545" w:rsidP="006756C9">
      <w:pPr>
        <w:spacing w:before="120" w:after="240" w:line="240" w:lineRule="auto"/>
        <w:ind w:left="720"/>
        <w:rPr>
          <w:rFonts w:ascii="Times New Roman" w:hAnsi="Times New Roman" w:cs="Times New Roman"/>
          <w:b/>
        </w:rPr>
      </w:pPr>
      <w:r w:rsidRPr="006756C9">
        <w:rPr>
          <w:rFonts w:ascii="Times New Roman" w:hAnsi="Times New Roman" w:cs="Times New Roman"/>
        </w:rPr>
        <w:t xml:space="preserve">The regulatory guidance is listed below. When preparing your excess balance plan, include the expenditures </w:t>
      </w:r>
      <w:r w:rsidR="00287BBE" w:rsidRPr="006756C9">
        <w:rPr>
          <w:rFonts w:ascii="Times New Roman" w:hAnsi="Times New Roman" w:cs="Times New Roman"/>
        </w:rPr>
        <w:t>from</w:t>
      </w:r>
      <w:r w:rsidRPr="006756C9">
        <w:rPr>
          <w:rFonts w:ascii="Times New Roman" w:hAnsi="Times New Roman" w:cs="Times New Roman"/>
        </w:rPr>
        <w:t xml:space="preserve"> the end of the fiscal year. Virginia </w:t>
      </w:r>
      <w:r w:rsidR="00287BBE" w:rsidRPr="006756C9">
        <w:rPr>
          <w:rFonts w:ascii="Times New Roman" w:hAnsi="Times New Roman" w:cs="Times New Roman"/>
        </w:rPr>
        <w:t>follows the federal guidance for</w:t>
      </w:r>
      <w:r w:rsidRPr="006756C9">
        <w:rPr>
          <w:rFonts w:ascii="Times New Roman" w:hAnsi="Times New Roman" w:cs="Times New Roman"/>
        </w:rPr>
        <w:t xml:space="preserve"> the </w:t>
      </w:r>
      <w:r w:rsidR="006756C9" w:rsidRPr="006756C9">
        <w:rPr>
          <w:rFonts w:ascii="Times New Roman" w:hAnsi="Times New Roman" w:cs="Times New Roman"/>
        </w:rPr>
        <w:t>three-month</w:t>
      </w:r>
      <w:r w:rsidRPr="006756C9">
        <w:rPr>
          <w:rFonts w:ascii="Times New Roman" w:hAnsi="Times New Roman" w:cs="Times New Roman"/>
        </w:rPr>
        <w:t xml:space="preserve"> expendi</w:t>
      </w:r>
      <w:r w:rsidR="007C501D" w:rsidRPr="006756C9">
        <w:rPr>
          <w:rFonts w:ascii="Times New Roman" w:hAnsi="Times New Roman" w:cs="Times New Roman"/>
        </w:rPr>
        <w:t>ture requirement.</w:t>
      </w:r>
    </w:p>
    <w:p w14:paraId="698F2BE4" w14:textId="29682D56" w:rsidR="00D619CC" w:rsidRPr="006756C9" w:rsidRDefault="006756C9" w:rsidP="006756C9">
      <w:pPr>
        <w:spacing w:before="120" w:after="240" w:line="240" w:lineRule="auto"/>
        <w:ind w:left="720"/>
        <w:rPr>
          <w:rFonts w:ascii="Times New Roman" w:hAnsi="Times New Roman" w:cs="Times New Roman"/>
          <w:b/>
        </w:rPr>
      </w:pPr>
      <w:hyperlink r:id="rId8" w:history="1">
        <w:r w:rsidR="00D619CC" w:rsidRPr="006756C9">
          <w:rPr>
            <w:rStyle w:val="Hyperlink"/>
            <w:rFonts w:ascii="Times New Roman" w:hAnsi="Times New Roman" w:cs="Times New Roman"/>
            <w:bCs/>
          </w:rPr>
          <w:t>7 CFR 210.14(b)</w:t>
        </w:r>
      </w:hyperlink>
      <w:r w:rsidR="00D619CC" w:rsidRPr="006756C9">
        <w:rPr>
          <w:rFonts w:ascii="Times New Roman" w:hAnsi="Times New Roman" w:cs="Times New Roman"/>
        </w:rPr>
        <w:t xml:space="preserve"> states “the school food authority shall limit its net cash resources to an amount that does not exceed 3 months average expenditures for its nonprofit school food service or such other amount as may be approved by the State agency in accordance with </w:t>
      </w:r>
      <w:hyperlink r:id="rId9" w:anchor="p-210.19(a)" w:history="1">
        <w:r w:rsidR="00D619CC" w:rsidRPr="006756C9">
          <w:rPr>
            <w:rStyle w:val="Hyperlink"/>
            <w:rFonts w:ascii="Times New Roman" w:hAnsi="Times New Roman" w:cs="Times New Roman"/>
            <w:bCs/>
          </w:rPr>
          <w:t>§ 210.19(a)</w:t>
        </w:r>
      </w:hyperlink>
      <w:r w:rsidR="00D619CC" w:rsidRPr="006756C9">
        <w:rPr>
          <w:rFonts w:ascii="Times New Roman" w:hAnsi="Times New Roman" w:cs="Times New Roman"/>
        </w:rPr>
        <w:t xml:space="preserve">.” </w:t>
      </w:r>
      <w:r w:rsidR="0058743B" w:rsidRPr="006756C9">
        <w:rPr>
          <w:rFonts w:ascii="Times New Roman" w:hAnsi="Times New Roman" w:cs="Times New Roman"/>
        </w:rPr>
        <w:t>The excess balance is calculated as of June 30, 2023, the end of school year 2022</w:t>
      </w:r>
      <w:r w:rsidR="00C21732" w:rsidRPr="006756C9">
        <w:rPr>
          <w:rFonts w:ascii="Times New Roman" w:hAnsi="Times New Roman" w:cs="Times New Roman"/>
        </w:rPr>
        <w:t>–</w:t>
      </w:r>
      <w:r w:rsidR="0058743B" w:rsidRPr="006756C9">
        <w:rPr>
          <w:rFonts w:ascii="Times New Roman" w:hAnsi="Times New Roman" w:cs="Times New Roman"/>
        </w:rPr>
        <w:t xml:space="preserve">2023. </w:t>
      </w:r>
    </w:p>
    <w:p w14:paraId="76D4BF09" w14:textId="1A067557" w:rsidR="0058743B" w:rsidRPr="006756C9" w:rsidRDefault="0058743B"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t xml:space="preserve">How </w:t>
      </w:r>
      <w:r w:rsidR="000C7A80" w:rsidRPr="006756C9">
        <w:rPr>
          <w:rFonts w:ascii="Times New Roman" w:hAnsi="Times New Roman" w:cs="Times New Roman"/>
          <w:sz w:val="24"/>
        </w:rPr>
        <w:t>are</w:t>
      </w:r>
      <w:r w:rsidRPr="006756C9">
        <w:rPr>
          <w:rFonts w:ascii="Times New Roman" w:hAnsi="Times New Roman" w:cs="Times New Roman"/>
          <w:sz w:val="24"/>
        </w:rPr>
        <w:t xml:space="preserve"> 3 mo</w:t>
      </w:r>
      <w:r w:rsidR="006756C9" w:rsidRPr="006756C9">
        <w:rPr>
          <w:rFonts w:ascii="Times New Roman" w:hAnsi="Times New Roman" w:cs="Times New Roman"/>
          <w:sz w:val="24"/>
        </w:rPr>
        <w:t>nths</w:t>
      </w:r>
      <w:r w:rsidRPr="006756C9">
        <w:rPr>
          <w:rFonts w:ascii="Times New Roman" w:hAnsi="Times New Roman" w:cs="Times New Roman"/>
          <w:sz w:val="24"/>
        </w:rPr>
        <w:t xml:space="preserve"> average expenditures calculated?</w:t>
      </w:r>
    </w:p>
    <w:p w14:paraId="3A0B1F3D" w14:textId="1CA0152F" w:rsidR="00D619CC" w:rsidRPr="006756C9" w:rsidRDefault="00D619CC" w:rsidP="006756C9">
      <w:pPr>
        <w:spacing w:before="120" w:after="240" w:line="240" w:lineRule="auto"/>
        <w:ind w:left="720"/>
        <w:rPr>
          <w:rFonts w:ascii="Times New Roman" w:hAnsi="Times New Roman" w:cs="Times New Roman"/>
          <w:b/>
        </w:rPr>
      </w:pPr>
      <w:r w:rsidRPr="006756C9">
        <w:rPr>
          <w:rFonts w:ascii="Times New Roman" w:hAnsi="Times New Roman" w:cs="Times New Roman"/>
        </w:rPr>
        <w:t xml:space="preserve">Per </w:t>
      </w:r>
      <w:hyperlink r:id="rId10" w:history="1">
        <w:r w:rsidRPr="006756C9">
          <w:rPr>
            <w:rStyle w:val="Hyperlink"/>
            <w:rFonts w:ascii="Times New Roman" w:hAnsi="Times New Roman" w:cs="Times New Roman"/>
            <w:bCs/>
          </w:rPr>
          <w:t>7 CFR 210.14(b)</w:t>
        </w:r>
      </w:hyperlink>
      <w:r w:rsidRPr="006756C9">
        <w:rPr>
          <w:rFonts w:ascii="Times New Roman" w:hAnsi="Times New Roman" w:cs="Times New Roman"/>
        </w:rPr>
        <w:t xml:space="preserve">, the </w:t>
      </w:r>
      <w:r w:rsidR="007F1118" w:rsidRPr="006756C9">
        <w:rPr>
          <w:rFonts w:ascii="Times New Roman" w:hAnsi="Times New Roman" w:cs="Times New Roman"/>
        </w:rPr>
        <w:t>three-month</w:t>
      </w:r>
      <w:r w:rsidRPr="006756C9">
        <w:rPr>
          <w:rFonts w:ascii="Times New Roman" w:hAnsi="Times New Roman" w:cs="Times New Roman"/>
        </w:rPr>
        <w:t xml:space="preserve"> average is calculated based on net cash resources. The Virginia Department of Education, Office of School and Community Nutrition Programs</w:t>
      </w:r>
      <w:r w:rsidR="007F1118" w:rsidRPr="006756C9">
        <w:rPr>
          <w:rFonts w:ascii="Times New Roman" w:hAnsi="Times New Roman" w:cs="Times New Roman"/>
        </w:rPr>
        <w:t xml:space="preserve"> (VDOE-SCNP)</w:t>
      </w:r>
      <w:r w:rsidRPr="006756C9">
        <w:rPr>
          <w:rFonts w:ascii="Times New Roman" w:hAnsi="Times New Roman" w:cs="Times New Roman"/>
        </w:rPr>
        <w:t xml:space="preserve"> financial </w:t>
      </w:r>
      <w:r w:rsidR="00AE1C4E" w:rsidRPr="006756C9">
        <w:rPr>
          <w:rFonts w:ascii="Times New Roman" w:hAnsi="Times New Roman" w:cs="Times New Roman"/>
        </w:rPr>
        <w:t xml:space="preserve">report </w:t>
      </w:r>
      <w:r w:rsidR="007C501D" w:rsidRPr="006756C9">
        <w:rPr>
          <w:rFonts w:ascii="Times New Roman" w:hAnsi="Times New Roman" w:cs="Times New Roman"/>
        </w:rPr>
        <w:t xml:space="preserve">includes </w:t>
      </w:r>
      <w:r w:rsidR="0058743B" w:rsidRPr="006756C9">
        <w:rPr>
          <w:rFonts w:ascii="Times New Roman" w:hAnsi="Times New Roman" w:cs="Times New Roman"/>
        </w:rPr>
        <w:t>the National School Lunch Program (NSLP), School Breakfast Program (SBP), S</w:t>
      </w:r>
      <w:r w:rsidR="00B87AEF" w:rsidRPr="006756C9">
        <w:rPr>
          <w:rFonts w:ascii="Times New Roman" w:hAnsi="Times New Roman" w:cs="Times New Roman"/>
        </w:rPr>
        <w:t xml:space="preserve">eamless </w:t>
      </w:r>
      <w:r w:rsidR="0058743B" w:rsidRPr="006756C9">
        <w:rPr>
          <w:rFonts w:ascii="Times New Roman" w:hAnsi="Times New Roman" w:cs="Times New Roman"/>
        </w:rPr>
        <w:t>S</w:t>
      </w:r>
      <w:r w:rsidR="00B87AEF" w:rsidRPr="006756C9">
        <w:rPr>
          <w:rFonts w:ascii="Times New Roman" w:hAnsi="Times New Roman" w:cs="Times New Roman"/>
        </w:rPr>
        <w:t xml:space="preserve">ummer </w:t>
      </w:r>
      <w:r w:rsidR="0058743B" w:rsidRPr="006756C9">
        <w:rPr>
          <w:rFonts w:ascii="Times New Roman" w:hAnsi="Times New Roman" w:cs="Times New Roman"/>
        </w:rPr>
        <w:t>O</w:t>
      </w:r>
      <w:r w:rsidR="00B87AEF" w:rsidRPr="006756C9">
        <w:rPr>
          <w:rFonts w:ascii="Times New Roman" w:hAnsi="Times New Roman" w:cs="Times New Roman"/>
        </w:rPr>
        <w:t>ption (SSO)</w:t>
      </w:r>
      <w:r w:rsidR="0058743B" w:rsidRPr="006756C9">
        <w:rPr>
          <w:rFonts w:ascii="Times New Roman" w:hAnsi="Times New Roman" w:cs="Times New Roman"/>
        </w:rPr>
        <w:t>, and</w:t>
      </w:r>
      <w:r w:rsidR="00B87AEF" w:rsidRPr="006756C9">
        <w:rPr>
          <w:rFonts w:ascii="Times New Roman" w:hAnsi="Times New Roman" w:cs="Times New Roman"/>
        </w:rPr>
        <w:t xml:space="preserve"> the Summer Food Service Program (S</w:t>
      </w:r>
      <w:r w:rsidR="0058743B" w:rsidRPr="006756C9">
        <w:rPr>
          <w:rFonts w:ascii="Times New Roman" w:hAnsi="Times New Roman" w:cs="Times New Roman"/>
        </w:rPr>
        <w:t>FSP</w:t>
      </w:r>
      <w:r w:rsidR="00B87AEF" w:rsidRPr="006756C9">
        <w:rPr>
          <w:rFonts w:ascii="Times New Roman" w:hAnsi="Times New Roman" w:cs="Times New Roman"/>
        </w:rPr>
        <w:t>)</w:t>
      </w:r>
      <w:r w:rsidR="0058743B" w:rsidRPr="006756C9">
        <w:rPr>
          <w:rFonts w:ascii="Times New Roman" w:hAnsi="Times New Roman" w:cs="Times New Roman"/>
        </w:rPr>
        <w:t xml:space="preserve"> claims</w:t>
      </w:r>
      <w:r w:rsidR="007C501D" w:rsidRPr="006756C9">
        <w:rPr>
          <w:rFonts w:ascii="Times New Roman" w:hAnsi="Times New Roman" w:cs="Times New Roman"/>
        </w:rPr>
        <w:t>.</w:t>
      </w:r>
    </w:p>
    <w:p w14:paraId="26A8968C" w14:textId="59CC0976" w:rsidR="0058743B" w:rsidRPr="006756C9" w:rsidRDefault="0058743B" w:rsidP="006756C9">
      <w:pPr>
        <w:spacing w:before="120" w:after="240" w:line="240" w:lineRule="auto"/>
        <w:ind w:left="720"/>
        <w:rPr>
          <w:rFonts w:ascii="Times New Roman" w:hAnsi="Times New Roman" w:cs="Times New Roman"/>
          <w:b/>
        </w:rPr>
      </w:pPr>
      <w:r w:rsidRPr="006756C9">
        <w:rPr>
          <w:rFonts w:ascii="Times New Roman" w:hAnsi="Times New Roman" w:cs="Times New Roman"/>
        </w:rPr>
        <w:t xml:space="preserve">The average monthly expenditures calculation </w:t>
      </w:r>
      <w:r w:rsidR="007C501D" w:rsidRPr="006756C9">
        <w:rPr>
          <w:rFonts w:ascii="Times New Roman" w:hAnsi="Times New Roman" w:cs="Times New Roman"/>
        </w:rPr>
        <w:t>includes</w:t>
      </w:r>
      <w:r w:rsidRPr="006756C9">
        <w:rPr>
          <w:rFonts w:ascii="Times New Roman" w:hAnsi="Times New Roman" w:cs="Times New Roman"/>
        </w:rPr>
        <w:t xml:space="preserve"> the total expenditures </w:t>
      </w:r>
      <w:r w:rsidR="00B87AEF" w:rsidRPr="006756C9">
        <w:rPr>
          <w:rFonts w:ascii="Times New Roman" w:hAnsi="Times New Roman" w:cs="Times New Roman"/>
        </w:rPr>
        <w:t>for the</w:t>
      </w:r>
      <w:r w:rsidR="007C501D" w:rsidRPr="006756C9">
        <w:rPr>
          <w:rFonts w:ascii="Times New Roman" w:hAnsi="Times New Roman" w:cs="Times New Roman"/>
        </w:rPr>
        <w:t xml:space="preserve"> fiscal</w:t>
      </w:r>
      <w:r w:rsidR="00B87AEF" w:rsidRPr="006756C9">
        <w:rPr>
          <w:rFonts w:ascii="Times New Roman" w:hAnsi="Times New Roman" w:cs="Times New Roman"/>
        </w:rPr>
        <w:t xml:space="preserve"> year and </w:t>
      </w:r>
      <w:r w:rsidRPr="006756C9">
        <w:rPr>
          <w:rFonts w:ascii="Times New Roman" w:hAnsi="Times New Roman" w:cs="Times New Roman"/>
        </w:rPr>
        <w:t>divide</w:t>
      </w:r>
      <w:r w:rsidR="00B87AEF" w:rsidRPr="006756C9">
        <w:rPr>
          <w:rFonts w:ascii="Times New Roman" w:hAnsi="Times New Roman" w:cs="Times New Roman"/>
        </w:rPr>
        <w:t>s</w:t>
      </w:r>
      <w:r w:rsidRPr="006756C9">
        <w:rPr>
          <w:rFonts w:ascii="Times New Roman" w:hAnsi="Times New Roman" w:cs="Times New Roman"/>
        </w:rPr>
        <w:t xml:space="preserve"> </w:t>
      </w:r>
      <w:r w:rsidR="007C501D" w:rsidRPr="006756C9">
        <w:rPr>
          <w:rFonts w:ascii="Times New Roman" w:hAnsi="Times New Roman" w:cs="Times New Roman"/>
        </w:rPr>
        <w:t>this total by</w:t>
      </w:r>
      <w:r w:rsidRPr="006756C9">
        <w:rPr>
          <w:rFonts w:ascii="Times New Roman" w:hAnsi="Times New Roman" w:cs="Times New Roman"/>
        </w:rPr>
        <w:t xml:space="preserve"> the number of </w:t>
      </w:r>
      <w:r w:rsidR="007C501D" w:rsidRPr="006756C9">
        <w:rPr>
          <w:rFonts w:ascii="Times New Roman" w:hAnsi="Times New Roman" w:cs="Times New Roman"/>
        </w:rPr>
        <w:t xml:space="preserve">operating </w:t>
      </w:r>
      <w:r w:rsidRPr="006756C9">
        <w:rPr>
          <w:rFonts w:ascii="Times New Roman" w:hAnsi="Times New Roman" w:cs="Times New Roman"/>
        </w:rPr>
        <w:t xml:space="preserve">months. The number of months operating balance </w:t>
      </w:r>
      <w:r w:rsidR="007C501D" w:rsidRPr="006756C9">
        <w:rPr>
          <w:rFonts w:ascii="Times New Roman" w:hAnsi="Times New Roman" w:cs="Times New Roman"/>
        </w:rPr>
        <w:t>includes</w:t>
      </w:r>
      <w:r w:rsidRPr="006756C9">
        <w:rPr>
          <w:rFonts w:ascii="Times New Roman" w:hAnsi="Times New Roman" w:cs="Times New Roman"/>
        </w:rPr>
        <w:t xml:space="preserve"> the net cash amount divided by the average monthly expenditures for the year</w:t>
      </w:r>
      <w:r w:rsidR="00B87AEF" w:rsidRPr="006756C9">
        <w:rPr>
          <w:rFonts w:ascii="Times New Roman" w:hAnsi="Times New Roman" w:cs="Times New Roman"/>
        </w:rPr>
        <w:t xml:space="preserve">. The average monthly expenditures </w:t>
      </w:r>
      <w:r w:rsidR="000C7A80" w:rsidRPr="006756C9">
        <w:rPr>
          <w:rFonts w:ascii="Times New Roman" w:hAnsi="Times New Roman" w:cs="Times New Roman"/>
        </w:rPr>
        <w:t>are</w:t>
      </w:r>
      <w:r w:rsidR="00B87AEF" w:rsidRPr="006756C9">
        <w:rPr>
          <w:rFonts w:ascii="Times New Roman" w:hAnsi="Times New Roman" w:cs="Times New Roman"/>
        </w:rPr>
        <w:t xml:space="preserve"> then multiplied by three to get the allowable fund balance that the SFA may carry over. The net cash amount minus the allowable fund balance</w:t>
      </w:r>
      <w:r w:rsidR="007C501D" w:rsidRPr="006756C9">
        <w:rPr>
          <w:rFonts w:ascii="Times New Roman" w:hAnsi="Times New Roman" w:cs="Times New Roman"/>
        </w:rPr>
        <w:t xml:space="preserve"> (the calculated three months operating expenses)</w:t>
      </w:r>
      <w:r w:rsidR="00B87AEF" w:rsidRPr="006756C9">
        <w:rPr>
          <w:rFonts w:ascii="Times New Roman" w:hAnsi="Times New Roman" w:cs="Times New Roman"/>
        </w:rPr>
        <w:t xml:space="preserve"> equals the SFAs excess balance.</w:t>
      </w:r>
    </w:p>
    <w:p w14:paraId="36BE4658" w14:textId="522E81DA" w:rsidR="00C21C77" w:rsidRPr="006756C9" w:rsidRDefault="00C21C77"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t>My division is still making purchases from our previously approved Corrective Action Plan from last school year.  Do we need to resubmit the same information in this year's plan since all funds do not have to be spent down in one year?</w:t>
      </w:r>
    </w:p>
    <w:p w14:paraId="4EE45429" w14:textId="1C58BA37" w:rsidR="00B87AEF" w:rsidRPr="006756C9" w:rsidRDefault="00B87AEF" w:rsidP="006756C9">
      <w:pPr>
        <w:spacing w:before="120" w:after="240" w:line="240" w:lineRule="auto"/>
        <w:ind w:left="720"/>
        <w:rPr>
          <w:rFonts w:ascii="Times New Roman" w:hAnsi="Times New Roman" w:cs="Times New Roman"/>
          <w:b/>
        </w:rPr>
      </w:pPr>
      <w:r w:rsidRPr="006756C9">
        <w:rPr>
          <w:rFonts w:ascii="Times New Roman" w:hAnsi="Times New Roman" w:cs="Times New Roman"/>
        </w:rPr>
        <w:t xml:space="preserve">Yes, any purchases approved in a previous </w:t>
      </w:r>
      <w:r w:rsidR="00D619CC" w:rsidRPr="006756C9">
        <w:rPr>
          <w:rFonts w:ascii="Times New Roman" w:hAnsi="Times New Roman" w:cs="Times New Roman"/>
        </w:rPr>
        <w:t>excess</w:t>
      </w:r>
      <w:r w:rsidRPr="006756C9">
        <w:rPr>
          <w:rFonts w:ascii="Times New Roman" w:hAnsi="Times New Roman" w:cs="Times New Roman"/>
        </w:rPr>
        <w:t xml:space="preserve"> plan that have not been spent should be detailed in the new excess balance plan</w:t>
      </w:r>
      <w:r w:rsidR="007C501D" w:rsidRPr="006756C9">
        <w:rPr>
          <w:rFonts w:ascii="Times New Roman" w:hAnsi="Times New Roman" w:cs="Times New Roman"/>
        </w:rPr>
        <w:t>.</w:t>
      </w:r>
    </w:p>
    <w:p w14:paraId="30FA3940" w14:textId="445976DA" w:rsidR="00C21C77" w:rsidRPr="006756C9" w:rsidRDefault="00C21C77"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lastRenderedPageBreak/>
        <w:t>Please provide guidance on completing the plan for expenditures already incurred in SY23</w:t>
      </w:r>
      <w:r w:rsidR="00C21732" w:rsidRPr="006756C9">
        <w:rPr>
          <w:rFonts w:ascii="Times New Roman" w:hAnsi="Times New Roman" w:cs="Times New Roman"/>
          <w:sz w:val="24"/>
        </w:rPr>
        <w:t>–</w:t>
      </w:r>
      <w:r w:rsidRPr="006756C9">
        <w:rPr>
          <w:rFonts w:ascii="Times New Roman" w:hAnsi="Times New Roman" w:cs="Times New Roman"/>
          <w:sz w:val="24"/>
        </w:rPr>
        <w:t>24.</w:t>
      </w:r>
    </w:p>
    <w:p w14:paraId="0C3274EE" w14:textId="7E494F93" w:rsidR="00982B81" w:rsidRPr="006756C9" w:rsidRDefault="004133E9" w:rsidP="006756C9">
      <w:pPr>
        <w:spacing w:before="120" w:after="240" w:line="240" w:lineRule="auto"/>
        <w:ind w:left="720"/>
        <w:rPr>
          <w:rFonts w:ascii="Times New Roman" w:hAnsi="Times New Roman" w:cs="Times New Roman"/>
          <w:b/>
        </w:rPr>
      </w:pPr>
      <w:r w:rsidRPr="006756C9">
        <w:rPr>
          <w:rFonts w:ascii="Times New Roman" w:hAnsi="Times New Roman" w:cs="Times New Roman"/>
        </w:rPr>
        <w:t>The school food authority (SFA) should document on the</w:t>
      </w:r>
      <w:r w:rsidR="007C501D" w:rsidRPr="006756C9">
        <w:rPr>
          <w:rFonts w:ascii="Times New Roman" w:hAnsi="Times New Roman" w:cs="Times New Roman"/>
        </w:rPr>
        <w:t xml:space="preserve"> </w:t>
      </w:r>
      <w:r w:rsidRPr="006756C9">
        <w:rPr>
          <w:rFonts w:ascii="Times New Roman" w:hAnsi="Times New Roman" w:cs="Times New Roman"/>
        </w:rPr>
        <w:t xml:space="preserve">excess balance plan </w:t>
      </w:r>
      <w:r w:rsidR="007C501D" w:rsidRPr="006756C9">
        <w:rPr>
          <w:rFonts w:ascii="Times New Roman" w:hAnsi="Times New Roman" w:cs="Times New Roman"/>
        </w:rPr>
        <w:t xml:space="preserve">spreadsheet </w:t>
      </w:r>
      <w:r w:rsidRPr="006756C9">
        <w:rPr>
          <w:rFonts w:ascii="Times New Roman" w:hAnsi="Times New Roman" w:cs="Times New Roman"/>
        </w:rPr>
        <w:t xml:space="preserve">any additional expenses they have </w:t>
      </w:r>
      <w:r w:rsidR="007E1411" w:rsidRPr="006756C9">
        <w:rPr>
          <w:rFonts w:ascii="Times New Roman" w:hAnsi="Times New Roman" w:cs="Times New Roman"/>
        </w:rPr>
        <w:t>incurred for</w:t>
      </w:r>
      <w:r w:rsidRPr="006756C9">
        <w:rPr>
          <w:rFonts w:ascii="Times New Roman" w:hAnsi="Times New Roman" w:cs="Times New Roman"/>
        </w:rPr>
        <w:t xml:space="preserve"> school year 2023</w:t>
      </w:r>
      <w:r w:rsidR="00C21732" w:rsidRPr="006756C9">
        <w:rPr>
          <w:rFonts w:ascii="Times New Roman" w:hAnsi="Times New Roman" w:cs="Times New Roman"/>
        </w:rPr>
        <w:t>–</w:t>
      </w:r>
      <w:r w:rsidRPr="006756C9">
        <w:rPr>
          <w:rFonts w:ascii="Times New Roman" w:hAnsi="Times New Roman" w:cs="Times New Roman"/>
        </w:rPr>
        <w:t xml:space="preserve">2024 including equipment purchases, additional food and supply costs, </w:t>
      </w:r>
      <w:r w:rsidR="007C501D" w:rsidRPr="006756C9">
        <w:rPr>
          <w:rFonts w:ascii="Times New Roman" w:hAnsi="Times New Roman" w:cs="Times New Roman"/>
        </w:rPr>
        <w:t xml:space="preserve">salaries, </w:t>
      </w:r>
      <w:r w:rsidRPr="006756C9">
        <w:rPr>
          <w:rFonts w:ascii="Times New Roman" w:hAnsi="Times New Roman" w:cs="Times New Roman"/>
        </w:rPr>
        <w:t xml:space="preserve">etc. Expenses already budgeted and part of the normal school nutrition program should not be included. The purpose of the excess balance plan is to note how the excess revenue will be spent. </w:t>
      </w:r>
      <w:r w:rsidR="007E1411" w:rsidRPr="006756C9">
        <w:rPr>
          <w:rFonts w:ascii="Times New Roman" w:hAnsi="Times New Roman" w:cs="Times New Roman"/>
        </w:rPr>
        <w:t>Slide 9 provides a specific example of how to document school year 2023</w:t>
      </w:r>
      <w:r w:rsidR="00C21732" w:rsidRPr="006756C9">
        <w:rPr>
          <w:rFonts w:ascii="Times New Roman" w:hAnsi="Times New Roman" w:cs="Times New Roman"/>
        </w:rPr>
        <w:t>–</w:t>
      </w:r>
      <w:r w:rsidR="007E1411" w:rsidRPr="006756C9">
        <w:rPr>
          <w:rFonts w:ascii="Times New Roman" w:hAnsi="Times New Roman" w:cs="Times New Roman"/>
        </w:rPr>
        <w:t xml:space="preserve">2024 expenses in the excess balance plan. </w:t>
      </w:r>
    </w:p>
    <w:p w14:paraId="7EFC558E" w14:textId="79591E4F" w:rsidR="00C21C77" w:rsidRPr="006756C9" w:rsidRDefault="00C21C77"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t xml:space="preserve">Please provide a link to the policy/law in 7 CFR 210.14(a) concerning sales </w:t>
      </w:r>
      <w:r w:rsidR="00C21732" w:rsidRPr="006756C9">
        <w:rPr>
          <w:rFonts w:ascii="Times New Roman" w:hAnsi="Times New Roman" w:cs="Times New Roman"/>
          <w:sz w:val="24"/>
        </w:rPr>
        <w:t>and</w:t>
      </w:r>
      <w:r w:rsidRPr="006756C9">
        <w:rPr>
          <w:rFonts w:ascii="Times New Roman" w:hAnsi="Times New Roman" w:cs="Times New Roman"/>
          <w:sz w:val="24"/>
        </w:rPr>
        <w:t xml:space="preserve"> disposal from food service equipment?</w:t>
      </w:r>
    </w:p>
    <w:p w14:paraId="28C0CF24" w14:textId="12D6BB7D" w:rsidR="007C501D" w:rsidRPr="006756C9" w:rsidRDefault="002371AE" w:rsidP="006756C9">
      <w:pPr>
        <w:spacing w:before="120" w:after="240" w:line="240" w:lineRule="auto"/>
        <w:ind w:left="720"/>
        <w:rPr>
          <w:rFonts w:ascii="Times New Roman" w:hAnsi="Times New Roman" w:cs="Times New Roman"/>
        </w:rPr>
      </w:pPr>
      <w:r w:rsidRPr="006756C9">
        <w:rPr>
          <w:rFonts w:ascii="Times New Roman" w:hAnsi="Times New Roman" w:cs="Times New Roman"/>
          <w:shd w:val="clear" w:color="auto" w:fill="FFFFFF"/>
        </w:rPr>
        <w:t xml:space="preserve">SFAs must observe the limitation on the use of the nonprofit school food service account revenues set forth in </w:t>
      </w:r>
      <w:hyperlink r:id="rId11" w:history="1">
        <w:r w:rsidR="00493302" w:rsidRPr="006756C9">
          <w:rPr>
            <w:rStyle w:val="Hyperlink"/>
            <w:rFonts w:ascii="Times New Roman" w:hAnsi="Times New Roman" w:cs="Times New Roman"/>
            <w:spacing w:val="6"/>
            <w:shd w:val="clear" w:color="auto" w:fill="FFFFFF"/>
          </w:rPr>
          <w:t xml:space="preserve">7 CFR </w:t>
        </w:r>
        <w:r w:rsidRPr="006756C9">
          <w:rPr>
            <w:rStyle w:val="Hyperlink"/>
            <w:rFonts w:ascii="Times New Roman" w:hAnsi="Times New Roman" w:cs="Times New Roman"/>
            <w:spacing w:val="6"/>
            <w:shd w:val="clear" w:color="auto" w:fill="FFFFFF"/>
          </w:rPr>
          <w:t>210.14</w:t>
        </w:r>
      </w:hyperlink>
      <w:r w:rsidRPr="006756C9">
        <w:rPr>
          <w:rFonts w:ascii="Times New Roman" w:hAnsi="Times New Roman" w:cs="Times New Roman"/>
          <w:shd w:val="clear" w:color="auto" w:fill="FFFFFF"/>
        </w:rPr>
        <w:t xml:space="preserve"> and ensure related costs are necessary, reasonable, and allowable.</w:t>
      </w:r>
      <w:r w:rsidR="00921BBC" w:rsidRPr="006756C9">
        <w:rPr>
          <w:rFonts w:ascii="Times New Roman" w:hAnsi="Times New Roman" w:cs="Times New Roman"/>
          <w:shd w:val="clear" w:color="auto" w:fill="FFFFFF"/>
        </w:rPr>
        <w:t xml:space="preserve"> Further information provided in</w:t>
      </w:r>
      <w:r w:rsidR="00493302" w:rsidRPr="006756C9">
        <w:rPr>
          <w:rFonts w:ascii="Times New Roman" w:hAnsi="Times New Roman" w:cs="Times New Roman"/>
          <w:shd w:val="clear" w:color="auto" w:fill="FFFFFF"/>
        </w:rPr>
        <w:t xml:space="preserve"> </w:t>
      </w:r>
      <w:hyperlink r:id="rId12" w:history="1">
        <w:r w:rsidR="00493302" w:rsidRPr="006756C9">
          <w:rPr>
            <w:rStyle w:val="Hyperlink"/>
            <w:rFonts w:ascii="Times New Roman" w:hAnsi="Times New Roman" w:cs="Times New Roman"/>
            <w:spacing w:val="6"/>
            <w:shd w:val="clear" w:color="auto" w:fill="FFFFFF"/>
          </w:rPr>
          <w:t>2 CFR 200.311(c)</w:t>
        </w:r>
      </w:hyperlink>
      <w:r w:rsidR="00493302" w:rsidRPr="006756C9">
        <w:rPr>
          <w:rFonts w:ascii="Times New Roman" w:hAnsi="Times New Roman" w:cs="Times New Roman"/>
          <w:shd w:val="clear" w:color="auto" w:fill="FFFFFF"/>
        </w:rPr>
        <w:t xml:space="preserve"> and </w:t>
      </w:r>
      <w:hyperlink r:id="rId13" w:history="1">
        <w:r w:rsidR="00921BBC" w:rsidRPr="006756C9">
          <w:rPr>
            <w:rStyle w:val="Hyperlink"/>
            <w:rFonts w:ascii="Times New Roman" w:hAnsi="Times New Roman" w:cs="Times New Roman"/>
            <w:color w:val="auto"/>
            <w:spacing w:val="6"/>
            <w:shd w:val="clear" w:color="auto" w:fill="FFFFFF"/>
          </w:rPr>
          <w:t>2 CFR 200.313(b)</w:t>
        </w:r>
      </w:hyperlink>
      <w:r w:rsidR="00921BBC" w:rsidRPr="006756C9">
        <w:rPr>
          <w:rFonts w:ascii="Times New Roman" w:hAnsi="Times New Roman" w:cs="Times New Roman"/>
          <w:shd w:val="clear" w:color="auto" w:fill="FFFFFF"/>
        </w:rPr>
        <w:t xml:space="preserve"> states that revenue from the sale or disposal of equipment </w:t>
      </w:r>
      <w:r w:rsidR="00921BBC" w:rsidRPr="006756C9">
        <w:rPr>
          <w:rFonts w:ascii="Times New Roman" w:hAnsi="Times New Roman" w:cs="Times New Roman"/>
        </w:rPr>
        <w:t>must accrue to the school nutrition department.</w:t>
      </w:r>
    </w:p>
    <w:p w14:paraId="26A9CA83" w14:textId="5788A69C" w:rsidR="00C21C77" w:rsidRPr="006756C9" w:rsidRDefault="00C21C77"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t>Do repairs to equipment need to be pre-approved?</w:t>
      </w:r>
    </w:p>
    <w:p w14:paraId="2EDD4AF9" w14:textId="58311907" w:rsidR="00C21C77" w:rsidRPr="006756C9" w:rsidRDefault="00493302" w:rsidP="006756C9">
      <w:pPr>
        <w:spacing w:before="120" w:after="240" w:line="240" w:lineRule="auto"/>
        <w:ind w:left="720"/>
        <w:rPr>
          <w:rFonts w:ascii="Times New Roman" w:hAnsi="Times New Roman" w:cs="Times New Roman"/>
          <w:b/>
          <w:bCs/>
        </w:rPr>
      </w:pPr>
      <w:r w:rsidRPr="006756C9">
        <w:rPr>
          <w:rFonts w:ascii="Times New Roman" w:hAnsi="Times New Roman" w:cs="Times New Roman"/>
          <w:bCs/>
        </w:rPr>
        <w:t xml:space="preserve">There is no prior approval needed for maintenance or repair. </w:t>
      </w:r>
      <w:r w:rsidR="000C7A80" w:rsidRPr="006756C9">
        <w:rPr>
          <w:rFonts w:ascii="Times New Roman" w:hAnsi="Times New Roman" w:cs="Times New Roman"/>
          <w:bCs/>
        </w:rPr>
        <w:t xml:space="preserve">However, </w:t>
      </w:r>
      <w:hyperlink r:id="rId14" w:history="1">
        <w:r w:rsidR="000C7A80" w:rsidRPr="006756C9">
          <w:rPr>
            <w:rStyle w:val="Hyperlink"/>
            <w:rFonts w:ascii="Times New Roman" w:hAnsi="Times New Roman" w:cs="Times New Roman"/>
            <w:bCs/>
          </w:rPr>
          <w:t>7 CFR 210.14(a)</w:t>
        </w:r>
      </w:hyperlink>
      <w:r w:rsidR="000C7A80" w:rsidRPr="006756C9">
        <w:rPr>
          <w:rFonts w:ascii="Times New Roman" w:hAnsi="Times New Roman" w:cs="Times New Roman"/>
          <w:bCs/>
          <w:color w:val="000000"/>
        </w:rPr>
        <w:t xml:space="preserve"> and </w:t>
      </w:r>
      <w:hyperlink r:id="rId15" w:history="1">
        <w:r w:rsidR="00454967" w:rsidRPr="006756C9">
          <w:rPr>
            <w:rStyle w:val="Hyperlink"/>
            <w:rFonts w:ascii="Times New Roman" w:hAnsi="Times New Roman" w:cs="Times New Roman"/>
            <w:bCs/>
          </w:rPr>
          <w:t xml:space="preserve">7 CFR </w:t>
        </w:r>
        <w:r w:rsidR="000C7A80" w:rsidRPr="006756C9">
          <w:rPr>
            <w:rStyle w:val="Hyperlink"/>
            <w:rFonts w:ascii="Times New Roman" w:hAnsi="Times New Roman" w:cs="Times New Roman"/>
            <w:bCs/>
          </w:rPr>
          <w:t>220.7(e)</w:t>
        </w:r>
      </w:hyperlink>
      <w:r w:rsidR="000C7A80" w:rsidRPr="006756C9">
        <w:rPr>
          <w:rFonts w:ascii="Times New Roman" w:hAnsi="Times New Roman" w:cs="Times New Roman"/>
          <w:bCs/>
          <w:color w:val="000000"/>
        </w:rPr>
        <w:t xml:space="preserve"> require that revenue received by the nonprofit school food service account is only to be used for the operation and improvement of the food program and such revenue shall not be used to purchase land or buildings or to construct buildings.</w:t>
      </w:r>
      <w:r w:rsidR="000C7A80" w:rsidRPr="006756C9">
        <w:rPr>
          <w:rFonts w:ascii="Times New Roman" w:hAnsi="Times New Roman" w:cs="Times New Roman"/>
          <w:bCs/>
          <w:i/>
          <w:iCs/>
          <w:color w:val="000000"/>
        </w:rPr>
        <w:t> </w:t>
      </w:r>
      <w:r w:rsidR="000C7A80" w:rsidRPr="006756C9">
        <w:rPr>
          <w:rFonts w:ascii="Times New Roman" w:hAnsi="Times New Roman" w:cs="Times New Roman"/>
          <w:bCs/>
          <w:color w:val="000000"/>
        </w:rPr>
        <w:t xml:space="preserve">Additionally, costs associated with </w:t>
      </w:r>
      <w:r w:rsidR="000C7A80" w:rsidRPr="006756C9">
        <w:rPr>
          <w:rFonts w:ascii="Times New Roman" w:eastAsia="Times New Roman" w:hAnsi="Times New Roman" w:cs="Times New Roman"/>
          <w:bCs/>
          <w:color w:val="000000"/>
        </w:rPr>
        <w:t xml:space="preserve">remediation or repair to a school building (i.e. plumbing, heating, air conditioning) would add to the permanent value of the school building and are therefore unallowable. </w:t>
      </w:r>
    </w:p>
    <w:p w14:paraId="08B8414F" w14:textId="6AECC6F1" w:rsidR="00C21C77" w:rsidRPr="006756C9" w:rsidRDefault="00C21C77" w:rsidP="006756C9">
      <w:pPr>
        <w:pStyle w:val="H3"/>
        <w:numPr>
          <w:ilvl w:val="0"/>
          <w:numId w:val="21"/>
        </w:numPr>
        <w:spacing w:before="120" w:line="240" w:lineRule="auto"/>
        <w:rPr>
          <w:rFonts w:ascii="Times New Roman" w:hAnsi="Times New Roman" w:cs="Times New Roman"/>
          <w:sz w:val="24"/>
        </w:rPr>
      </w:pPr>
      <w:r w:rsidRPr="006756C9">
        <w:rPr>
          <w:rFonts w:ascii="Times New Roman" w:hAnsi="Times New Roman" w:cs="Times New Roman"/>
          <w:sz w:val="24"/>
        </w:rPr>
        <w:t xml:space="preserve">I was told that the state of California allowed </w:t>
      </w:r>
      <w:r w:rsidR="00C21732" w:rsidRPr="006756C9">
        <w:rPr>
          <w:rFonts w:ascii="Times New Roman" w:hAnsi="Times New Roman" w:cs="Times New Roman"/>
          <w:sz w:val="24"/>
        </w:rPr>
        <w:t>six</w:t>
      </w:r>
      <w:r w:rsidRPr="006756C9">
        <w:rPr>
          <w:rFonts w:ascii="Times New Roman" w:hAnsi="Times New Roman" w:cs="Times New Roman"/>
          <w:sz w:val="24"/>
        </w:rPr>
        <w:t xml:space="preserve"> months of operating revenue. If true, why is there this difference?</w:t>
      </w:r>
    </w:p>
    <w:p w14:paraId="7EEB9B8A" w14:textId="179303A1" w:rsidR="00921BBC" w:rsidRPr="006756C9" w:rsidRDefault="006756C9" w:rsidP="006756C9">
      <w:pPr>
        <w:spacing w:before="120" w:after="240" w:line="240" w:lineRule="auto"/>
        <w:ind w:left="720"/>
        <w:rPr>
          <w:rFonts w:ascii="Times New Roman" w:hAnsi="Times New Roman" w:cs="Times New Roman"/>
          <w:b/>
        </w:rPr>
      </w:pPr>
      <w:hyperlink r:id="rId16" w:history="1">
        <w:r w:rsidR="00C21C77" w:rsidRPr="006756C9">
          <w:rPr>
            <w:rStyle w:val="Hyperlink"/>
            <w:rFonts w:ascii="Times New Roman" w:hAnsi="Times New Roman" w:cs="Times New Roman"/>
            <w:bCs/>
          </w:rPr>
          <w:t>7 CFR 210.14(b)</w:t>
        </w:r>
      </w:hyperlink>
      <w:r w:rsidR="00C21C77" w:rsidRPr="006756C9">
        <w:rPr>
          <w:rFonts w:ascii="Times New Roman" w:hAnsi="Times New Roman" w:cs="Times New Roman"/>
        </w:rPr>
        <w:t xml:space="preserve"> require</w:t>
      </w:r>
      <w:r w:rsidR="00454967" w:rsidRPr="006756C9">
        <w:rPr>
          <w:rFonts w:ascii="Times New Roman" w:hAnsi="Times New Roman" w:cs="Times New Roman"/>
        </w:rPr>
        <w:t>s</w:t>
      </w:r>
      <w:r w:rsidR="00C21C77" w:rsidRPr="006756C9">
        <w:rPr>
          <w:rFonts w:ascii="Times New Roman" w:hAnsi="Times New Roman" w:cs="Times New Roman"/>
        </w:rPr>
        <w:t xml:space="preserve"> SFAs to limit their net cash resources in its nonprofit school food service account to no more than three months average expenditures. The SFA is determined to be out of compliance if the fund balance as of June 30 is </w:t>
      </w:r>
      <w:proofErr w:type="gramStart"/>
      <w:r w:rsidR="00C21C77" w:rsidRPr="006756C9">
        <w:rPr>
          <w:rFonts w:ascii="Times New Roman" w:hAnsi="Times New Roman" w:cs="Times New Roman"/>
        </w:rPr>
        <w:t>in excess of</w:t>
      </w:r>
      <w:proofErr w:type="gramEnd"/>
      <w:r w:rsidR="00C21C77" w:rsidRPr="006756C9">
        <w:rPr>
          <w:rFonts w:ascii="Times New Roman" w:hAnsi="Times New Roman" w:cs="Times New Roman"/>
        </w:rPr>
        <w:t xml:space="preserve"> three months' average expenditures. The VDOE-SCNP determines excess balance by reviewing the annual </w:t>
      </w:r>
      <w:r w:rsidR="00454967" w:rsidRPr="006756C9">
        <w:rPr>
          <w:rFonts w:ascii="Times New Roman" w:hAnsi="Times New Roman" w:cs="Times New Roman"/>
        </w:rPr>
        <w:t>s</w:t>
      </w:r>
      <w:r w:rsidR="00C21C77" w:rsidRPr="006756C9">
        <w:rPr>
          <w:rFonts w:ascii="Times New Roman" w:hAnsi="Times New Roman" w:cs="Times New Roman"/>
        </w:rPr>
        <w:t xml:space="preserve">tate </w:t>
      </w:r>
      <w:r w:rsidR="00454967" w:rsidRPr="006756C9">
        <w:rPr>
          <w:rFonts w:ascii="Times New Roman" w:hAnsi="Times New Roman" w:cs="Times New Roman"/>
        </w:rPr>
        <w:t>f</w:t>
      </w:r>
      <w:r w:rsidR="00C21C77" w:rsidRPr="006756C9">
        <w:rPr>
          <w:rFonts w:ascii="Times New Roman" w:hAnsi="Times New Roman" w:cs="Times New Roman"/>
        </w:rPr>
        <w:t xml:space="preserve">inancial </w:t>
      </w:r>
      <w:r w:rsidR="00454967" w:rsidRPr="006756C9">
        <w:rPr>
          <w:rFonts w:ascii="Times New Roman" w:hAnsi="Times New Roman" w:cs="Times New Roman"/>
        </w:rPr>
        <w:t>r</w:t>
      </w:r>
      <w:r w:rsidR="00C21C77" w:rsidRPr="006756C9">
        <w:rPr>
          <w:rFonts w:ascii="Times New Roman" w:hAnsi="Times New Roman" w:cs="Times New Roman"/>
        </w:rPr>
        <w:t>eport. SFAs with an excess of three months operating balance must develop a corrective action plan, called the excess balance plan. </w:t>
      </w:r>
    </w:p>
    <w:sectPr w:rsidR="00921BBC" w:rsidRPr="006756C9" w:rsidSect="00287BB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519F" w14:textId="77777777" w:rsidR="00434F20" w:rsidRDefault="00434F20" w:rsidP="00F249A1">
      <w:pPr>
        <w:spacing w:after="0" w:line="240" w:lineRule="auto"/>
      </w:pPr>
      <w:r>
        <w:separator/>
      </w:r>
    </w:p>
  </w:endnote>
  <w:endnote w:type="continuationSeparator" w:id="0">
    <w:p w14:paraId="3A4F559B" w14:textId="77777777" w:rsidR="00434F20" w:rsidRDefault="00434F20" w:rsidP="00F2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A473" w14:textId="77777777" w:rsidR="00434F20" w:rsidRDefault="00434F20" w:rsidP="00F249A1">
      <w:pPr>
        <w:spacing w:after="0" w:line="240" w:lineRule="auto"/>
      </w:pPr>
      <w:r>
        <w:separator/>
      </w:r>
    </w:p>
  </w:footnote>
  <w:footnote w:type="continuationSeparator" w:id="0">
    <w:p w14:paraId="008D81AC" w14:textId="77777777" w:rsidR="00434F20" w:rsidRDefault="00434F20" w:rsidP="00F2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088" w14:textId="77777777" w:rsidR="001447AB" w:rsidRPr="00287BBE" w:rsidRDefault="001447AB" w:rsidP="001447AB">
    <w:pPr>
      <w:pStyle w:val="H1"/>
      <w:spacing w:after="0"/>
      <w:jc w:val="right"/>
      <w:rPr>
        <w:rFonts w:ascii="Times New Roman" w:hAnsi="Times New Roman" w:cs="Times New Roman"/>
        <w:bCs/>
        <w:sz w:val="24"/>
        <w:szCs w:val="24"/>
      </w:rPr>
    </w:pPr>
    <w:r w:rsidRPr="00287BBE">
      <w:rPr>
        <w:rFonts w:ascii="Times New Roman" w:hAnsi="Times New Roman" w:cs="Times New Roman"/>
        <w:b w:val="0"/>
        <w:bCs/>
        <w:sz w:val="24"/>
        <w:szCs w:val="24"/>
      </w:rPr>
      <w:t>Attachment A</w:t>
    </w:r>
  </w:p>
  <w:p w14:paraId="61DF0AA6" w14:textId="57605885" w:rsidR="001447AB" w:rsidRPr="001447AB" w:rsidRDefault="001447AB" w:rsidP="001447AB">
    <w:pPr>
      <w:pStyle w:val="H1"/>
      <w:spacing w:after="0"/>
      <w:jc w:val="right"/>
      <w:rPr>
        <w:rFonts w:ascii="Times New Roman" w:hAnsi="Times New Roman" w:cs="Times New Roman"/>
        <w:b w:val="0"/>
        <w:bCs/>
        <w:sz w:val="24"/>
        <w:szCs w:val="24"/>
      </w:rPr>
    </w:pPr>
    <w:r w:rsidRPr="00287BBE">
      <w:rPr>
        <w:rFonts w:ascii="Times New Roman" w:hAnsi="Times New Roman" w:cs="Times New Roman"/>
        <w:b w:val="0"/>
        <w:bCs/>
        <w:sz w:val="24"/>
        <w:szCs w:val="24"/>
      </w:rPr>
      <w:t>S</w:t>
    </w:r>
    <w:r>
      <w:rPr>
        <w:rFonts w:ascii="Times New Roman" w:hAnsi="Times New Roman" w:cs="Times New Roman"/>
        <w:b w:val="0"/>
        <w:bCs/>
        <w:sz w:val="24"/>
        <w:szCs w:val="24"/>
      </w:rPr>
      <w:t>C</w:t>
    </w:r>
    <w:r w:rsidRPr="00287BBE">
      <w:rPr>
        <w:rFonts w:ascii="Times New Roman" w:hAnsi="Times New Roman" w:cs="Times New Roman"/>
        <w:b w:val="0"/>
        <w:bCs/>
        <w:sz w:val="24"/>
        <w:szCs w:val="24"/>
      </w:rPr>
      <w:t>NP Memo No. 2023-2024-</w:t>
    </w:r>
    <w:r>
      <w:rPr>
        <w:rFonts w:ascii="Times New Roman" w:hAnsi="Times New Roman" w:cs="Times New Roman"/>
        <w:b w:val="0"/>
        <w:bCs/>
        <w:sz w:val="24"/>
        <w:szCs w:val="24"/>
      </w:rPr>
      <w:t>51</w:t>
    </w:r>
  </w:p>
  <w:p w14:paraId="217B0DF2" w14:textId="0E5615E7" w:rsidR="001447AB" w:rsidRPr="001447AB" w:rsidRDefault="001447AB" w:rsidP="001447AB">
    <w:pPr>
      <w:pStyle w:val="H1"/>
      <w:spacing w:after="240"/>
      <w:jc w:val="right"/>
      <w:rPr>
        <w:rFonts w:ascii="Times New Roman" w:hAnsi="Times New Roman" w:cs="Times New Roman"/>
        <w:b w:val="0"/>
        <w:bCs/>
        <w:sz w:val="24"/>
        <w:szCs w:val="24"/>
      </w:rPr>
    </w:pPr>
    <w:r w:rsidRPr="00287BBE">
      <w:rPr>
        <w:rFonts w:ascii="Times New Roman" w:hAnsi="Times New Roman" w:cs="Times New Roman"/>
        <w:b w:val="0"/>
        <w:bCs/>
        <w:sz w:val="24"/>
        <w:szCs w:val="24"/>
      </w:rPr>
      <w:t>February 15,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D30" w14:textId="77777777" w:rsidR="001447AB" w:rsidRPr="00287BBE" w:rsidRDefault="001447AB" w:rsidP="001447AB">
    <w:pPr>
      <w:pStyle w:val="H1"/>
      <w:spacing w:after="0"/>
      <w:jc w:val="right"/>
      <w:rPr>
        <w:rFonts w:ascii="Times New Roman" w:hAnsi="Times New Roman" w:cs="Times New Roman"/>
        <w:bCs/>
        <w:sz w:val="24"/>
        <w:szCs w:val="24"/>
      </w:rPr>
    </w:pPr>
    <w:r w:rsidRPr="00287BBE">
      <w:rPr>
        <w:rFonts w:ascii="Times New Roman" w:hAnsi="Times New Roman" w:cs="Times New Roman"/>
        <w:b w:val="0"/>
        <w:bCs/>
        <w:sz w:val="24"/>
        <w:szCs w:val="24"/>
      </w:rPr>
      <w:t>Attachment A</w:t>
    </w:r>
  </w:p>
  <w:p w14:paraId="0B5735D0" w14:textId="77777777" w:rsidR="001447AB" w:rsidRPr="00287BBE" w:rsidRDefault="001447AB" w:rsidP="001447AB">
    <w:pPr>
      <w:pStyle w:val="H1"/>
      <w:spacing w:after="0"/>
      <w:jc w:val="right"/>
      <w:rPr>
        <w:rFonts w:ascii="Times New Roman" w:hAnsi="Times New Roman" w:cs="Times New Roman"/>
        <w:bCs/>
        <w:sz w:val="24"/>
        <w:szCs w:val="24"/>
      </w:rPr>
    </w:pPr>
    <w:r w:rsidRPr="00287BBE">
      <w:rPr>
        <w:rFonts w:ascii="Times New Roman" w:hAnsi="Times New Roman" w:cs="Times New Roman"/>
        <w:b w:val="0"/>
        <w:bCs/>
        <w:sz w:val="24"/>
        <w:szCs w:val="24"/>
      </w:rPr>
      <w:t>S</w:t>
    </w:r>
    <w:r>
      <w:rPr>
        <w:rFonts w:ascii="Times New Roman" w:hAnsi="Times New Roman" w:cs="Times New Roman"/>
        <w:b w:val="0"/>
        <w:bCs/>
        <w:sz w:val="24"/>
        <w:szCs w:val="24"/>
      </w:rPr>
      <w:t>C</w:t>
    </w:r>
    <w:r w:rsidRPr="00287BBE">
      <w:rPr>
        <w:rFonts w:ascii="Times New Roman" w:hAnsi="Times New Roman" w:cs="Times New Roman"/>
        <w:b w:val="0"/>
        <w:bCs/>
        <w:sz w:val="24"/>
        <w:szCs w:val="24"/>
      </w:rPr>
      <w:t>NP Memo No. 2023-2024-</w:t>
    </w:r>
    <w:r>
      <w:rPr>
        <w:rFonts w:ascii="Times New Roman" w:hAnsi="Times New Roman" w:cs="Times New Roman"/>
        <w:b w:val="0"/>
        <w:bCs/>
        <w:sz w:val="24"/>
        <w:szCs w:val="24"/>
      </w:rPr>
      <w:t>51</w:t>
    </w:r>
  </w:p>
  <w:p w14:paraId="47AB4253" w14:textId="535E3E09" w:rsidR="001447AB" w:rsidRPr="001447AB" w:rsidRDefault="001447AB" w:rsidP="001447AB">
    <w:pPr>
      <w:pStyle w:val="H1"/>
      <w:spacing w:after="240"/>
      <w:jc w:val="right"/>
      <w:rPr>
        <w:rFonts w:ascii="Times New Roman" w:hAnsi="Times New Roman" w:cs="Times New Roman"/>
        <w:b w:val="0"/>
        <w:bCs/>
        <w:sz w:val="24"/>
        <w:szCs w:val="24"/>
      </w:rPr>
    </w:pPr>
    <w:r w:rsidRPr="00287BBE">
      <w:rPr>
        <w:rFonts w:ascii="Times New Roman" w:hAnsi="Times New Roman" w:cs="Times New Roman"/>
        <w:b w:val="0"/>
        <w:bCs/>
        <w:sz w:val="24"/>
        <w:szCs w:val="24"/>
      </w:rPr>
      <w:t>February 15,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14B16"/>
    <w:multiLevelType w:val="hybridMultilevel"/>
    <w:tmpl w:val="E548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239C3"/>
    <w:multiLevelType w:val="multilevel"/>
    <w:tmpl w:val="7E3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456460"/>
    <w:multiLevelType w:val="hybridMultilevel"/>
    <w:tmpl w:val="D63C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EF157E"/>
    <w:multiLevelType w:val="hybridMultilevel"/>
    <w:tmpl w:val="D532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40643"/>
    <w:multiLevelType w:val="hybridMultilevel"/>
    <w:tmpl w:val="A58C9CEA"/>
    <w:lvl w:ilvl="0" w:tplc="9A6832A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08874641">
    <w:abstractNumId w:val="17"/>
  </w:num>
  <w:num w:numId="2" w16cid:durableId="504251277">
    <w:abstractNumId w:val="16"/>
  </w:num>
  <w:num w:numId="3" w16cid:durableId="52046486">
    <w:abstractNumId w:val="15"/>
  </w:num>
  <w:num w:numId="4" w16cid:durableId="478569701">
    <w:abstractNumId w:val="9"/>
  </w:num>
  <w:num w:numId="5" w16cid:durableId="1261334341">
    <w:abstractNumId w:val="8"/>
  </w:num>
  <w:num w:numId="6" w16cid:durableId="2003461264">
    <w:abstractNumId w:val="7"/>
  </w:num>
  <w:num w:numId="7" w16cid:durableId="1083992128">
    <w:abstractNumId w:val="6"/>
  </w:num>
  <w:num w:numId="8" w16cid:durableId="242449194">
    <w:abstractNumId w:val="5"/>
  </w:num>
  <w:num w:numId="9" w16cid:durableId="555357319">
    <w:abstractNumId w:val="4"/>
  </w:num>
  <w:num w:numId="10" w16cid:durableId="86998669">
    <w:abstractNumId w:val="3"/>
  </w:num>
  <w:num w:numId="11" w16cid:durableId="468977913">
    <w:abstractNumId w:val="2"/>
  </w:num>
  <w:num w:numId="12" w16cid:durableId="169029505">
    <w:abstractNumId w:val="1"/>
  </w:num>
  <w:num w:numId="13" w16cid:durableId="1757820113">
    <w:abstractNumId w:val="0"/>
  </w:num>
  <w:num w:numId="14" w16cid:durableId="487019761">
    <w:abstractNumId w:val="12"/>
  </w:num>
  <w:num w:numId="15" w16cid:durableId="54936821">
    <w:abstractNumId w:val="14"/>
  </w:num>
  <w:num w:numId="16" w16cid:durableId="1922907111">
    <w:abstractNumId w:val="20"/>
  </w:num>
  <w:num w:numId="17" w16cid:durableId="374474237">
    <w:abstractNumId w:val="13"/>
  </w:num>
  <w:num w:numId="18" w16cid:durableId="211815427">
    <w:abstractNumId w:val="19"/>
  </w:num>
  <w:num w:numId="19" w16cid:durableId="749696847">
    <w:abstractNumId w:val="18"/>
  </w:num>
  <w:num w:numId="20" w16cid:durableId="756024777">
    <w:abstractNumId w:val="11"/>
  </w:num>
  <w:num w:numId="21" w16cid:durableId="1228613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C7A80"/>
    <w:rsid w:val="000D20AC"/>
    <w:rsid w:val="000F44EF"/>
    <w:rsid w:val="0012175F"/>
    <w:rsid w:val="001401ED"/>
    <w:rsid w:val="001447AB"/>
    <w:rsid w:val="00160938"/>
    <w:rsid w:val="001A76E8"/>
    <w:rsid w:val="001D4A9D"/>
    <w:rsid w:val="001F5385"/>
    <w:rsid w:val="002371AE"/>
    <w:rsid w:val="002675CC"/>
    <w:rsid w:val="002847ED"/>
    <w:rsid w:val="00287BBE"/>
    <w:rsid w:val="002E4000"/>
    <w:rsid w:val="004133E9"/>
    <w:rsid w:val="00434F20"/>
    <w:rsid w:val="00454967"/>
    <w:rsid w:val="00456171"/>
    <w:rsid w:val="00480AC3"/>
    <w:rsid w:val="00493302"/>
    <w:rsid w:val="004D39C1"/>
    <w:rsid w:val="00506B35"/>
    <w:rsid w:val="00520EC6"/>
    <w:rsid w:val="005625C1"/>
    <w:rsid w:val="0058743B"/>
    <w:rsid w:val="00622894"/>
    <w:rsid w:val="006756C9"/>
    <w:rsid w:val="006C1D3B"/>
    <w:rsid w:val="006C5F3F"/>
    <w:rsid w:val="007039F8"/>
    <w:rsid w:val="007716EB"/>
    <w:rsid w:val="00783A20"/>
    <w:rsid w:val="007C501D"/>
    <w:rsid w:val="007E1411"/>
    <w:rsid w:val="007F1118"/>
    <w:rsid w:val="007F191A"/>
    <w:rsid w:val="008B29EA"/>
    <w:rsid w:val="008D593D"/>
    <w:rsid w:val="008F76E8"/>
    <w:rsid w:val="00906197"/>
    <w:rsid w:val="00911CAE"/>
    <w:rsid w:val="009129BB"/>
    <w:rsid w:val="00921BBC"/>
    <w:rsid w:val="009274DA"/>
    <w:rsid w:val="00982B81"/>
    <w:rsid w:val="009A47AF"/>
    <w:rsid w:val="009D0C8E"/>
    <w:rsid w:val="00A55EB7"/>
    <w:rsid w:val="00A56178"/>
    <w:rsid w:val="00AD701B"/>
    <w:rsid w:val="00AE1C4E"/>
    <w:rsid w:val="00AE55AD"/>
    <w:rsid w:val="00B64545"/>
    <w:rsid w:val="00B87AEF"/>
    <w:rsid w:val="00BA5339"/>
    <w:rsid w:val="00C21732"/>
    <w:rsid w:val="00C21C77"/>
    <w:rsid w:val="00C60D08"/>
    <w:rsid w:val="00C87156"/>
    <w:rsid w:val="00CF51CB"/>
    <w:rsid w:val="00D3454B"/>
    <w:rsid w:val="00D619CC"/>
    <w:rsid w:val="00E53D4E"/>
    <w:rsid w:val="00E908E3"/>
    <w:rsid w:val="00EE5B7F"/>
    <w:rsid w:val="00EE7A70"/>
    <w:rsid w:val="00EF3DDB"/>
    <w:rsid w:val="00F249A1"/>
    <w:rsid w:val="00F57F1E"/>
    <w:rsid w:val="00F9348B"/>
    <w:rsid w:val="00FC20C2"/>
    <w:rsid w:val="00FC753F"/>
    <w:rsid w:val="00FE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21C77"/>
    <w:pPr>
      <w:spacing w:after="0" w:line="240" w:lineRule="auto"/>
      <w:ind w:left="720"/>
    </w:pPr>
    <w:rPr>
      <w:rFonts w:cs="Calibri"/>
      <w:sz w:val="22"/>
      <w:szCs w:val="22"/>
    </w:rPr>
  </w:style>
  <w:style w:type="paragraph" w:customStyle="1" w:styleId="indent-1">
    <w:name w:val="indent-1"/>
    <w:basedOn w:val="Normal"/>
    <w:rsid w:val="00921BBC"/>
    <w:pPr>
      <w:spacing w:before="100" w:beforeAutospacing="1" w:after="100" w:afterAutospacing="1" w:line="240" w:lineRule="auto"/>
    </w:pPr>
    <w:rPr>
      <w:rFonts w:ascii="Times New Roman" w:eastAsia="Times New Roman" w:hAnsi="Times New Roman" w:cs="Times New Roman"/>
    </w:rPr>
  </w:style>
  <w:style w:type="character" w:customStyle="1" w:styleId="paragraph-hierarchy">
    <w:name w:val="paragraph-hierarchy"/>
    <w:basedOn w:val="DefaultParagraphFont"/>
    <w:rsid w:val="00921BBC"/>
  </w:style>
  <w:style w:type="character" w:customStyle="1" w:styleId="paren">
    <w:name w:val="paren"/>
    <w:basedOn w:val="DefaultParagraphFont"/>
    <w:rsid w:val="00921BBC"/>
  </w:style>
  <w:style w:type="character" w:styleId="Emphasis">
    <w:name w:val="Emphasis"/>
    <w:basedOn w:val="DefaultParagraphFont"/>
    <w:uiPriority w:val="20"/>
    <w:qFormat/>
    <w:rsid w:val="00921BBC"/>
    <w:rPr>
      <w:i/>
      <w:iCs/>
    </w:rPr>
  </w:style>
  <w:style w:type="character" w:styleId="Hyperlink">
    <w:name w:val="Hyperlink"/>
    <w:basedOn w:val="DefaultParagraphFont"/>
    <w:uiPriority w:val="99"/>
    <w:unhideWhenUsed/>
    <w:rsid w:val="00921BBC"/>
    <w:rPr>
      <w:color w:val="0000FF"/>
      <w:u w:val="single"/>
    </w:rPr>
  </w:style>
  <w:style w:type="paragraph" w:customStyle="1" w:styleId="indent-2">
    <w:name w:val="indent-2"/>
    <w:basedOn w:val="Normal"/>
    <w:rsid w:val="00921BBC"/>
    <w:pPr>
      <w:spacing w:before="100" w:beforeAutospacing="1" w:after="100" w:afterAutospacing="1" w:line="240" w:lineRule="auto"/>
    </w:pPr>
    <w:rPr>
      <w:rFonts w:ascii="Times New Roman" w:eastAsia="Times New Roman" w:hAnsi="Times New Roman" w:cs="Times New Roman"/>
    </w:rPr>
  </w:style>
  <w:style w:type="paragraph" w:customStyle="1" w:styleId="indent-3">
    <w:name w:val="indent-3"/>
    <w:basedOn w:val="Normal"/>
    <w:rsid w:val="00921BBC"/>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1BBC"/>
    <w:rPr>
      <w:color w:val="605E5C"/>
      <w:shd w:val="clear" w:color="auto" w:fill="E1DFDD"/>
    </w:rPr>
  </w:style>
  <w:style w:type="character" w:styleId="FollowedHyperlink">
    <w:name w:val="FollowedHyperlink"/>
    <w:basedOn w:val="DefaultParagraphFont"/>
    <w:uiPriority w:val="99"/>
    <w:semiHidden/>
    <w:unhideWhenUsed/>
    <w:rsid w:val="00493302"/>
    <w:rPr>
      <w:color w:val="954F72" w:themeColor="followedHyperlink"/>
      <w:u w:val="single"/>
    </w:rPr>
  </w:style>
  <w:style w:type="paragraph" w:styleId="Revision">
    <w:name w:val="Revision"/>
    <w:hidden/>
    <w:uiPriority w:val="99"/>
    <w:semiHidden/>
    <w:rsid w:val="00D619CC"/>
    <w:pPr>
      <w:spacing w:after="0"/>
      <w:jc w:val="left"/>
    </w:pPr>
    <w:rPr>
      <w:rFonts w:ascii="Calibri" w:hAnsi="Calibri"/>
    </w:rPr>
  </w:style>
  <w:style w:type="paragraph" w:styleId="Header">
    <w:name w:val="header"/>
    <w:basedOn w:val="Normal"/>
    <w:link w:val="HeaderChar"/>
    <w:uiPriority w:val="99"/>
    <w:unhideWhenUsed/>
    <w:rsid w:val="00F2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A1"/>
    <w:rPr>
      <w:rFonts w:ascii="Calibri" w:hAnsi="Calibri"/>
    </w:rPr>
  </w:style>
  <w:style w:type="paragraph" w:styleId="Footer">
    <w:name w:val="footer"/>
    <w:basedOn w:val="Normal"/>
    <w:link w:val="FooterChar"/>
    <w:uiPriority w:val="99"/>
    <w:unhideWhenUsed/>
    <w:rsid w:val="00F2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A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732">
      <w:bodyDiv w:val="1"/>
      <w:marLeft w:val="0"/>
      <w:marRight w:val="0"/>
      <w:marTop w:val="0"/>
      <w:marBottom w:val="0"/>
      <w:divBdr>
        <w:top w:val="none" w:sz="0" w:space="0" w:color="auto"/>
        <w:left w:val="none" w:sz="0" w:space="0" w:color="auto"/>
        <w:bottom w:val="none" w:sz="0" w:space="0" w:color="auto"/>
        <w:right w:val="none" w:sz="0" w:space="0" w:color="auto"/>
      </w:divBdr>
    </w:div>
    <w:div w:id="635992358">
      <w:bodyDiv w:val="1"/>
      <w:marLeft w:val="0"/>
      <w:marRight w:val="0"/>
      <w:marTop w:val="0"/>
      <w:marBottom w:val="0"/>
      <w:divBdr>
        <w:top w:val="none" w:sz="0" w:space="0" w:color="auto"/>
        <w:left w:val="none" w:sz="0" w:space="0" w:color="auto"/>
        <w:bottom w:val="none" w:sz="0" w:space="0" w:color="auto"/>
        <w:right w:val="none" w:sz="0" w:space="0" w:color="auto"/>
      </w:divBdr>
    </w:div>
    <w:div w:id="1048800871">
      <w:bodyDiv w:val="1"/>
      <w:marLeft w:val="0"/>
      <w:marRight w:val="0"/>
      <w:marTop w:val="0"/>
      <w:marBottom w:val="0"/>
      <w:divBdr>
        <w:top w:val="none" w:sz="0" w:space="0" w:color="auto"/>
        <w:left w:val="none" w:sz="0" w:space="0" w:color="auto"/>
        <w:bottom w:val="none" w:sz="0" w:space="0" w:color="auto"/>
        <w:right w:val="none" w:sz="0" w:space="0" w:color="auto"/>
      </w:divBdr>
      <w:divsChild>
        <w:div w:id="629433153">
          <w:marLeft w:val="0"/>
          <w:marRight w:val="0"/>
          <w:marTop w:val="0"/>
          <w:marBottom w:val="0"/>
          <w:divBdr>
            <w:top w:val="none" w:sz="0" w:space="0" w:color="auto"/>
            <w:left w:val="none" w:sz="0" w:space="0" w:color="auto"/>
            <w:bottom w:val="none" w:sz="0" w:space="0" w:color="auto"/>
            <w:right w:val="none" w:sz="0" w:space="0" w:color="auto"/>
          </w:divBdr>
        </w:div>
        <w:div w:id="206139188">
          <w:marLeft w:val="0"/>
          <w:marRight w:val="0"/>
          <w:marTop w:val="0"/>
          <w:marBottom w:val="0"/>
          <w:divBdr>
            <w:top w:val="none" w:sz="0" w:space="0" w:color="auto"/>
            <w:left w:val="none" w:sz="0" w:space="0" w:color="auto"/>
            <w:bottom w:val="none" w:sz="0" w:space="0" w:color="auto"/>
            <w:right w:val="none" w:sz="0" w:space="0" w:color="auto"/>
          </w:divBdr>
          <w:divsChild>
            <w:div w:id="1448427407">
              <w:marLeft w:val="0"/>
              <w:marRight w:val="0"/>
              <w:marTop w:val="0"/>
              <w:marBottom w:val="0"/>
              <w:divBdr>
                <w:top w:val="none" w:sz="0" w:space="0" w:color="auto"/>
                <w:left w:val="none" w:sz="0" w:space="0" w:color="auto"/>
                <w:bottom w:val="none" w:sz="0" w:space="0" w:color="auto"/>
                <w:right w:val="none" w:sz="0" w:space="0" w:color="auto"/>
              </w:divBdr>
              <w:divsChild>
                <w:div w:id="1445153047">
                  <w:marLeft w:val="0"/>
                  <w:marRight w:val="0"/>
                  <w:marTop w:val="0"/>
                  <w:marBottom w:val="0"/>
                  <w:divBdr>
                    <w:top w:val="none" w:sz="0" w:space="0" w:color="auto"/>
                    <w:left w:val="none" w:sz="0" w:space="0" w:color="auto"/>
                    <w:bottom w:val="none" w:sz="0" w:space="0" w:color="auto"/>
                    <w:right w:val="none" w:sz="0" w:space="0" w:color="auto"/>
                  </w:divBdr>
                </w:div>
                <w:div w:id="498277370">
                  <w:marLeft w:val="0"/>
                  <w:marRight w:val="0"/>
                  <w:marTop w:val="0"/>
                  <w:marBottom w:val="0"/>
                  <w:divBdr>
                    <w:top w:val="none" w:sz="0" w:space="0" w:color="auto"/>
                    <w:left w:val="none" w:sz="0" w:space="0" w:color="auto"/>
                    <w:bottom w:val="none" w:sz="0" w:space="0" w:color="auto"/>
                    <w:right w:val="none" w:sz="0" w:space="0" w:color="auto"/>
                  </w:divBdr>
                </w:div>
              </w:divsChild>
            </w:div>
            <w:div w:id="1715543519">
              <w:marLeft w:val="0"/>
              <w:marRight w:val="0"/>
              <w:marTop w:val="0"/>
              <w:marBottom w:val="0"/>
              <w:divBdr>
                <w:top w:val="none" w:sz="0" w:space="0" w:color="auto"/>
                <w:left w:val="none" w:sz="0" w:space="0" w:color="auto"/>
                <w:bottom w:val="none" w:sz="0" w:space="0" w:color="auto"/>
                <w:right w:val="none" w:sz="0" w:space="0" w:color="auto"/>
              </w:divBdr>
            </w:div>
            <w:div w:id="376978548">
              <w:marLeft w:val="0"/>
              <w:marRight w:val="0"/>
              <w:marTop w:val="0"/>
              <w:marBottom w:val="0"/>
              <w:divBdr>
                <w:top w:val="none" w:sz="0" w:space="0" w:color="auto"/>
                <w:left w:val="none" w:sz="0" w:space="0" w:color="auto"/>
                <w:bottom w:val="none" w:sz="0" w:space="0" w:color="auto"/>
                <w:right w:val="none" w:sz="0" w:space="0" w:color="auto"/>
              </w:divBdr>
            </w:div>
            <w:div w:id="1362828831">
              <w:marLeft w:val="0"/>
              <w:marRight w:val="0"/>
              <w:marTop w:val="0"/>
              <w:marBottom w:val="0"/>
              <w:divBdr>
                <w:top w:val="none" w:sz="0" w:space="0" w:color="auto"/>
                <w:left w:val="none" w:sz="0" w:space="0" w:color="auto"/>
                <w:bottom w:val="none" w:sz="0" w:space="0" w:color="auto"/>
                <w:right w:val="none" w:sz="0" w:space="0" w:color="auto"/>
              </w:divBdr>
            </w:div>
          </w:divsChild>
        </w:div>
        <w:div w:id="66542843">
          <w:marLeft w:val="0"/>
          <w:marRight w:val="0"/>
          <w:marTop w:val="0"/>
          <w:marBottom w:val="0"/>
          <w:divBdr>
            <w:top w:val="none" w:sz="0" w:space="0" w:color="auto"/>
            <w:left w:val="none" w:sz="0" w:space="0" w:color="auto"/>
            <w:bottom w:val="none" w:sz="0" w:space="0" w:color="auto"/>
            <w:right w:val="none" w:sz="0" w:space="0" w:color="auto"/>
          </w:divBdr>
          <w:divsChild>
            <w:div w:id="923951024">
              <w:marLeft w:val="0"/>
              <w:marRight w:val="0"/>
              <w:marTop w:val="0"/>
              <w:marBottom w:val="0"/>
              <w:divBdr>
                <w:top w:val="none" w:sz="0" w:space="0" w:color="auto"/>
                <w:left w:val="none" w:sz="0" w:space="0" w:color="auto"/>
                <w:bottom w:val="none" w:sz="0" w:space="0" w:color="auto"/>
                <w:right w:val="none" w:sz="0" w:space="0" w:color="auto"/>
              </w:divBdr>
            </w:div>
            <w:div w:id="256452061">
              <w:marLeft w:val="0"/>
              <w:marRight w:val="0"/>
              <w:marTop w:val="0"/>
              <w:marBottom w:val="0"/>
              <w:divBdr>
                <w:top w:val="none" w:sz="0" w:space="0" w:color="auto"/>
                <w:left w:val="none" w:sz="0" w:space="0" w:color="auto"/>
                <w:bottom w:val="none" w:sz="0" w:space="0" w:color="auto"/>
                <w:right w:val="none" w:sz="0" w:space="0" w:color="auto"/>
              </w:divBdr>
            </w:div>
            <w:div w:id="557595558">
              <w:marLeft w:val="0"/>
              <w:marRight w:val="0"/>
              <w:marTop w:val="0"/>
              <w:marBottom w:val="0"/>
              <w:divBdr>
                <w:top w:val="none" w:sz="0" w:space="0" w:color="auto"/>
                <w:left w:val="none" w:sz="0" w:space="0" w:color="auto"/>
                <w:bottom w:val="none" w:sz="0" w:space="0" w:color="auto"/>
                <w:right w:val="none" w:sz="0" w:space="0" w:color="auto"/>
              </w:divBdr>
            </w:div>
            <w:div w:id="1691830744">
              <w:marLeft w:val="0"/>
              <w:marRight w:val="0"/>
              <w:marTop w:val="0"/>
              <w:marBottom w:val="0"/>
              <w:divBdr>
                <w:top w:val="none" w:sz="0" w:space="0" w:color="auto"/>
                <w:left w:val="none" w:sz="0" w:space="0" w:color="auto"/>
                <w:bottom w:val="none" w:sz="0" w:space="0" w:color="auto"/>
                <w:right w:val="none" w:sz="0" w:space="0" w:color="auto"/>
              </w:divBdr>
            </w:div>
            <w:div w:id="157040144">
              <w:marLeft w:val="0"/>
              <w:marRight w:val="0"/>
              <w:marTop w:val="0"/>
              <w:marBottom w:val="0"/>
              <w:divBdr>
                <w:top w:val="none" w:sz="0" w:space="0" w:color="auto"/>
                <w:left w:val="none" w:sz="0" w:space="0" w:color="auto"/>
                <w:bottom w:val="none" w:sz="0" w:space="0" w:color="auto"/>
                <w:right w:val="none" w:sz="0" w:space="0" w:color="auto"/>
              </w:divBdr>
            </w:div>
          </w:divsChild>
        </w:div>
        <w:div w:id="1511797552">
          <w:marLeft w:val="0"/>
          <w:marRight w:val="0"/>
          <w:marTop w:val="0"/>
          <w:marBottom w:val="0"/>
          <w:divBdr>
            <w:top w:val="none" w:sz="0" w:space="0" w:color="auto"/>
            <w:left w:val="none" w:sz="0" w:space="0" w:color="auto"/>
            <w:bottom w:val="none" w:sz="0" w:space="0" w:color="auto"/>
            <w:right w:val="none" w:sz="0" w:space="0" w:color="auto"/>
          </w:divBdr>
          <w:divsChild>
            <w:div w:id="712655092">
              <w:marLeft w:val="0"/>
              <w:marRight w:val="0"/>
              <w:marTop w:val="0"/>
              <w:marBottom w:val="0"/>
              <w:divBdr>
                <w:top w:val="none" w:sz="0" w:space="0" w:color="auto"/>
                <w:left w:val="none" w:sz="0" w:space="0" w:color="auto"/>
                <w:bottom w:val="none" w:sz="0" w:space="0" w:color="auto"/>
                <w:right w:val="none" w:sz="0" w:space="0" w:color="auto"/>
              </w:divBdr>
            </w:div>
            <w:div w:id="1553425140">
              <w:marLeft w:val="0"/>
              <w:marRight w:val="0"/>
              <w:marTop w:val="0"/>
              <w:marBottom w:val="0"/>
              <w:divBdr>
                <w:top w:val="none" w:sz="0" w:space="0" w:color="auto"/>
                <w:left w:val="none" w:sz="0" w:space="0" w:color="auto"/>
                <w:bottom w:val="none" w:sz="0" w:space="0" w:color="auto"/>
                <w:right w:val="none" w:sz="0" w:space="0" w:color="auto"/>
              </w:divBdr>
            </w:div>
            <w:div w:id="1027101323">
              <w:marLeft w:val="0"/>
              <w:marRight w:val="0"/>
              <w:marTop w:val="0"/>
              <w:marBottom w:val="0"/>
              <w:divBdr>
                <w:top w:val="none" w:sz="0" w:space="0" w:color="auto"/>
                <w:left w:val="none" w:sz="0" w:space="0" w:color="auto"/>
                <w:bottom w:val="none" w:sz="0" w:space="0" w:color="auto"/>
                <w:right w:val="none" w:sz="0" w:space="0" w:color="auto"/>
              </w:divBdr>
            </w:div>
            <w:div w:id="11426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7/subtitle-B/chapter-II/subchapter-A/part-210/subpart-C/section-210.14" TargetMode="External"/><Relationship Id="rId13" Type="http://schemas.openxmlformats.org/officeDocument/2006/relationships/hyperlink" Target="https://www.ecfr.gov/current/title-2/subtitle-A/chapter-II/part-20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cfr.gov/current/title-2/subtitle-A/chapter-II/part-200/subpart-D/subject-group-ECFR8feb98c2e3e5ad2/section-200.3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cfr.gov/current/title-7/section-21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7/subtitle-B/chapter-II/subchapter-A/part-210/subpart-C/section-210.14" TargetMode="External"/><Relationship Id="rId5" Type="http://schemas.openxmlformats.org/officeDocument/2006/relationships/footnotes" Target="footnotes.xml"/><Relationship Id="rId15" Type="http://schemas.openxmlformats.org/officeDocument/2006/relationships/hyperlink" Target="https://www.ecfr.gov/current/title-7/section-220.7" TargetMode="External"/><Relationship Id="rId10" Type="http://schemas.openxmlformats.org/officeDocument/2006/relationships/hyperlink" Target="https://www.ecfr.gov/current/title-7/subtitle-B/chapter-II/subchapter-A/part-210/subpart-C/section-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urrent/title-7/section-210.19" TargetMode="External"/><Relationship Id="rId14" Type="http://schemas.openxmlformats.org/officeDocument/2006/relationships/hyperlink" Target="https://www.ecfr.gov/current/title-7/subtitle-B/chapter-II/subchapter-A/part-210/subpart-C/section-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A, SNP Memo No. 2023-2024-XX, School Year 2022-2023 Excess Balance Overview</vt:lpstr>
    </vt:vector>
  </TitlesOfParts>
  <Manager/>
  <Company>Virginia IT Infrastructure Partnership</Company>
  <LinksUpToDate>false</LinksUpToDate>
  <CharactersWithSpaces>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2023-2024-XX, School Year 2022-2023 Excess Balance Overview</dc:title>
  <dc:subject/>
  <dc:creator>DOE - NUTRITION (DOE)</dc:creator>
  <cp:keywords/>
  <dc:description/>
  <cp:lastModifiedBy>Pleasants-deborous, Fiora (DOE)</cp:lastModifiedBy>
  <cp:revision>4</cp:revision>
  <dcterms:created xsi:type="dcterms:W3CDTF">2024-02-13T13:45:00Z</dcterms:created>
  <dcterms:modified xsi:type="dcterms:W3CDTF">2024-02-13T14:20:00Z</dcterms:modified>
  <cp:category/>
</cp:coreProperties>
</file>