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D259" w14:textId="053B5ED1" w:rsidR="00BF050B" w:rsidRDefault="00532E95" w:rsidP="005D4B23">
      <w:pPr>
        <w:spacing w:after="0"/>
        <w:jc w:val="center"/>
        <w:rPr>
          <w:b/>
          <w:bCs/>
          <w:sz w:val="28"/>
          <w:szCs w:val="28"/>
        </w:rPr>
      </w:pPr>
      <w:r w:rsidRPr="009A2EE8">
        <w:rPr>
          <w:b/>
          <w:bCs/>
          <w:sz w:val="28"/>
          <w:szCs w:val="28"/>
        </w:rPr>
        <w:t>Procedures</w:t>
      </w:r>
      <w:r w:rsidR="003C748F" w:rsidRPr="009A2EE8">
        <w:rPr>
          <w:b/>
          <w:bCs/>
          <w:sz w:val="28"/>
          <w:szCs w:val="28"/>
        </w:rPr>
        <w:t xml:space="preserve"> for </w:t>
      </w:r>
      <w:r w:rsidR="00A17F6B" w:rsidRPr="009A2EE8">
        <w:rPr>
          <w:b/>
          <w:bCs/>
          <w:sz w:val="28"/>
          <w:szCs w:val="28"/>
        </w:rPr>
        <w:t>U</w:t>
      </w:r>
      <w:r w:rsidR="003C748F" w:rsidRPr="009A2EE8">
        <w:rPr>
          <w:b/>
          <w:bCs/>
          <w:sz w:val="28"/>
          <w:szCs w:val="28"/>
        </w:rPr>
        <w:t xml:space="preserve">sing </w:t>
      </w:r>
      <w:r w:rsidR="009E1F04" w:rsidRPr="009A2EE8">
        <w:rPr>
          <w:b/>
          <w:bCs/>
          <w:sz w:val="28"/>
          <w:szCs w:val="28"/>
        </w:rPr>
        <w:t>Web Ex</w:t>
      </w:r>
      <w:r w:rsidR="00A17F6B" w:rsidRPr="009A2EE8">
        <w:rPr>
          <w:b/>
          <w:bCs/>
          <w:sz w:val="28"/>
          <w:szCs w:val="28"/>
        </w:rPr>
        <w:t>tensions</w:t>
      </w:r>
      <w:r w:rsidR="003C748F" w:rsidRPr="009A2EE8">
        <w:rPr>
          <w:b/>
          <w:bCs/>
          <w:sz w:val="28"/>
          <w:szCs w:val="28"/>
        </w:rPr>
        <w:t xml:space="preserve"> </w:t>
      </w:r>
      <w:r w:rsidR="009A2EE8">
        <w:rPr>
          <w:b/>
          <w:bCs/>
          <w:sz w:val="28"/>
          <w:szCs w:val="28"/>
        </w:rPr>
        <w:t xml:space="preserve">in TestNav </w:t>
      </w:r>
      <w:r w:rsidR="003C748F" w:rsidRPr="009A2EE8">
        <w:rPr>
          <w:b/>
          <w:bCs/>
          <w:sz w:val="28"/>
          <w:szCs w:val="28"/>
        </w:rPr>
        <w:t xml:space="preserve">as a </w:t>
      </w:r>
      <w:r w:rsidR="009A2EE8">
        <w:rPr>
          <w:b/>
          <w:bCs/>
          <w:sz w:val="28"/>
          <w:szCs w:val="28"/>
        </w:rPr>
        <w:br/>
      </w:r>
      <w:r w:rsidR="000C7377" w:rsidRPr="009A2EE8">
        <w:rPr>
          <w:b/>
          <w:bCs/>
          <w:sz w:val="28"/>
          <w:szCs w:val="28"/>
        </w:rPr>
        <w:t>V</w:t>
      </w:r>
      <w:r w:rsidR="00616425" w:rsidRPr="009A2EE8">
        <w:rPr>
          <w:b/>
          <w:bCs/>
          <w:sz w:val="28"/>
          <w:szCs w:val="28"/>
        </w:rPr>
        <w:t>irginia Standards of Learning (SOL)</w:t>
      </w:r>
      <w:r w:rsidR="003C748F" w:rsidRPr="009A2EE8">
        <w:rPr>
          <w:b/>
          <w:bCs/>
          <w:sz w:val="28"/>
          <w:szCs w:val="28"/>
        </w:rPr>
        <w:t xml:space="preserve"> </w:t>
      </w:r>
      <w:r w:rsidR="00DD5C0E">
        <w:rPr>
          <w:b/>
          <w:bCs/>
          <w:sz w:val="28"/>
          <w:szCs w:val="28"/>
        </w:rPr>
        <w:t xml:space="preserve">Online </w:t>
      </w:r>
      <w:r w:rsidR="003C748F" w:rsidRPr="009A2EE8">
        <w:rPr>
          <w:b/>
          <w:bCs/>
          <w:sz w:val="28"/>
          <w:szCs w:val="28"/>
        </w:rPr>
        <w:t>Test Accommodation</w:t>
      </w:r>
    </w:p>
    <w:p w14:paraId="20FDA3D6" w14:textId="5F59E53A" w:rsidR="005D4B23" w:rsidRPr="005D4B23" w:rsidRDefault="005D4B23" w:rsidP="003C748F">
      <w:pPr>
        <w:jc w:val="center"/>
        <w:rPr>
          <w:sz w:val="24"/>
          <w:szCs w:val="24"/>
        </w:rPr>
      </w:pPr>
      <w:r w:rsidRPr="005D4B23">
        <w:rPr>
          <w:sz w:val="24"/>
          <w:szCs w:val="24"/>
        </w:rPr>
        <w:t>(updated March 18, 2024)</w:t>
      </w:r>
    </w:p>
    <w:p w14:paraId="3BCC1C49" w14:textId="0D359CBE" w:rsidR="005B0FF2" w:rsidRDefault="003C748F" w:rsidP="005B0FF2">
      <w:pPr>
        <w:rPr>
          <w:b/>
          <w:bCs/>
        </w:rPr>
      </w:pPr>
      <w:r>
        <w:t xml:space="preserve">These </w:t>
      </w:r>
      <w:r w:rsidR="00532E95">
        <w:t>procedures</w:t>
      </w:r>
      <w:r>
        <w:t xml:space="preserve"> will assist </w:t>
      </w:r>
      <w:r w:rsidR="00352C8D">
        <w:t>divisions</w:t>
      </w:r>
      <w:r>
        <w:t xml:space="preserve"> in determining how specific </w:t>
      </w:r>
      <w:r w:rsidR="00A17F6B">
        <w:t>web extensions</w:t>
      </w:r>
      <w:r>
        <w:t xml:space="preserve"> may be used by students with disabilities</w:t>
      </w:r>
      <w:r w:rsidR="00F46232">
        <w:t xml:space="preserve"> f</w:t>
      </w:r>
      <w:r>
        <w:t xml:space="preserve">or </w:t>
      </w:r>
      <w:r w:rsidR="00532E95">
        <w:t>online SOL testing</w:t>
      </w:r>
      <w:r>
        <w:t xml:space="preserve">. </w:t>
      </w:r>
      <w:r w:rsidR="0008134C">
        <w:t xml:space="preserve">These web extensions </w:t>
      </w:r>
      <w:r w:rsidR="00352C8D">
        <w:t xml:space="preserve">allow students </w:t>
      </w:r>
      <w:r w:rsidR="003F0196">
        <w:t xml:space="preserve">who </w:t>
      </w:r>
      <w:r w:rsidR="00532E95">
        <w:t>are eligible for</w:t>
      </w:r>
      <w:r w:rsidR="003F0196">
        <w:t xml:space="preserve"> speech-to-text and/or word prediction </w:t>
      </w:r>
      <w:r w:rsidR="00532E95">
        <w:t xml:space="preserve">accommodations </w:t>
      </w:r>
      <w:r w:rsidR="003F0196">
        <w:t xml:space="preserve">to </w:t>
      </w:r>
      <w:r w:rsidR="00352C8D">
        <w:t>access speech-to-text and word prediction applications</w:t>
      </w:r>
      <w:r w:rsidR="00F46232">
        <w:t xml:space="preserve"> while in TestNav</w:t>
      </w:r>
      <w:r w:rsidR="00352C8D">
        <w:t xml:space="preserve">. </w:t>
      </w:r>
      <w:r w:rsidR="00D46C25">
        <w:t>A</w:t>
      </w:r>
      <w:r>
        <w:t xml:space="preserve">ccommodations must be listed in the student’s IEP or 504 plan before they may be provided to the student for </w:t>
      </w:r>
      <w:r w:rsidR="00EB2913">
        <w:t>SOL</w:t>
      </w:r>
      <w:r>
        <w:t xml:space="preserve"> testing. </w:t>
      </w:r>
      <w:r w:rsidR="003E77C2">
        <w:rPr>
          <w:b/>
          <w:bCs/>
        </w:rPr>
        <w:t>The web extensions are embedded in Tes</w:t>
      </w:r>
      <w:r w:rsidR="003D3218">
        <w:rPr>
          <w:b/>
          <w:bCs/>
        </w:rPr>
        <w:t>tNav</w:t>
      </w:r>
      <w:r w:rsidR="009A2EE8">
        <w:rPr>
          <w:b/>
          <w:bCs/>
        </w:rPr>
        <w:t xml:space="preserve"> for an SOL test</w:t>
      </w:r>
      <w:r w:rsidR="003D3218">
        <w:rPr>
          <w:b/>
          <w:bCs/>
        </w:rPr>
        <w:t>, but</w:t>
      </w:r>
      <w:r w:rsidR="00EB2913">
        <w:rPr>
          <w:b/>
          <w:bCs/>
        </w:rPr>
        <w:t xml:space="preserve"> they</w:t>
      </w:r>
      <w:r w:rsidR="003D3218">
        <w:rPr>
          <w:b/>
          <w:bCs/>
        </w:rPr>
        <w:t xml:space="preserve"> must </w:t>
      </w:r>
      <w:r w:rsidR="005B0FF2" w:rsidRPr="005B0FF2">
        <w:rPr>
          <w:b/>
          <w:bCs/>
        </w:rPr>
        <w:t xml:space="preserve">be selected in advance </w:t>
      </w:r>
      <w:r w:rsidR="0066766B">
        <w:rPr>
          <w:b/>
          <w:bCs/>
        </w:rPr>
        <w:t>o</w:t>
      </w:r>
      <w:r w:rsidR="0066766B" w:rsidRPr="005B0FF2">
        <w:rPr>
          <w:b/>
          <w:bCs/>
        </w:rPr>
        <w:t xml:space="preserve">n </w:t>
      </w:r>
      <w:r w:rsidR="005B0FF2" w:rsidRPr="005B0FF2">
        <w:rPr>
          <w:b/>
          <w:bCs/>
        </w:rPr>
        <w:t>the Student Registration/Personal Needs Profile (SR/PNP)</w:t>
      </w:r>
      <w:r w:rsidR="0066766B">
        <w:rPr>
          <w:b/>
          <w:bCs/>
        </w:rPr>
        <w:t xml:space="preserve"> screens in </w:t>
      </w:r>
      <w:proofErr w:type="spellStart"/>
      <w:r w:rsidR="0066766B">
        <w:rPr>
          <w:b/>
          <w:bCs/>
        </w:rPr>
        <w:t>PearsonAccess</w:t>
      </w:r>
      <w:r w:rsidR="0066766B" w:rsidRPr="00F46232">
        <w:rPr>
          <w:b/>
          <w:bCs/>
          <w:vertAlign w:val="superscript"/>
        </w:rPr>
        <w:t>next</w:t>
      </w:r>
      <w:proofErr w:type="spellEnd"/>
      <w:r w:rsidR="00EE7C42">
        <w:rPr>
          <w:b/>
          <w:bCs/>
        </w:rPr>
        <w:t>.</w:t>
      </w:r>
      <w:r w:rsidR="009F77BE">
        <w:rPr>
          <w:b/>
          <w:bCs/>
        </w:rPr>
        <w:t xml:space="preserve"> </w:t>
      </w:r>
    </w:p>
    <w:p w14:paraId="1613D2F2" w14:textId="77777777" w:rsidR="00733F9E" w:rsidRPr="00733F9E" w:rsidRDefault="00733F9E" w:rsidP="00733F9E">
      <w:r>
        <w:t xml:space="preserve">In addition to the selection of the PNP Web Extension, accommodation code 21, Response Devices, must be selected on the students Special Test Accommodations section on the Student Test Details screen in </w:t>
      </w:r>
      <w:proofErr w:type="spellStart"/>
      <w:r>
        <w:t>PearsonAccess</w:t>
      </w:r>
      <w:r w:rsidRPr="00733F9E">
        <w:rPr>
          <w:vertAlign w:val="superscript"/>
        </w:rPr>
        <w:t>next</w:t>
      </w:r>
      <w:proofErr w:type="spellEnd"/>
      <w:r>
        <w:t xml:space="preserve">. </w:t>
      </w:r>
    </w:p>
    <w:p w14:paraId="021FADAE" w14:textId="48511875" w:rsidR="00733F9E" w:rsidRDefault="00733F9E" w:rsidP="003D3218">
      <w:r>
        <w:rPr>
          <w:noProof/>
        </w:rPr>
        <w:drawing>
          <wp:inline distT="0" distB="0" distL="0" distR="0" wp14:anchorId="6A242821" wp14:editId="0FE3C500">
            <wp:extent cx="5943600" cy="2095500"/>
            <wp:effectExtent l="38100" t="38100" r="95250" b="95250"/>
            <wp:docPr id="1" name="Picture 1" descr="In addition to the selection of the PNP Web Extension, accommodation code 21, Response Devices, must be selected on the students Special Test Accommodations section on the Student Test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 addition to the selection of the PNP Web Extension, accommodation code 21, Response Devices, must be selected on the students Special Test Accommodations section on the Student Test Details screen."/>
                    <pic:cNvPicPr>
                      <a:picLocks noChangeAspect="1"/>
                    </pic:cNvPicPr>
                  </pic:nvPicPr>
                  <pic:blipFill>
                    <a:blip r:embed="rId9"/>
                    <a:stretch>
                      <a:fillRect/>
                    </a:stretch>
                  </pic:blipFill>
                  <pic:spPr>
                    <a:xfrm>
                      <a:off x="0" y="0"/>
                      <a:ext cx="5943600" cy="20955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DCD1BEA" w14:textId="538A77B8" w:rsidR="005B0FF2" w:rsidRPr="00F46232" w:rsidRDefault="005B0FF2" w:rsidP="003D3218">
      <w:r>
        <w:t xml:space="preserve">It is not necessary for </w:t>
      </w:r>
      <w:r w:rsidR="00EF636F">
        <w:t>the web extensions</w:t>
      </w:r>
      <w:r w:rsidR="00F46232">
        <w:t xml:space="preserve"> or applications</w:t>
      </w:r>
      <w:r w:rsidR="00EF636F" w:rsidRPr="00F46232">
        <w:t xml:space="preserve">, </w:t>
      </w:r>
      <w:proofErr w:type="spellStart"/>
      <w:proofErr w:type="gramStart"/>
      <w:r>
        <w:t>Co:Writer</w:t>
      </w:r>
      <w:proofErr w:type="spellEnd"/>
      <w:proofErr w:type="gramEnd"/>
      <w:r>
        <w:t xml:space="preserve"> Universal and/or </w:t>
      </w:r>
      <w:proofErr w:type="spellStart"/>
      <w:r>
        <w:t>Read&amp;Write</w:t>
      </w:r>
      <w:proofErr w:type="spellEnd"/>
      <w:r w:rsidR="00EF636F">
        <w:t>,</w:t>
      </w:r>
      <w:r>
        <w:t xml:space="preserve"> to be installed on a student’s browser or computer</w:t>
      </w:r>
      <w:r w:rsidR="00F17D20">
        <w:t>.</w:t>
      </w:r>
      <w:r w:rsidR="00475AEB">
        <w:t xml:space="preserve"> </w:t>
      </w:r>
      <w:r w:rsidRPr="00F46232">
        <w:t>Web extensions are supported on Windows, MacOS, and ChromeOS only</w:t>
      </w:r>
      <w:r w:rsidR="009A2EE8">
        <w:t>.</w:t>
      </w:r>
      <w:r w:rsidRPr="00F46232">
        <w:t xml:space="preserve"> Android </w:t>
      </w:r>
      <w:r w:rsidR="002C2622" w:rsidRPr="00F46232">
        <w:t>and iOS</w:t>
      </w:r>
      <w:r w:rsidR="0082583F" w:rsidRPr="00F46232">
        <w:t xml:space="preserve"> (iPad) </w:t>
      </w:r>
      <w:r w:rsidR="00085B58" w:rsidRPr="00F46232">
        <w:t xml:space="preserve">devices </w:t>
      </w:r>
      <w:r w:rsidRPr="00F46232">
        <w:t xml:space="preserve">do NOT currently support </w:t>
      </w:r>
      <w:r w:rsidR="0082583F" w:rsidRPr="00F46232">
        <w:t xml:space="preserve">the </w:t>
      </w:r>
      <w:r w:rsidRPr="00F46232">
        <w:t>use of the TestNav web extensions.</w:t>
      </w:r>
      <w:r w:rsidR="003E393B" w:rsidRPr="00F46232">
        <w:t xml:space="preserve"> Note that web extensions on </w:t>
      </w:r>
      <w:r w:rsidR="008D3BA7" w:rsidRPr="00F46232">
        <w:t xml:space="preserve">non-secure tests, like practice items, </w:t>
      </w:r>
      <w:r w:rsidR="00620A17" w:rsidRPr="00F46232">
        <w:t xml:space="preserve">are supported only on </w:t>
      </w:r>
      <w:r w:rsidR="0066766B" w:rsidRPr="00F46232">
        <w:t xml:space="preserve">the </w:t>
      </w:r>
      <w:r w:rsidR="00620A17" w:rsidRPr="00F46232">
        <w:t xml:space="preserve">Chrome </w:t>
      </w:r>
      <w:r w:rsidR="009A2EE8">
        <w:t xml:space="preserve">web </w:t>
      </w:r>
      <w:r w:rsidR="00620A17" w:rsidRPr="00F46232">
        <w:t>browser.</w:t>
      </w:r>
    </w:p>
    <w:p w14:paraId="3BEE0F85" w14:textId="15C159C4" w:rsidR="001F286B" w:rsidRDefault="001F286B" w:rsidP="003D3218">
      <w:r>
        <w:t>S</w:t>
      </w:r>
      <w:r w:rsidR="00A96E82">
        <w:t xml:space="preserve">tudents should utilize the </w:t>
      </w:r>
      <w:hyperlink r:id="rId10" w:history="1">
        <w:r w:rsidR="00A96E82" w:rsidRPr="006359D0">
          <w:rPr>
            <w:rStyle w:val="Hyperlink"/>
          </w:rPr>
          <w:t>V</w:t>
        </w:r>
        <w:r w:rsidR="006359D0" w:rsidRPr="006359D0">
          <w:rPr>
            <w:rStyle w:val="Hyperlink"/>
          </w:rPr>
          <w:t>irginia</w:t>
        </w:r>
        <w:r w:rsidR="00A96E82" w:rsidRPr="006359D0">
          <w:rPr>
            <w:rStyle w:val="Hyperlink"/>
          </w:rPr>
          <w:t xml:space="preserve"> Practice </w:t>
        </w:r>
        <w:r w:rsidR="006359D0" w:rsidRPr="006359D0">
          <w:rPr>
            <w:rStyle w:val="Hyperlink"/>
          </w:rPr>
          <w:t>Items</w:t>
        </w:r>
      </w:hyperlink>
      <w:r w:rsidR="00A96E82">
        <w:t xml:space="preserve"> to become familiar with the</w:t>
      </w:r>
      <w:r w:rsidR="00182F9C">
        <w:t xml:space="preserve"> </w:t>
      </w:r>
      <w:r w:rsidR="003250AC">
        <w:t xml:space="preserve">speech-to-text accommodation and </w:t>
      </w:r>
      <w:r w:rsidR="00182F9C">
        <w:t>web extensions prior to testing.</w:t>
      </w:r>
      <w:r w:rsidR="00F46232">
        <w:t xml:space="preserve"> </w:t>
      </w:r>
      <w:r w:rsidR="00F46232" w:rsidRPr="00F46232">
        <w:t>Note that web extensions on non-secure tests, like practice items, are supported only on the Chrome browser.</w:t>
      </w:r>
      <w:r w:rsidR="009A2EE8">
        <w:t xml:space="preserve"> An alternative is to use the Virginia Practice Items within the TestNav application.</w:t>
      </w:r>
      <w:r w:rsidR="003250AC">
        <w:t xml:space="preserve"> The specific practice items and tests where the speech-to-text accommodation is available include Grade 5 Integrated Reading and Writing (IRW), Grade 8 IRW, End-of-Course IRW, and End-of-Course Writing.</w:t>
      </w:r>
      <w:r w:rsidR="00651E3A" w:rsidRPr="00651E3A">
        <w:t xml:space="preserve"> </w:t>
      </w:r>
      <w:r w:rsidR="00651E3A">
        <w:t xml:space="preserve">When accessing practice items, the user will not need to select PNP Web Extension or Response Device accommodation 21. The user will select the appropriate grade 5, 8, or End-of-Course </w:t>
      </w:r>
      <w:r w:rsidR="00651E3A" w:rsidRPr="00FC7B90">
        <w:t xml:space="preserve">Integrated Reading and Writing with Speech to Text Accommodation </w:t>
      </w:r>
      <w:r w:rsidR="00651E3A">
        <w:t>practice set or End-of-Course Writing Practice Tool with Speech to Text Accommodation.</w:t>
      </w:r>
    </w:p>
    <w:p w14:paraId="2D882746" w14:textId="77777777" w:rsidR="009F77BE" w:rsidRDefault="009F77BE">
      <w:pPr>
        <w:rPr>
          <w:b/>
          <w:bCs/>
        </w:rPr>
      </w:pPr>
      <w:r>
        <w:rPr>
          <w:b/>
          <w:bCs/>
        </w:rPr>
        <w:br w:type="page"/>
      </w:r>
    </w:p>
    <w:p w14:paraId="739FF65F" w14:textId="2957EF68" w:rsidR="000419BD" w:rsidRPr="009A2EE8" w:rsidRDefault="009A2EE8" w:rsidP="000419BD">
      <w:pPr>
        <w:rPr>
          <w:b/>
          <w:bCs/>
        </w:rPr>
      </w:pPr>
      <w:r w:rsidRPr="009A2EE8">
        <w:rPr>
          <w:b/>
          <w:bCs/>
        </w:rPr>
        <w:lastRenderedPageBreak/>
        <w:t>To</w:t>
      </w:r>
      <w:r w:rsidR="00F10E59" w:rsidRPr="009A2EE8">
        <w:rPr>
          <w:b/>
          <w:bCs/>
        </w:rPr>
        <w:t xml:space="preserve"> access </w:t>
      </w:r>
      <w:proofErr w:type="spellStart"/>
      <w:proofErr w:type="gramStart"/>
      <w:r w:rsidR="000419BD" w:rsidRPr="009A2EE8">
        <w:rPr>
          <w:b/>
          <w:bCs/>
        </w:rPr>
        <w:t>Co:Writer</w:t>
      </w:r>
      <w:proofErr w:type="spellEnd"/>
      <w:proofErr w:type="gramEnd"/>
      <w:r w:rsidR="000419BD" w:rsidRPr="009A2EE8">
        <w:rPr>
          <w:b/>
          <w:bCs/>
        </w:rPr>
        <w:t xml:space="preserve"> Universal </w:t>
      </w:r>
      <w:r w:rsidR="00A3371E" w:rsidRPr="009A2EE8">
        <w:rPr>
          <w:b/>
          <w:bCs/>
        </w:rPr>
        <w:t>or</w:t>
      </w:r>
      <w:r w:rsidR="000419BD" w:rsidRPr="009A2EE8">
        <w:rPr>
          <w:b/>
          <w:bCs/>
        </w:rPr>
        <w:t xml:space="preserve"> </w:t>
      </w:r>
      <w:proofErr w:type="spellStart"/>
      <w:r w:rsidR="000419BD" w:rsidRPr="009A2EE8">
        <w:rPr>
          <w:b/>
          <w:bCs/>
        </w:rPr>
        <w:t>Read&amp;Write</w:t>
      </w:r>
      <w:proofErr w:type="spellEnd"/>
      <w:r w:rsidR="000419BD" w:rsidRPr="009A2EE8">
        <w:rPr>
          <w:b/>
          <w:bCs/>
        </w:rPr>
        <w:t xml:space="preserve"> web </w:t>
      </w:r>
      <w:r w:rsidR="0071302D" w:rsidRPr="009A2EE8">
        <w:rPr>
          <w:b/>
          <w:bCs/>
        </w:rPr>
        <w:t>e</w:t>
      </w:r>
      <w:r w:rsidR="000419BD" w:rsidRPr="009A2EE8">
        <w:rPr>
          <w:b/>
          <w:bCs/>
        </w:rPr>
        <w:t>xtension</w:t>
      </w:r>
      <w:r w:rsidR="0071302D" w:rsidRPr="009A2EE8">
        <w:rPr>
          <w:b/>
          <w:bCs/>
        </w:rPr>
        <w:t>s</w:t>
      </w:r>
      <w:r w:rsidR="000419BD" w:rsidRPr="009A2EE8">
        <w:rPr>
          <w:b/>
          <w:bCs/>
        </w:rPr>
        <w:t xml:space="preserve"> in TestNav, follow thes</w:t>
      </w:r>
      <w:r w:rsidR="0071302D" w:rsidRPr="009A2EE8">
        <w:rPr>
          <w:b/>
          <w:bCs/>
        </w:rPr>
        <w:t>e steps:</w:t>
      </w:r>
    </w:p>
    <w:p w14:paraId="0D9864A3" w14:textId="6721F9CA" w:rsidR="0071302D" w:rsidRDefault="0071302D" w:rsidP="000419BD">
      <w:r>
        <w:rPr>
          <w:b/>
          <w:bCs/>
        </w:rPr>
        <w:t xml:space="preserve">Step </w:t>
      </w:r>
      <w:r w:rsidR="00D21538">
        <w:rPr>
          <w:b/>
          <w:bCs/>
        </w:rPr>
        <w:t xml:space="preserve">1: </w:t>
      </w:r>
      <w:r w:rsidR="003250AC">
        <w:t>For an SOL test, the</w:t>
      </w:r>
      <w:r w:rsidR="009B26F3">
        <w:t xml:space="preserve"> SR/PNP</w:t>
      </w:r>
      <w:r w:rsidR="00F46232">
        <w:t xml:space="preserve"> for the student</w:t>
      </w:r>
      <w:r w:rsidR="009B26F3">
        <w:t xml:space="preserve"> must designate that the student will have access to web extensions for the specific test (e.g., Grade 5 IRW) in </w:t>
      </w:r>
      <w:proofErr w:type="spellStart"/>
      <w:r w:rsidR="009B26F3">
        <w:t>PearsonAccess</w:t>
      </w:r>
      <w:r w:rsidR="009B26F3" w:rsidRPr="00842F7F">
        <w:rPr>
          <w:vertAlign w:val="superscript"/>
        </w:rPr>
        <w:t>next</w:t>
      </w:r>
      <w:proofErr w:type="spellEnd"/>
      <w:r w:rsidR="009B26F3">
        <w:t>.</w:t>
      </w:r>
      <w:r w:rsidR="003250AC">
        <w:t xml:space="preserve"> In the Virginia Practice Items, select the appropriate test and scroll to find the practice items with the speech-to-text accommodation included.</w:t>
      </w:r>
    </w:p>
    <w:p w14:paraId="127BF7B1" w14:textId="6E4ABD0A" w:rsidR="003250AC" w:rsidRDefault="009B26F3" w:rsidP="003250AC">
      <w:r w:rsidRPr="009B26F3">
        <w:rPr>
          <w:b/>
          <w:bCs/>
        </w:rPr>
        <w:t>Step 2:</w:t>
      </w:r>
      <w:r>
        <w:rPr>
          <w:b/>
          <w:bCs/>
        </w:rPr>
        <w:t xml:space="preserve"> </w:t>
      </w:r>
      <w:r w:rsidR="0001622D">
        <w:t>After the student logs in</w:t>
      </w:r>
      <w:r w:rsidR="0001373F">
        <w:t xml:space="preserve"> to the test</w:t>
      </w:r>
      <w:r w:rsidR="003250AC">
        <w:t xml:space="preserve"> or opens the practice item</w:t>
      </w:r>
      <w:r w:rsidR="0001622D">
        <w:t xml:space="preserve">, </w:t>
      </w:r>
      <w:r w:rsidR="003250AC">
        <w:t>the following</w:t>
      </w:r>
      <w:r w:rsidR="0001373F">
        <w:t xml:space="preserve"> screen will appear where </w:t>
      </w:r>
      <w:r w:rsidR="0001622D">
        <w:t>the test administrator (or student) must select the appropriate web extension to be used during the assessment.</w:t>
      </w:r>
      <w:r w:rsidR="00BE1C0D">
        <w:t xml:space="preserve"> Select the “</w:t>
      </w:r>
      <w:r w:rsidR="005873C5">
        <w:t>Enable</w:t>
      </w:r>
      <w:r w:rsidR="00BE1C0D">
        <w:t xml:space="preserve">” button next to the correct </w:t>
      </w:r>
      <w:r w:rsidR="0001373F">
        <w:t xml:space="preserve">web </w:t>
      </w:r>
      <w:r w:rsidR="00BE1C0D">
        <w:t>extension</w:t>
      </w:r>
      <w:r w:rsidR="00D525A3">
        <w:t xml:space="preserve"> and then select “Continue </w:t>
      </w:r>
      <w:proofErr w:type="gramStart"/>
      <w:r w:rsidR="00D525A3">
        <w:t>To</w:t>
      </w:r>
      <w:proofErr w:type="gramEnd"/>
      <w:r w:rsidR="00D525A3">
        <w:t xml:space="preserve"> Test.”</w:t>
      </w:r>
    </w:p>
    <w:p w14:paraId="5C9C4456" w14:textId="2F3449D2" w:rsidR="00E93525" w:rsidRPr="009D0792" w:rsidRDefault="00E93525" w:rsidP="009D0792">
      <w:pPr>
        <w:jc w:val="center"/>
        <w:rPr>
          <w:b/>
          <w:bCs/>
        </w:rPr>
      </w:pPr>
      <w:r>
        <w:rPr>
          <w:noProof/>
        </w:rPr>
        <w:drawing>
          <wp:inline distT="0" distB="0" distL="0" distR="0" wp14:anchorId="62BD3DE3" wp14:editId="4CE2BD9F">
            <wp:extent cx="2931091" cy="2228850"/>
            <wp:effectExtent l="0" t="0" r="3175" b="0"/>
            <wp:docPr id="1025899602" name="Picture 1025899602" descr="The Web Extension screen will appear where the test administrator (or student) must select the appropriate web extension to be used during the assessment. Select the “Enable” button next to the correct web extension and then select “Continue To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899602" name="Picture 1025899602" descr="The Web Extension screen will appear where the test administrator (or student) must select the appropriate web extension to be used during the assessment. Select the “Enable” button next to the correct web extension and then select “Continue To Tes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537" cy="2318158"/>
                    </a:xfrm>
                    <a:prstGeom prst="rect">
                      <a:avLst/>
                    </a:prstGeom>
                  </pic:spPr>
                </pic:pic>
              </a:graphicData>
            </a:graphic>
          </wp:inline>
        </w:drawing>
      </w:r>
    </w:p>
    <w:p w14:paraId="382A383A" w14:textId="35B9ABA9" w:rsidR="003250AC" w:rsidRDefault="003250AC" w:rsidP="007113C0">
      <w:pPr>
        <w:pStyle w:val="ListParagraph"/>
        <w:numPr>
          <w:ilvl w:val="0"/>
          <w:numId w:val="14"/>
        </w:numPr>
        <w:rPr>
          <w:b/>
          <w:bCs/>
        </w:rPr>
      </w:pPr>
      <w:r>
        <w:t xml:space="preserve">Note: If when taking an SOL test, the screen above does not appear, then a web extension was not properly designated as an accommodation in </w:t>
      </w:r>
      <w:proofErr w:type="spellStart"/>
      <w:r>
        <w:t>PearsonAccess</w:t>
      </w:r>
      <w:r w:rsidRPr="00F46232">
        <w:rPr>
          <w:vertAlign w:val="superscript"/>
        </w:rPr>
        <w:t>next</w:t>
      </w:r>
      <w:proofErr w:type="spellEnd"/>
      <w:r>
        <w:t>.</w:t>
      </w:r>
      <w:r>
        <w:br/>
      </w:r>
    </w:p>
    <w:p w14:paraId="1682629F" w14:textId="4FD1125A" w:rsidR="00E93525" w:rsidRPr="00E93525" w:rsidRDefault="004B134C" w:rsidP="007113C0">
      <w:pPr>
        <w:pStyle w:val="ListParagraph"/>
        <w:numPr>
          <w:ilvl w:val="0"/>
          <w:numId w:val="14"/>
        </w:numPr>
        <w:rPr>
          <w:b/>
          <w:bCs/>
        </w:rPr>
      </w:pPr>
      <w:r>
        <w:rPr>
          <w:b/>
          <w:bCs/>
        </w:rPr>
        <w:t>Only</w:t>
      </w:r>
      <w:r w:rsidR="0001622D" w:rsidRPr="007113C0">
        <w:rPr>
          <w:b/>
          <w:bCs/>
        </w:rPr>
        <w:t xml:space="preserve"> one </w:t>
      </w:r>
      <w:r>
        <w:rPr>
          <w:b/>
          <w:bCs/>
        </w:rPr>
        <w:t xml:space="preserve">web extension </w:t>
      </w:r>
      <w:r w:rsidR="00F46232">
        <w:rPr>
          <w:b/>
          <w:bCs/>
        </w:rPr>
        <w:t>is to</w:t>
      </w:r>
      <w:r w:rsidR="0001622D" w:rsidRPr="007113C0">
        <w:rPr>
          <w:b/>
          <w:bCs/>
        </w:rPr>
        <w:t xml:space="preserve"> be selected.</w:t>
      </w:r>
      <w:r w:rsidR="0001622D">
        <w:t xml:space="preserve"> </w:t>
      </w:r>
    </w:p>
    <w:p w14:paraId="2C5AD468" w14:textId="68CFF80C" w:rsidR="00E93525" w:rsidRPr="00E93525" w:rsidRDefault="0001622D" w:rsidP="00E93525">
      <w:pPr>
        <w:pStyle w:val="ListParagraph"/>
        <w:numPr>
          <w:ilvl w:val="1"/>
          <w:numId w:val="14"/>
        </w:numPr>
        <w:rPr>
          <w:b/>
          <w:bCs/>
        </w:rPr>
      </w:pPr>
      <w:r>
        <w:t xml:space="preserve">Both extensions have similar features, but the student should select the web extension they are most familiar with. </w:t>
      </w:r>
    </w:p>
    <w:p w14:paraId="5B1E470E" w14:textId="27B3B989" w:rsidR="009B26F3" w:rsidRDefault="0001622D" w:rsidP="00E93525">
      <w:pPr>
        <w:pStyle w:val="ListParagraph"/>
        <w:numPr>
          <w:ilvl w:val="1"/>
          <w:numId w:val="14"/>
        </w:numPr>
        <w:rPr>
          <w:b/>
          <w:bCs/>
        </w:rPr>
      </w:pPr>
      <w:r w:rsidRPr="007113C0">
        <w:rPr>
          <w:b/>
          <w:bCs/>
        </w:rPr>
        <w:t>Do not assign a web extension to a student on the day of the test if the student</w:t>
      </w:r>
      <w:r w:rsidR="00F46232">
        <w:rPr>
          <w:b/>
          <w:bCs/>
        </w:rPr>
        <w:t xml:space="preserve"> has not used this web extension before.</w:t>
      </w:r>
    </w:p>
    <w:p w14:paraId="5A53D276" w14:textId="77777777" w:rsidR="00444368" w:rsidRDefault="00444368" w:rsidP="00DE5399">
      <w:pPr>
        <w:rPr>
          <w:b/>
          <w:bCs/>
        </w:rPr>
      </w:pPr>
    </w:p>
    <w:p w14:paraId="68429875" w14:textId="5803CF46" w:rsidR="00444368" w:rsidRPr="00444368" w:rsidRDefault="00DE5399" w:rsidP="00DE5399">
      <w:r>
        <w:rPr>
          <w:b/>
          <w:bCs/>
        </w:rPr>
        <w:t>Step 3</w:t>
      </w:r>
      <w:r w:rsidRPr="00F46232">
        <w:rPr>
          <w:b/>
          <w:bCs/>
        </w:rPr>
        <w:t xml:space="preserve">: </w:t>
      </w:r>
      <w:r w:rsidR="00444368" w:rsidRPr="00444368">
        <w:t>Follow the directions for the specific web extension that is selected.</w:t>
      </w:r>
    </w:p>
    <w:p w14:paraId="46D05947" w14:textId="77777777" w:rsidR="00444368" w:rsidRDefault="00444368" w:rsidP="00DE5399"/>
    <w:p w14:paraId="59D0B681" w14:textId="25339463" w:rsidR="00DE5399" w:rsidRPr="00444368" w:rsidRDefault="00733C7F" w:rsidP="00DE5399">
      <w:pPr>
        <w:rPr>
          <w:b/>
          <w:bCs/>
        </w:rPr>
      </w:pPr>
      <w:r w:rsidRPr="00444368">
        <w:rPr>
          <w:b/>
          <w:bCs/>
        </w:rPr>
        <w:t xml:space="preserve">If selecting </w:t>
      </w:r>
      <w:proofErr w:type="spellStart"/>
      <w:r w:rsidRPr="00444368">
        <w:rPr>
          <w:b/>
          <w:bCs/>
        </w:rPr>
        <w:t>Read&amp;Writ</w:t>
      </w:r>
      <w:r w:rsidR="00F46232" w:rsidRPr="00444368">
        <w:rPr>
          <w:b/>
          <w:bCs/>
        </w:rPr>
        <w:t>e</w:t>
      </w:r>
      <w:proofErr w:type="spellEnd"/>
      <w:r w:rsidR="00F46232" w:rsidRPr="00444368">
        <w:rPr>
          <w:b/>
          <w:bCs/>
        </w:rPr>
        <w:t>:</w:t>
      </w:r>
    </w:p>
    <w:p w14:paraId="176230E8" w14:textId="41EDA190" w:rsidR="00733C7F" w:rsidRDefault="00390298" w:rsidP="00733C7F">
      <w:pPr>
        <w:pStyle w:val="ListParagraph"/>
        <w:numPr>
          <w:ilvl w:val="0"/>
          <w:numId w:val="14"/>
        </w:numPr>
        <w:rPr>
          <w:b/>
          <w:bCs/>
        </w:rPr>
      </w:pPr>
      <w:r>
        <w:t>After</w:t>
      </w:r>
      <w:r w:rsidR="0057655D">
        <w:t xml:space="preserve"> selecting </w:t>
      </w:r>
      <w:proofErr w:type="spellStart"/>
      <w:r w:rsidR="0057655D">
        <w:t>Read&amp;Write</w:t>
      </w:r>
      <w:proofErr w:type="spellEnd"/>
      <w:r w:rsidR="00331191">
        <w:t xml:space="preserve">, </w:t>
      </w:r>
      <w:r>
        <w:t>se</w:t>
      </w:r>
      <w:r w:rsidR="00312405">
        <w:t xml:space="preserve">lect </w:t>
      </w:r>
      <w:r w:rsidR="001A78A3">
        <w:t>“</w:t>
      </w:r>
      <w:r w:rsidR="00312405">
        <w:t xml:space="preserve">Continue </w:t>
      </w:r>
      <w:proofErr w:type="gramStart"/>
      <w:r w:rsidR="00312405">
        <w:t>To</w:t>
      </w:r>
      <w:proofErr w:type="gramEnd"/>
      <w:r w:rsidR="00312405">
        <w:t xml:space="preserve"> Test</w:t>
      </w:r>
      <w:r w:rsidR="001A78A3">
        <w:t>”</w:t>
      </w:r>
      <w:r w:rsidR="00312405">
        <w:t xml:space="preserve"> when th</w:t>
      </w:r>
      <w:r w:rsidR="001A78A3">
        <w:t>e</w:t>
      </w:r>
      <w:r w:rsidR="00312405">
        <w:t xml:space="preserve"> </w:t>
      </w:r>
      <w:r w:rsidR="009F77BE">
        <w:t xml:space="preserve">following </w:t>
      </w:r>
      <w:r w:rsidR="00312405">
        <w:t>screen appears</w:t>
      </w:r>
      <w:r w:rsidR="00331191">
        <w:t xml:space="preserve">. </w:t>
      </w:r>
      <w:r w:rsidR="00331191" w:rsidRPr="00F07FFA">
        <w:rPr>
          <w:b/>
          <w:bCs/>
        </w:rPr>
        <w:t>Do not sel</w:t>
      </w:r>
      <w:r w:rsidRPr="00F07FFA">
        <w:rPr>
          <w:b/>
          <w:bCs/>
        </w:rPr>
        <w:t>ect “Add More Extensions.”</w:t>
      </w:r>
    </w:p>
    <w:p w14:paraId="308C5E56" w14:textId="77777777" w:rsidR="00F07FFA" w:rsidRPr="00F07FFA" w:rsidRDefault="00F07FFA" w:rsidP="00F07FFA">
      <w:pPr>
        <w:pStyle w:val="ListParagraph"/>
        <w:ind w:left="765"/>
        <w:rPr>
          <w:b/>
          <w:bCs/>
        </w:rPr>
      </w:pPr>
    </w:p>
    <w:p w14:paraId="34E36258" w14:textId="6563A752" w:rsidR="00444368" w:rsidRDefault="001A78A3" w:rsidP="00B53CE0">
      <w:pPr>
        <w:pStyle w:val="ListParagraph"/>
        <w:ind w:left="765"/>
        <w:jc w:val="center"/>
      </w:pPr>
      <w:r>
        <w:rPr>
          <w:noProof/>
        </w:rPr>
        <w:lastRenderedPageBreak/>
        <w:drawing>
          <wp:inline distT="0" distB="0" distL="0" distR="0" wp14:anchorId="4183C487" wp14:editId="3D22FB94">
            <wp:extent cx="2340930" cy="1717497"/>
            <wp:effectExtent l="0" t="0" r="0" b="0"/>
            <wp:docPr id="1144642427" name="Picture 1144642427" descr="After selecting Read&amp;Write, select “Continue To Test” when the screen below appears. Do not select “Add More Ex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642427" name="Picture 1144642427" descr="After selecting Read&amp;Write, select “Continue To Test” when the screen below appears. Do not select “Add More Extensions.”"/>
                    <pic:cNvPicPr/>
                  </pic:nvPicPr>
                  <pic:blipFill>
                    <a:blip r:embed="rId12">
                      <a:extLst>
                        <a:ext uri="{28A0092B-C50C-407E-A947-70E740481C1C}">
                          <a14:useLocalDpi xmlns:a14="http://schemas.microsoft.com/office/drawing/2010/main" val="0"/>
                        </a:ext>
                      </a:extLst>
                    </a:blip>
                    <a:stretch>
                      <a:fillRect/>
                    </a:stretch>
                  </pic:blipFill>
                  <pic:spPr>
                    <a:xfrm>
                      <a:off x="0" y="0"/>
                      <a:ext cx="2340930" cy="1717497"/>
                    </a:xfrm>
                    <a:prstGeom prst="rect">
                      <a:avLst/>
                    </a:prstGeom>
                  </pic:spPr>
                </pic:pic>
              </a:graphicData>
            </a:graphic>
          </wp:inline>
        </w:drawing>
      </w:r>
    </w:p>
    <w:p w14:paraId="3B16D812" w14:textId="65CC3169" w:rsidR="00444368" w:rsidRDefault="00444368"/>
    <w:p w14:paraId="2FCFA38E" w14:textId="69054993" w:rsidR="00D17E03" w:rsidRDefault="00D17E03" w:rsidP="00D17E03">
      <w:pPr>
        <w:pStyle w:val="ListParagraph"/>
        <w:numPr>
          <w:ilvl w:val="1"/>
          <w:numId w:val="14"/>
        </w:numPr>
      </w:pPr>
      <w:r>
        <w:t xml:space="preserve">A small toolbar appears at the top menu bar upon login and can be moved around the page by clicking on the arrow icon and dragging the bar to the preferred location. The student will use </w:t>
      </w:r>
      <w:r w:rsidR="008672BE">
        <w:t xml:space="preserve">the toolbar shown below to enable </w:t>
      </w:r>
      <w:proofErr w:type="spellStart"/>
      <w:r w:rsidR="00CE0CE1">
        <w:t>Talk&amp;Type</w:t>
      </w:r>
      <w:proofErr w:type="spellEnd"/>
      <w:r w:rsidR="00CE0CE1">
        <w:t xml:space="preserve"> (speech-to-text)</w:t>
      </w:r>
      <w:r w:rsidR="00F07FFA">
        <w:t xml:space="preserve"> and word prediction</w:t>
      </w:r>
      <w:r w:rsidR="00444368">
        <w:t xml:space="preserve"> when responding to the prompt</w:t>
      </w:r>
      <w:r w:rsidR="00F07FFA">
        <w:t>.</w:t>
      </w:r>
      <w:r w:rsidR="00AC7AF7">
        <w:t xml:space="preserve"> If the </w:t>
      </w:r>
      <w:r w:rsidR="008F1BE1">
        <w:t xml:space="preserve">icons </w:t>
      </w:r>
      <w:r w:rsidR="009F1CD8">
        <w:t>in the tool bar are gray rather than pur</w:t>
      </w:r>
      <w:r w:rsidR="00327E85">
        <w:t>ple, the toolbar is disabled.</w:t>
      </w:r>
      <w:r w:rsidR="009F1CD8">
        <w:t xml:space="preserve"> </w:t>
      </w:r>
    </w:p>
    <w:p w14:paraId="4BC248B1" w14:textId="77777777" w:rsidR="00D17E03" w:rsidRDefault="00D17E03" w:rsidP="00D17E03">
      <w:pPr>
        <w:pStyle w:val="ListParagraph"/>
        <w:ind w:left="765"/>
      </w:pPr>
    </w:p>
    <w:p w14:paraId="776B7A6D" w14:textId="3FB89F1C" w:rsidR="00D17E03" w:rsidRDefault="008672BE" w:rsidP="00D17E03">
      <w:pPr>
        <w:pStyle w:val="ListParagraph"/>
        <w:ind w:left="765"/>
        <w:jc w:val="center"/>
      </w:pPr>
      <w:r w:rsidRPr="008672BE">
        <w:rPr>
          <w:noProof/>
        </w:rPr>
        <w:drawing>
          <wp:inline distT="0" distB="0" distL="0" distR="0" wp14:anchorId="28BCDD2D" wp14:editId="4D9B35CC">
            <wp:extent cx="1771650" cy="676275"/>
            <wp:effectExtent l="0" t="0" r="0" b="0"/>
            <wp:docPr id="1557369242" name="Picture 1557369242" descr="A small toolbar appears at the top menu bar upon login and can be moved around the page by clicking on the arrow icon and dragging the bar to the preferred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369242" name="Picture 1557369242" descr="A small toolbar appears at the top menu bar upon login and can be moved around the page by clicking on the arrow icon and dragging the bar to the preferred location."/>
                    <pic:cNvPicPr/>
                  </pic:nvPicPr>
                  <pic:blipFill>
                    <a:blip r:embed="rId13">
                      <a:extLst>
                        <a:ext uri="{28A0092B-C50C-407E-A947-70E740481C1C}">
                          <a14:useLocalDpi xmlns:a14="http://schemas.microsoft.com/office/drawing/2010/main" val="0"/>
                        </a:ext>
                      </a:extLst>
                    </a:blip>
                    <a:stretch>
                      <a:fillRect/>
                    </a:stretch>
                  </pic:blipFill>
                  <pic:spPr>
                    <a:xfrm>
                      <a:off x="0" y="0"/>
                      <a:ext cx="1771650" cy="676275"/>
                    </a:xfrm>
                    <a:prstGeom prst="rect">
                      <a:avLst/>
                    </a:prstGeom>
                  </pic:spPr>
                </pic:pic>
              </a:graphicData>
            </a:graphic>
          </wp:inline>
        </w:drawing>
      </w:r>
    </w:p>
    <w:p w14:paraId="5C6BEEFA" w14:textId="77777777" w:rsidR="003250AC" w:rsidRDefault="003250AC" w:rsidP="004768E1">
      <w:pPr>
        <w:rPr>
          <w:b/>
          <w:bCs/>
        </w:rPr>
      </w:pPr>
    </w:p>
    <w:p w14:paraId="51EFF010" w14:textId="4443143B" w:rsidR="004768E1" w:rsidRPr="00444368" w:rsidRDefault="004768E1" w:rsidP="004768E1">
      <w:pPr>
        <w:rPr>
          <w:b/>
          <w:bCs/>
        </w:rPr>
      </w:pPr>
      <w:r w:rsidRPr="00444368">
        <w:rPr>
          <w:b/>
          <w:bCs/>
        </w:rPr>
        <w:t xml:space="preserve">If selecting </w:t>
      </w:r>
      <w:proofErr w:type="gramStart"/>
      <w:r w:rsidRPr="00444368">
        <w:rPr>
          <w:b/>
          <w:bCs/>
        </w:rPr>
        <w:t>Co:Writer</w:t>
      </w:r>
      <w:proofErr w:type="gramEnd"/>
      <w:r w:rsidRPr="00444368">
        <w:rPr>
          <w:b/>
          <w:bCs/>
        </w:rPr>
        <w:t xml:space="preserve"> Universal</w:t>
      </w:r>
      <w:r w:rsidR="00444368" w:rsidRPr="00444368">
        <w:rPr>
          <w:b/>
          <w:bCs/>
        </w:rPr>
        <w:t>:</w:t>
      </w:r>
    </w:p>
    <w:p w14:paraId="43A66392" w14:textId="37560B9B" w:rsidR="004768E1" w:rsidRDefault="00982CA3" w:rsidP="004768E1">
      <w:pPr>
        <w:pStyle w:val="ListParagraph"/>
        <w:numPr>
          <w:ilvl w:val="0"/>
          <w:numId w:val="14"/>
        </w:numPr>
      </w:pPr>
      <w:r>
        <w:t xml:space="preserve">The </w:t>
      </w:r>
      <w:r w:rsidR="00444368">
        <w:t>examiner</w:t>
      </w:r>
      <w:r>
        <w:t xml:space="preserve"> (or student) must toggle off </w:t>
      </w:r>
      <w:r w:rsidR="00444368">
        <w:t>either feature (</w:t>
      </w:r>
      <w:r>
        <w:t>Word Prediction or Speech-to-Text</w:t>
      </w:r>
      <w:r w:rsidR="00444368">
        <w:t xml:space="preserve">) </w:t>
      </w:r>
      <w:r>
        <w:t xml:space="preserve">the student is not approved </w:t>
      </w:r>
      <w:r w:rsidR="00444368">
        <w:t>to use</w:t>
      </w:r>
      <w:r>
        <w:t>.</w:t>
      </w:r>
      <w:r w:rsidR="00444368">
        <w:t xml:space="preserve"> Continue with both features if approved.</w:t>
      </w:r>
    </w:p>
    <w:p w14:paraId="41FDE841" w14:textId="44C3D39D" w:rsidR="00AA2B25" w:rsidRDefault="00AA2B25" w:rsidP="00E60B32">
      <w:pPr>
        <w:pStyle w:val="ListParagraph"/>
        <w:ind w:left="765"/>
        <w:jc w:val="center"/>
      </w:pPr>
      <w:r>
        <w:rPr>
          <w:noProof/>
        </w:rPr>
        <w:drawing>
          <wp:inline distT="0" distB="0" distL="0" distR="0" wp14:anchorId="279A0B3F" wp14:editId="378751EA">
            <wp:extent cx="2292230" cy="1733550"/>
            <wp:effectExtent l="0" t="0" r="0" b="0"/>
            <wp:docPr id="798382580" name="Picture 798382580" descr="The examiner (or student) must toggle off either feature (Word Prediction or Speech-to-Text) the student is not approved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382580" name="Picture 798382580" descr="The examiner (or student) must toggle off either feature (Word Prediction or Speech-to-Text) the student is not approved to u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8659" cy="1738412"/>
                    </a:xfrm>
                    <a:prstGeom prst="rect">
                      <a:avLst/>
                    </a:prstGeom>
                  </pic:spPr>
                </pic:pic>
              </a:graphicData>
            </a:graphic>
          </wp:inline>
        </w:drawing>
      </w:r>
    </w:p>
    <w:p w14:paraId="79D6DF63" w14:textId="77777777" w:rsidR="001D6F9C" w:rsidRPr="00F5704E" w:rsidRDefault="001D6F9C" w:rsidP="001D6F9C">
      <w:pPr>
        <w:pStyle w:val="ListParagraph"/>
        <w:numPr>
          <w:ilvl w:val="0"/>
          <w:numId w:val="14"/>
        </w:numPr>
        <w:rPr>
          <w:b/>
          <w:bCs/>
        </w:rPr>
      </w:pPr>
      <w:r>
        <w:t>Select the “Next” button.</w:t>
      </w:r>
    </w:p>
    <w:p w14:paraId="4344C59C" w14:textId="77777777" w:rsidR="001D6F9C" w:rsidRPr="00F5704E" w:rsidRDefault="001D6F9C" w:rsidP="001D6F9C">
      <w:pPr>
        <w:pStyle w:val="ListParagraph"/>
        <w:numPr>
          <w:ilvl w:val="0"/>
          <w:numId w:val="14"/>
        </w:numPr>
        <w:rPr>
          <w:b/>
          <w:bCs/>
        </w:rPr>
      </w:pPr>
      <w:r>
        <w:t xml:space="preserve">The student does </w:t>
      </w:r>
      <w:r w:rsidRPr="00F5704E">
        <w:rPr>
          <w:i/>
          <w:iCs/>
        </w:rPr>
        <w:t>not</w:t>
      </w:r>
      <w:r>
        <w:t xml:space="preserve"> need a license to use </w:t>
      </w:r>
      <w:proofErr w:type="gramStart"/>
      <w:r>
        <w:t>Co:Writer</w:t>
      </w:r>
      <w:proofErr w:type="gramEnd"/>
      <w:r>
        <w:t xml:space="preserve"> Universal on the assessment. </w:t>
      </w:r>
    </w:p>
    <w:p w14:paraId="405DDA32" w14:textId="77777777" w:rsidR="001D6F9C" w:rsidRPr="00F5704E" w:rsidRDefault="001D6F9C" w:rsidP="001D6F9C">
      <w:pPr>
        <w:pStyle w:val="ListParagraph"/>
        <w:numPr>
          <w:ilvl w:val="1"/>
          <w:numId w:val="14"/>
        </w:numPr>
        <w:rPr>
          <w:b/>
          <w:bCs/>
        </w:rPr>
      </w:pPr>
      <w:r>
        <w:t xml:space="preserve">If the student has an existing license for </w:t>
      </w:r>
      <w:proofErr w:type="gramStart"/>
      <w:r>
        <w:t>Co:Writer</w:t>
      </w:r>
      <w:proofErr w:type="gramEnd"/>
      <w:r>
        <w:t>, they can log into their account and load their previously selected user settings for the assessment.</w:t>
      </w:r>
    </w:p>
    <w:p w14:paraId="2E34550F" w14:textId="77777777" w:rsidR="00E60B32" w:rsidRPr="00E60B32" w:rsidRDefault="001D6F9C" w:rsidP="00E60B32">
      <w:pPr>
        <w:pStyle w:val="ListParagraph"/>
        <w:numPr>
          <w:ilvl w:val="1"/>
          <w:numId w:val="14"/>
        </w:numPr>
        <w:rPr>
          <w:b/>
          <w:bCs/>
        </w:rPr>
      </w:pPr>
      <w:r>
        <w:t xml:space="preserve">If the student does not have a license, or chooses not to load their settings, the test </w:t>
      </w:r>
      <w:r w:rsidR="00444368">
        <w:t>examiner</w:t>
      </w:r>
      <w:r>
        <w:t xml:space="preserve"> (or student) can “SKIP” this step.</w:t>
      </w:r>
    </w:p>
    <w:p w14:paraId="45C2E510" w14:textId="1C6372B5" w:rsidR="009A2EE8" w:rsidRPr="009A2EE8" w:rsidRDefault="009A2EE8" w:rsidP="00E60B32">
      <w:pPr>
        <w:pStyle w:val="ListParagraph"/>
        <w:ind w:left="1485"/>
        <w:jc w:val="center"/>
        <w:rPr>
          <w:b/>
          <w:bCs/>
        </w:rPr>
      </w:pPr>
      <w:r>
        <w:rPr>
          <w:noProof/>
        </w:rPr>
        <w:drawing>
          <wp:inline distT="0" distB="0" distL="0" distR="0" wp14:anchorId="2F5BC24B" wp14:editId="14154186">
            <wp:extent cx="3534688" cy="2143125"/>
            <wp:effectExtent l="0" t="0" r="8890" b="0"/>
            <wp:docPr id="1596011205" name="Picture 1" descr="Co:Writer screen permits student to load or skip loading of personal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011205" name="Picture 1" descr="Co:Writer screen permits student to load or skip loading of personal settings."/>
                    <pic:cNvPicPr/>
                  </pic:nvPicPr>
                  <pic:blipFill>
                    <a:blip r:embed="rId15"/>
                    <a:stretch>
                      <a:fillRect/>
                    </a:stretch>
                  </pic:blipFill>
                  <pic:spPr>
                    <a:xfrm>
                      <a:off x="0" y="0"/>
                      <a:ext cx="3566821" cy="2162607"/>
                    </a:xfrm>
                    <a:prstGeom prst="rect">
                      <a:avLst/>
                    </a:prstGeom>
                  </pic:spPr>
                </pic:pic>
              </a:graphicData>
            </a:graphic>
          </wp:inline>
        </w:drawing>
      </w:r>
    </w:p>
    <w:p w14:paraId="1189BB10" w14:textId="6981C4E2" w:rsidR="009A2EE8" w:rsidRDefault="009A2EE8" w:rsidP="009A2EE8">
      <w:pPr>
        <w:pStyle w:val="ListParagraph"/>
        <w:ind w:left="1485"/>
        <w:rPr>
          <w:b/>
          <w:bCs/>
        </w:rPr>
      </w:pPr>
    </w:p>
    <w:p w14:paraId="6F386259" w14:textId="77777777" w:rsidR="009A2EE8" w:rsidRPr="00F5704E" w:rsidRDefault="009A2EE8" w:rsidP="009A2EE8">
      <w:pPr>
        <w:pStyle w:val="ListParagraph"/>
        <w:ind w:left="1485"/>
        <w:rPr>
          <w:b/>
          <w:bCs/>
        </w:rPr>
      </w:pPr>
    </w:p>
    <w:p w14:paraId="72DA4F6D" w14:textId="501F3A9D" w:rsidR="00193E48" w:rsidRPr="000D46CC" w:rsidRDefault="00193E48" w:rsidP="001D6F9C">
      <w:pPr>
        <w:pStyle w:val="ListParagraph"/>
        <w:numPr>
          <w:ilvl w:val="0"/>
          <w:numId w:val="14"/>
        </w:numPr>
      </w:pPr>
      <w:r>
        <w:t xml:space="preserve">Select “Continue </w:t>
      </w:r>
      <w:proofErr w:type="gramStart"/>
      <w:r>
        <w:t>To</w:t>
      </w:r>
      <w:proofErr w:type="gramEnd"/>
      <w:r>
        <w:t xml:space="preserve"> Test” when the </w:t>
      </w:r>
      <w:r w:rsidR="00E60B32">
        <w:t xml:space="preserve">following </w:t>
      </w:r>
      <w:r>
        <w:t xml:space="preserve">screen appears. </w:t>
      </w:r>
      <w:r w:rsidRPr="00F07FFA">
        <w:rPr>
          <w:b/>
          <w:bCs/>
        </w:rPr>
        <w:t>Do not select “Add More Extensions.”</w:t>
      </w:r>
    </w:p>
    <w:p w14:paraId="662B6DA3" w14:textId="545159CA" w:rsidR="000D46CC" w:rsidRDefault="00BE390E" w:rsidP="00BE390E">
      <w:pPr>
        <w:pStyle w:val="ListParagraph"/>
        <w:ind w:left="765"/>
        <w:jc w:val="center"/>
      </w:pPr>
      <w:r>
        <w:rPr>
          <w:noProof/>
        </w:rPr>
        <w:drawing>
          <wp:inline distT="0" distB="0" distL="0" distR="0" wp14:anchorId="18C36F41" wp14:editId="4A5A00F0">
            <wp:extent cx="2128702" cy="1688727"/>
            <wp:effectExtent l="0" t="0" r="0" b="0"/>
            <wp:docPr id="1909727073" name="Picture 1909727073" descr="After selecting Co:Writer, select “Continue To Test” when the screen below appears. Do not select “Add More Ex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727073" name="Picture 1909727073" descr="After selecting Co:Writer, select “Continue To Test” when the screen below appears. Do not select “Add More Extensions.”"/>
                    <pic:cNvPicPr/>
                  </pic:nvPicPr>
                  <pic:blipFill>
                    <a:blip r:embed="rId16">
                      <a:extLst>
                        <a:ext uri="{28A0092B-C50C-407E-A947-70E740481C1C}">
                          <a14:useLocalDpi xmlns:a14="http://schemas.microsoft.com/office/drawing/2010/main" val="0"/>
                        </a:ext>
                      </a:extLst>
                    </a:blip>
                    <a:stretch>
                      <a:fillRect/>
                    </a:stretch>
                  </pic:blipFill>
                  <pic:spPr>
                    <a:xfrm>
                      <a:off x="0" y="0"/>
                      <a:ext cx="2128702" cy="1688727"/>
                    </a:xfrm>
                    <a:prstGeom prst="rect">
                      <a:avLst/>
                    </a:prstGeom>
                  </pic:spPr>
                </pic:pic>
              </a:graphicData>
            </a:graphic>
          </wp:inline>
        </w:drawing>
      </w:r>
    </w:p>
    <w:p w14:paraId="57C5B9D2" w14:textId="77777777" w:rsidR="00BE390E" w:rsidRDefault="00BE390E" w:rsidP="00BE390E">
      <w:pPr>
        <w:pStyle w:val="ListParagraph"/>
        <w:ind w:left="765"/>
        <w:jc w:val="center"/>
      </w:pPr>
    </w:p>
    <w:p w14:paraId="2578F477" w14:textId="5918895A" w:rsidR="00AA2B25" w:rsidRDefault="001D6F9C" w:rsidP="001D6F9C">
      <w:pPr>
        <w:pStyle w:val="ListParagraph"/>
        <w:numPr>
          <w:ilvl w:val="0"/>
          <w:numId w:val="14"/>
        </w:numPr>
      </w:pPr>
      <w:r>
        <w:t xml:space="preserve">The student may now continue to the test using the </w:t>
      </w:r>
      <w:proofErr w:type="gramStart"/>
      <w:r>
        <w:t>Co:Writer</w:t>
      </w:r>
      <w:proofErr w:type="gramEnd"/>
      <w:r>
        <w:t xml:space="preserve"> toolbar.</w:t>
      </w:r>
      <w:r w:rsidR="00E60B32">
        <w:br/>
      </w:r>
    </w:p>
    <w:p w14:paraId="13EE184F" w14:textId="56A01839" w:rsidR="001D6F9C" w:rsidRDefault="00326F9F" w:rsidP="001D6F9C">
      <w:pPr>
        <w:pStyle w:val="ListParagraph"/>
        <w:numPr>
          <w:ilvl w:val="1"/>
          <w:numId w:val="14"/>
        </w:numPr>
      </w:pPr>
      <w:r>
        <w:t xml:space="preserve">The </w:t>
      </w:r>
      <w:proofErr w:type="gramStart"/>
      <w:r>
        <w:t>Co:Writer</w:t>
      </w:r>
      <w:proofErr w:type="gramEnd"/>
      <w:r>
        <w:t xml:space="preserve"> menu will only appear for open response items. Click in the response box for the word prediction box to appear. A </w:t>
      </w:r>
      <w:proofErr w:type="gramStart"/>
      <w:r>
        <w:t>Co:Writer</w:t>
      </w:r>
      <w:proofErr w:type="gramEnd"/>
      <w:r>
        <w:t xml:space="preserve"> icon will also appear in the lower right corner of the screen. Clicking on that icon enables or disables the tool.</w:t>
      </w:r>
    </w:p>
    <w:p w14:paraId="08DD10F5" w14:textId="77777777" w:rsidR="00CD6521" w:rsidRDefault="00CD6521" w:rsidP="00CD6521">
      <w:pPr>
        <w:pStyle w:val="ListParagraph"/>
        <w:ind w:left="765"/>
      </w:pPr>
    </w:p>
    <w:p w14:paraId="23E03E4E" w14:textId="69D50A4B" w:rsidR="00CD6521" w:rsidRDefault="00CD6521" w:rsidP="00CD6521">
      <w:pPr>
        <w:pStyle w:val="ListParagraph"/>
        <w:ind w:left="765"/>
        <w:jc w:val="center"/>
      </w:pPr>
      <w:r>
        <w:t xml:space="preserve">Enabled    </w:t>
      </w:r>
      <w:r w:rsidR="009F77BE">
        <w:t xml:space="preserve"> </w:t>
      </w:r>
      <w:r>
        <w:t xml:space="preserve">   Disabled</w:t>
      </w:r>
    </w:p>
    <w:p w14:paraId="6CC2EBC2" w14:textId="5D73EC11" w:rsidR="00CD6521" w:rsidRDefault="00CD6521" w:rsidP="00CD6521">
      <w:pPr>
        <w:pStyle w:val="ListParagraph"/>
        <w:ind w:left="765"/>
        <w:jc w:val="center"/>
      </w:pPr>
      <w:r>
        <w:rPr>
          <w:noProof/>
        </w:rPr>
        <w:drawing>
          <wp:inline distT="0" distB="0" distL="0" distR="0" wp14:anchorId="0CDB5EE0" wp14:editId="5EF80970">
            <wp:extent cx="552292" cy="651364"/>
            <wp:effectExtent l="0" t="0" r="0" b="0"/>
            <wp:docPr id="1376798977" name="Picture 1376798977" descr="A Co:Writer icon will also appear in the lower right corner of the screen. Clicking on that icon enables or disables th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798977" name="Picture 1376798977" descr="A Co:Writer icon will also appear in the lower right corner of the screen. Clicking on that icon enables or disables the tool."/>
                    <pic:cNvPicPr/>
                  </pic:nvPicPr>
                  <pic:blipFill>
                    <a:blip r:embed="rId17">
                      <a:extLst>
                        <a:ext uri="{28A0092B-C50C-407E-A947-70E740481C1C}">
                          <a14:useLocalDpi xmlns:a14="http://schemas.microsoft.com/office/drawing/2010/main" val="0"/>
                        </a:ext>
                      </a:extLst>
                    </a:blip>
                    <a:srcRect l="31674"/>
                    <a:stretch>
                      <a:fillRect/>
                    </a:stretch>
                  </pic:blipFill>
                  <pic:spPr>
                    <a:xfrm>
                      <a:off x="0" y="0"/>
                      <a:ext cx="552292" cy="651364"/>
                    </a:xfrm>
                    <a:prstGeom prst="rect">
                      <a:avLst/>
                    </a:prstGeom>
                  </pic:spPr>
                </pic:pic>
              </a:graphicData>
            </a:graphic>
          </wp:inline>
        </w:drawing>
      </w:r>
      <w:r w:rsidR="009F77BE">
        <w:rPr>
          <w:noProof/>
        </w:rPr>
        <w:t xml:space="preserve">      </w:t>
      </w:r>
      <w:r>
        <w:rPr>
          <w:noProof/>
        </w:rPr>
        <w:drawing>
          <wp:inline distT="0" distB="0" distL="0" distR="0" wp14:anchorId="08D671F0" wp14:editId="350307C9">
            <wp:extent cx="582509" cy="642571"/>
            <wp:effectExtent l="0" t="0" r="0" b="0"/>
            <wp:docPr id="283053991" name="Picture 283053991" descr="A Co:Writer icon will also appear in the lower right corner of the screen. Clicking on that icon enables or disables th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053991" name="Picture 283053991" descr="A Co:Writer icon will also appear in the lower right corner of the screen. Clicking on that icon enables or disables the tool."/>
                    <pic:cNvPicPr/>
                  </pic:nvPicPr>
                  <pic:blipFill>
                    <a:blip r:embed="rId18">
                      <a:extLst>
                        <a:ext uri="{28A0092B-C50C-407E-A947-70E740481C1C}">
                          <a14:useLocalDpi xmlns:a14="http://schemas.microsoft.com/office/drawing/2010/main" val="0"/>
                        </a:ext>
                      </a:extLst>
                    </a:blip>
                    <a:srcRect l="38790"/>
                    <a:stretch>
                      <a:fillRect/>
                    </a:stretch>
                  </pic:blipFill>
                  <pic:spPr>
                    <a:xfrm>
                      <a:off x="0" y="0"/>
                      <a:ext cx="582509" cy="642571"/>
                    </a:xfrm>
                    <a:prstGeom prst="rect">
                      <a:avLst/>
                    </a:prstGeom>
                  </pic:spPr>
                </pic:pic>
              </a:graphicData>
            </a:graphic>
          </wp:inline>
        </w:drawing>
      </w:r>
    </w:p>
    <w:p w14:paraId="298C5D1E" w14:textId="77777777" w:rsidR="00CD6521" w:rsidRDefault="00CD6521" w:rsidP="00CD6521">
      <w:pPr>
        <w:pStyle w:val="ListParagraph"/>
        <w:ind w:left="1485"/>
      </w:pPr>
    </w:p>
    <w:p w14:paraId="1C937CFA" w14:textId="545BD951" w:rsidR="009F77BE" w:rsidRDefault="009F77BE">
      <w:r>
        <w:br w:type="page"/>
      </w:r>
    </w:p>
    <w:p w14:paraId="62ACE79E" w14:textId="77777777" w:rsidR="00A2524B" w:rsidRDefault="00A2524B" w:rsidP="00CD6521">
      <w:pPr>
        <w:pStyle w:val="ListParagraph"/>
        <w:ind w:left="1485"/>
      </w:pPr>
    </w:p>
    <w:p w14:paraId="32EDE6FA" w14:textId="0360373C" w:rsidR="00CD6521" w:rsidRDefault="003B0C5A" w:rsidP="001D6F9C">
      <w:pPr>
        <w:pStyle w:val="ListParagraph"/>
        <w:numPr>
          <w:ilvl w:val="1"/>
          <w:numId w:val="14"/>
        </w:numPr>
      </w:pPr>
      <w:r>
        <w:t xml:space="preserve">The student will use the toolbar shown below to </w:t>
      </w:r>
      <w:r w:rsidR="00DC1760">
        <w:t xml:space="preserve">enable speech-to-text and word </w:t>
      </w:r>
      <w:r w:rsidR="008745AE">
        <w:t>prediction</w:t>
      </w:r>
      <w:r w:rsidR="00DC1760">
        <w:t>.</w:t>
      </w:r>
    </w:p>
    <w:p w14:paraId="0F77C573" w14:textId="00DE7AA3" w:rsidR="00DC1760" w:rsidRDefault="00DC1760" w:rsidP="00DC1760">
      <w:pPr>
        <w:pStyle w:val="ListParagraph"/>
        <w:ind w:left="1485"/>
        <w:jc w:val="center"/>
      </w:pPr>
      <w:r>
        <w:rPr>
          <w:noProof/>
        </w:rPr>
        <w:drawing>
          <wp:inline distT="0" distB="0" distL="0" distR="0" wp14:anchorId="721378FB" wp14:editId="75992E23">
            <wp:extent cx="1204709" cy="1876425"/>
            <wp:effectExtent l="0" t="0" r="0" b="0"/>
            <wp:docPr id="64260525" name="Picture 64260525" descr="The student will use the toolbar shown below to enable speech-to-text and word pre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0525" name="Picture 64260525" descr="The student will use the toolbar shown below to enable speech-to-text and word prediction."/>
                    <pic:cNvPicPr/>
                  </pic:nvPicPr>
                  <pic:blipFill>
                    <a:blip r:embed="rId19">
                      <a:extLst>
                        <a:ext uri="{28A0092B-C50C-407E-A947-70E740481C1C}">
                          <a14:useLocalDpi xmlns:a14="http://schemas.microsoft.com/office/drawing/2010/main" val="0"/>
                        </a:ext>
                      </a:extLst>
                    </a:blip>
                    <a:stretch>
                      <a:fillRect/>
                    </a:stretch>
                  </pic:blipFill>
                  <pic:spPr>
                    <a:xfrm>
                      <a:off x="0" y="0"/>
                      <a:ext cx="1204709" cy="1876425"/>
                    </a:xfrm>
                    <a:prstGeom prst="rect">
                      <a:avLst/>
                    </a:prstGeom>
                  </pic:spPr>
                </pic:pic>
              </a:graphicData>
            </a:graphic>
          </wp:inline>
        </w:drawing>
      </w:r>
    </w:p>
    <w:p w14:paraId="123C89F5" w14:textId="77777777" w:rsidR="00DC1760" w:rsidRDefault="00DC1760" w:rsidP="008745AE"/>
    <w:p w14:paraId="748EE8E6" w14:textId="77777777" w:rsidR="004958A3" w:rsidRDefault="003405C2" w:rsidP="003405C2">
      <w:pPr>
        <w:rPr>
          <w:b/>
          <w:bCs/>
        </w:rPr>
      </w:pPr>
      <w:r>
        <w:rPr>
          <w:b/>
          <w:bCs/>
        </w:rPr>
        <w:t>Note</w:t>
      </w:r>
      <w:r w:rsidR="00A6342C">
        <w:rPr>
          <w:b/>
          <w:bCs/>
        </w:rPr>
        <w:t>s</w:t>
      </w:r>
      <w:r>
        <w:rPr>
          <w:b/>
          <w:bCs/>
        </w:rPr>
        <w:t xml:space="preserve">: </w:t>
      </w:r>
    </w:p>
    <w:p w14:paraId="5FB41928" w14:textId="3ED33565" w:rsidR="005906ED" w:rsidRDefault="003405C2" w:rsidP="004958A3">
      <w:pPr>
        <w:pStyle w:val="ListParagraph"/>
        <w:numPr>
          <w:ilvl w:val="0"/>
          <w:numId w:val="14"/>
        </w:numPr>
      </w:pPr>
      <w:r>
        <w:t>If it is determined that the incorrect web extension</w:t>
      </w:r>
      <w:r w:rsidR="00A26042">
        <w:t xml:space="preserve"> was selected, the student must exit out of the test and log in</w:t>
      </w:r>
      <w:r w:rsidR="00304943">
        <w:t xml:space="preserve"> </w:t>
      </w:r>
      <w:r w:rsidR="00A26042">
        <w:t xml:space="preserve">to </w:t>
      </w:r>
      <w:r w:rsidR="005252AC">
        <w:t xml:space="preserve">the test again. Upon doing so, the correct web extension can be </w:t>
      </w:r>
      <w:r w:rsidR="00A2524B">
        <w:t>selected,</w:t>
      </w:r>
      <w:r w:rsidR="005252AC">
        <w:t xml:space="preserve"> and the </w:t>
      </w:r>
      <w:r w:rsidR="009A2EE8">
        <w:t>student will be able to resume testing.</w:t>
      </w:r>
    </w:p>
    <w:p w14:paraId="09FBC928" w14:textId="7CC1A026" w:rsidR="00583F9E" w:rsidRPr="00583F9E" w:rsidRDefault="00583F9E" w:rsidP="00583F9E">
      <w:pPr>
        <w:pStyle w:val="xmsonormal"/>
        <w:numPr>
          <w:ilvl w:val="0"/>
          <w:numId w:val="14"/>
        </w:numPr>
        <w:shd w:val="clear" w:color="auto" w:fill="FFFFFF"/>
        <w:spacing w:before="0" w:beforeAutospacing="0" w:after="160" w:afterAutospacing="0" w:line="233" w:lineRule="atLeast"/>
        <w:rPr>
          <w:rFonts w:ascii="Calibri" w:hAnsi="Calibri" w:cs="Calibri"/>
          <w:color w:val="242424"/>
          <w:sz w:val="22"/>
          <w:szCs w:val="22"/>
        </w:rPr>
      </w:pPr>
      <w:proofErr w:type="spellStart"/>
      <w:proofErr w:type="gramStart"/>
      <w:r>
        <w:rPr>
          <w:rFonts w:ascii="Calibri" w:hAnsi="Calibri" w:cs="Calibri"/>
          <w:color w:val="242424"/>
          <w:sz w:val="22"/>
          <w:szCs w:val="22"/>
        </w:rPr>
        <w:t>Co:Writer</w:t>
      </w:r>
      <w:proofErr w:type="spellEnd"/>
      <w:proofErr w:type="gramEnd"/>
      <w:r>
        <w:rPr>
          <w:rFonts w:ascii="Calibri" w:hAnsi="Calibri" w:cs="Calibri"/>
          <w:color w:val="242424"/>
          <w:sz w:val="22"/>
          <w:szCs w:val="22"/>
        </w:rPr>
        <w:t xml:space="preserve"> Universal along with the </w:t>
      </w:r>
      <w:proofErr w:type="spellStart"/>
      <w:r>
        <w:rPr>
          <w:rFonts w:ascii="Calibri" w:hAnsi="Calibri" w:cs="Calibri"/>
          <w:color w:val="242424"/>
          <w:sz w:val="22"/>
          <w:szCs w:val="22"/>
        </w:rPr>
        <w:t>Read&amp;Write</w:t>
      </w:r>
      <w:proofErr w:type="spellEnd"/>
      <w:r>
        <w:rPr>
          <w:rFonts w:ascii="Calibri" w:hAnsi="Calibri" w:cs="Calibri"/>
          <w:color w:val="242424"/>
          <w:sz w:val="22"/>
          <w:szCs w:val="22"/>
        </w:rPr>
        <w:t xml:space="preserve"> web extension will </w:t>
      </w:r>
      <w:r w:rsidR="00CB57DD">
        <w:rPr>
          <w:rFonts w:ascii="Calibri" w:hAnsi="Calibri" w:cs="Calibri"/>
          <w:color w:val="242424"/>
          <w:sz w:val="22"/>
          <w:szCs w:val="22"/>
        </w:rPr>
        <w:t xml:space="preserve">automatically </w:t>
      </w:r>
      <w:r>
        <w:rPr>
          <w:rFonts w:ascii="Calibri" w:hAnsi="Calibri" w:cs="Calibri"/>
          <w:color w:val="242424"/>
          <w:sz w:val="22"/>
          <w:szCs w:val="22"/>
        </w:rPr>
        <w:t xml:space="preserve">capitalize </w:t>
      </w:r>
      <w:r w:rsidR="00CB57DD">
        <w:rPr>
          <w:rFonts w:ascii="Calibri" w:hAnsi="Calibri" w:cs="Calibri"/>
          <w:color w:val="242424"/>
          <w:sz w:val="22"/>
          <w:szCs w:val="22"/>
        </w:rPr>
        <w:t xml:space="preserve">the first </w:t>
      </w:r>
      <w:r>
        <w:rPr>
          <w:rFonts w:ascii="Calibri" w:hAnsi="Calibri" w:cs="Calibri"/>
          <w:color w:val="242424"/>
          <w:sz w:val="22"/>
          <w:szCs w:val="22"/>
        </w:rPr>
        <w:t>word</w:t>
      </w:r>
      <w:r w:rsidR="00CB57DD">
        <w:rPr>
          <w:rFonts w:ascii="Calibri" w:hAnsi="Calibri" w:cs="Calibri"/>
          <w:color w:val="242424"/>
          <w:sz w:val="22"/>
          <w:szCs w:val="22"/>
        </w:rPr>
        <w:t xml:space="preserve"> in </w:t>
      </w:r>
      <w:r w:rsidR="009640FF">
        <w:rPr>
          <w:rFonts w:ascii="Calibri" w:hAnsi="Calibri" w:cs="Calibri"/>
          <w:color w:val="242424"/>
          <w:sz w:val="22"/>
          <w:szCs w:val="22"/>
        </w:rPr>
        <w:t xml:space="preserve">a </w:t>
      </w:r>
      <w:r w:rsidR="00CB57DD">
        <w:rPr>
          <w:rFonts w:ascii="Calibri" w:hAnsi="Calibri" w:cs="Calibri"/>
          <w:color w:val="242424"/>
          <w:sz w:val="22"/>
          <w:szCs w:val="22"/>
        </w:rPr>
        <w:t>sentence</w:t>
      </w:r>
      <w:r>
        <w:rPr>
          <w:rFonts w:ascii="Calibri" w:hAnsi="Calibri" w:cs="Calibri"/>
          <w:color w:val="242424"/>
          <w:sz w:val="22"/>
          <w:szCs w:val="22"/>
        </w:rPr>
        <w:t xml:space="preserve"> when Speech-to-Text is enabled. </w:t>
      </w:r>
    </w:p>
    <w:p w14:paraId="211BBF50" w14:textId="32C1CF9C" w:rsidR="00A6342C" w:rsidRDefault="00A6342C" w:rsidP="004958A3">
      <w:pPr>
        <w:pStyle w:val="xmsonormal"/>
        <w:numPr>
          <w:ilvl w:val="0"/>
          <w:numId w:val="14"/>
        </w:numPr>
        <w:shd w:val="clear" w:color="auto" w:fill="FFFFFF"/>
        <w:spacing w:before="0" w:beforeAutospacing="0" w:after="160" w:afterAutospacing="0" w:line="233" w:lineRule="atLeast"/>
        <w:rPr>
          <w:rFonts w:ascii="Calibri" w:hAnsi="Calibri" w:cs="Calibri"/>
          <w:color w:val="242424"/>
          <w:sz w:val="22"/>
          <w:szCs w:val="22"/>
        </w:rPr>
      </w:pPr>
      <w:r>
        <w:rPr>
          <w:rFonts w:ascii="Calibri" w:hAnsi="Calibri" w:cs="Calibri"/>
          <w:color w:val="242424"/>
          <w:sz w:val="22"/>
          <w:szCs w:val="22"/>
        </w:rPr>
        <w:t xml:space="preserve">When accessing the Word Prediction feature in </w:t>
      </w:r>
      <w:proofErr w:type="spellStart"/>
      <w:proofErr w:type="gramStart"/>
      <w:r>
        <w:rPr>
          <w:rFonts w:ascii="Calibri" w:hAnsi="Calibri" w:cs="Calibri"/>
          <w:color w:val="242424"/>
          <w:sz w:val="22"/>
          <w:szCs w:val="22"/>
        </w:rPr>
        <w:t>Co:Writer</w:t>
      </w:r>
      <w:proofErr w:type="spellEnd"/>
      <w:proofErr w:type="gramEnd"/>
      <w:r>
        <w:rPr>
          <w:rFonts w:ascii="Calibri" w:hAnsi="Calibri" w:cs="Calibri"/>
          <w:color w:val="242424"/>
          <w:sz w:val="22"/>
          <w:szCs w:val="22"/>
        </w:rPr>
        <w:t xml:space="preserve"> Universal</w:t>
      </w:r>
      <w:r w:rsidR="004958A3">
        <w:rPr>
          <w:rFonts w:ascii="Calibri" w:hAnsi="Calibri" w:cs="Calibri"/>
          <w:color w:val="242424"/>
          <w:sz w:val="22"/>
          <w:szCs w:val="22"/>
        </w:rPr>
        <w:t>,</w:t>
      </w:r>
      <w:r>
        <w:rPr>
          <w:rFonts w:ascii="Calibri" w:hAnsi="Calibri" w:cs="Calibri"/>
          <w:color w:val="242424"/>
          <w:sz w:val="22"/>
          <w:szCs w:val="22"/>
        </w:rPr>
        <w:t xml:space="preserve"> the auto-generated word list will read back the words within the list to the student when the student’s cursor hovers over a particular word and as the student completes typing a word or sentence.  </w:t>
      </w:r>
      <w:r w:rsidR="004958A3">
        <w:rPr>
          <w:rFonts w:ascii="Calibri" w:hAnsi="Calibri" w:cs="Calibri"/>
          <w:color w:val="242424"/>
          <w:sz w:val="22"/>
          <w:szCs w:val="22"/>
        </w:rPr>
        <w:t xml:space="preserve">If a student is using </w:t>
      </w:r>
      <w:proofErr w:type="spellStart"/>
      <w:r w:rsidR="004958A3">
        <w:rPr>
          <w:rFonts w:ascii="Calibri" w:hAnsi="Calibri" w:cs="Calibri"/>
          <w:color w:val="242424"/>
          <w:sz w:val="22"/>
          <w:szCs w:val="22"/>
        </w:rPr>
        <w:t>Read&amp;Write</w:t>
      </w:r>
      <w:proofErr w:type="spellEnd"/>
      <w:r w:rsidR="004958A3">
        <w:rPr>
          <w:rFonts w:ascii="Calibri" w:hAnsi="Calibri" w:cs="Calibri"/>
          <w:color w:val="242424"/>
          <w:sz w:val="22"/>
          <w:szCs w:val="22"/>
        </w:rPr>
        <w:t>, the auto</w:t>
      </w:r>
      <w:r w:rsidR="00304943">
        <w:rPr>
          <w:rFonts w:ascii="Calibri" w:hAnsi="Calibri" w:cs="Calibri"/>
          <w:color w:val="242424"/>
          <w:sz w:val="22"/>
          <w:szCs w:val="22"/>
        </w:rPr>
        <w:t>-</w:t>
      </w:r>
      <w:r w:rsidR="004958A3">
        <w:rPr>
          <w:rFonts w:ascii="Calibri" w:hAnsi="Calibri" w:cs="Calibri"/>
          <w:color w:val="242424"/>
          <w:sz w:val="22"/>
          <w:szCs w:val="22"/>
        </w:rPr>
        <w:t xml:space="preserve">generated list will read back the words within the list to the student when the student’s cursor hovers over a particular word only. </w:t>
      </w:r>
    </w:p>
    <w:p w14:paraId="40871EB4" w14:textId="71891A3F" w:rsidR="00A6342C" w:rsidRDefault="00583F9E" w:rsidP="00A6342C">
      <w:pPr>
        <w:pStyle w:val="xmsonormal"/>
        <w:numPr>
          <w:ilvl w:val="0"/>
          <w:numId w:val="15"/>
        </w:numPr>
        <w:shd w:val="clear" w:color="auto" w:fill="FFFFFF"/>
        <w:spacing w:before="0" w:beforeAutospacing="0" w:after="160" w:afterAutospacing="0" w:line="233" w:lineRule="atLeast"/>
        <w:rPr>
          <w:rFonts w:ascii="Calibri" w:hAnsi="Calibri" w:cs="Calibri"/>
          <w:color w:val="242424"/>
          <w:sz w:val="22"/>
          <w:szCs w:val="22"/>
        </w:rPr>
      </w:pPr>
      <w:r>
        <w:rPr>
          <w:rFonts w:ascii="Calibri" w:hAnsi="Calibri" w:cs="Calibri"/>
          <w:color w:val="242424"/>
          <w:sz w:val="22"/>
          <w:szCs w:val="22"/>
        </w:rPr>
        <w:t>Students who</w:t>
      </w:r>
      <w:r w:rsidR="00A6342C">
        <w:rPr>
          <w:rFonts w:ascii="Calibri" w:hAnsi="Calibri" w:cs="Calibri"/>
          <w:color w:val="242424"/>
          <w:sz w:val="22"/>
          <w:szCs w:val="22"/>
        </w:rPr>
        <w:t xml:space="preserve"> tak</w:t>
      </w:r>
      <w:r>
        <w:rPr>
          <w:rFonts w:ascii="Calibri" w:hAnsi="Calibri" w:cs="Calibri"/>
          <w:color w:val="242424"/>
          <w:sz w:val="22"/>
          <w:szCs w:val="22"/>
        </w:rPr>
        <w:t>e</w:t>
      </w:r>
      <w:r w:rsidR="00A6342C">
        <w:rPr>
          <w:rFonts w:ascii="Calibri" w:hAnsi="Calibri" w:cs="Calibri"/>
          <w:color w:val="242424"/>
          <w:sz w:val="22"/>
          <w:szCs w:val="22"/>
        </w:rPr>
        <w:t xml:space="preserve"> an audio </w:t>
      </w:r>
      <w:r>
        <w:rPr>
          <w:rFonts w:ascii="Calibri" w:hAnsi="Calibri" w:cs="Calibri"/>
          <w:color w:val="242424"/>
          <w:sz w:val="22"/>
          <w:szCs w:val="22"/>
        </w:rPr>
        <w:t xml:space="preserve">version of the </w:t>
      </w:r>
      <w:r w:rsidR="00A6342C">
        <w:rPr>
          <w:rFonts w:ascii="Calibri" w:hAnsi="Calibri" w:cs="Calibri"/>
          <w:color w:val="242424"/>
          <w:sz w:val="22"/>
          <w:szCs w:val="22"/>
        </w:rPr>
        <w:t xml:space="preserve">test </w:t>
      </w:r>
      <w:r>
        <w:rPr>
          <w:rFonts w:ascii="Calibri" w:hAnsi="Calibri" w:cs="Calibri"/>
          <w:color w:val="242424"/>
          <w:sz w:val="22"/>
          <w:szCs w:val="22"/>
        </w:rPr>
        <w:t xml:space="preserve">are </w:t>
      </w:r>
      <w:r w:rsidR="009640FF">
        <w:rPr>
          <w:rFonts w:ascii="Calibri" w:hAnsi="Calibri" w:cs="Calibri"/>
          <w:color w:val="242424"/>
          <w:sz w:val="22"/>
          <w:szCs w:val="22"/>
        </w:rPr>
        <w:t xml:space="preserve">permitted </w:t>
      </w:r>
      <w:r>
        <w:rPr>
          <w:rFonts w:ascii="Calibri" w:hAnsi="Calibri" w:cs="Calibri"/>
          <w:color w:val="242424"/>
          <w:sz w:val="22"/>
          <w:szCs w:val="22"/>
        </w:rPr>
        <w:t>to have this</w:t>
      </w:r>
      <w:r w:rsidR="00A6342C">
        <w:rPr>
          <w:rFonts w:ascii="Calibri" w:hAnsi="Calibri" w:cs="Calibri"/>
          <w:color w:val="242424"/>
          <w:sz w:val="22"/>
          <w:szCs w:val="22"/>
        </w:rPr>
        <w:t xml:space="preserve"> read-back functionality.  </w:t>
      </w:r>
    </w:p>
    <w:p w14:paraId="1AB1B38A" w14:textId="12ECAAC1" w:rsidR="00A6342C" w:rsidRDefault="00304943" w:rsidP="00A6342C">
      <w:pPr>
        <w:pStyle w:val="xmsonormal"/>
        <w:numPr>
          <w:ilvl w:val="0"/>
          <w:numId w:val="15"/>
        </w:numPr>
        <w:shd w:val="clear" w:color="auto" w:fill="FFFFFF"/>
        <w:spacing w:before="0" w:beforeAutospacing="0" w:after="160" w:afterAutospacing="0" w:line="233" w:lineRule="atLeast"/>
        <w:rPr>
          <w:rFonts w:ascii="Calibri" w:hAnsi="Calibri" w:cs="Calibri"/>
          <w:color w:val="242424"/>
          <w:sz w:val="22"/>
          <w:szCs w:val="22"/>
        </w:rPr>
      </w:pPr>
      <w:r>
        <w:rPr>
          <w:rFonts w:ascii="Calibri" w:hAnsi="Calibri" w:cs="Calibri"/>
          <w:color w:val="242424"/>
          <w:sz w:val="22"/>
          <w:szCs w:val="22"/>
        </w:rPr>
        <w:t>When s</w:t>
      </w:r>
      <w:r w:rsidR="00583F9E">
        <w:rPr>
          <w:rFonts w:ascii="Calibri" w:hAnsi="Calibri" w:cs="Calibri"/>
          <w:color w:val="242424"/>
          <w:sz w:val="22"/>
          <w:szCs w:val="22"/>
        </w:rPr>
        <w:t>tudents do not qualify</w:t>
      </w:r>
      <w:r w:rsidR="00A6342C">
        <w:rPr>
          <w:rFonts w:ascii="Calibri" w:hAnsi="Calibri" w:cs="Calibri"/>
          <w:color w:val="242424"/>
          <w:sz w:val="22"/>
          <w:szCs w:val="22"/>
        </w:rPr>
        <w:t xml:space="preserve"> </w:t>
      </w:r>
      <w:r w:rsidR="00583F9E">
        <w:rPr>
          <w:rFonts w:ascii="Calibri" w:hAnsi="Calibri" w:cs="Calibri"/>
          <w:color w:val="242424"/>
          <w:sz w:val="22"/>
          <w:szCs w:val="22"/>
        </w:rPr>
        <w:t>for</w:t>
      </w:r>
      <w:r w:rsidR="00A6342C">
        <w:rPr>
          <w:rFonts w:ascii="Calibri" w:hAnsi="Calibri" w:cs="Calibri"/>
          <w:color w:val="242424"/>
          <w:sz w:val="22"/>
          <w:szCs w:val="22"/>
        </w:rPr>
        <w:t xml:space="preserve"> an audio test, th</w:t>
      </w:r>
      <w:r w:rsidR="00583F9E">
        <w:rPr>
          <w:rFonts w:ascii="Calibri" w:hAnsi="Calibri" w:cs="Calibri"/>
          <w:color w:val="242424"/>
          <w:sz w:val="22"/>
          <w:szCs w:val="22"/>
        </w:rPr>
        <w:t>e</w:t>
      </w:r>
      <w:r w:rsidR="00A6342C">
        <w:rPr>
          <w:rFonts w:ascii="Calibri" w:hAnsi="Calibri" w:cs="Calibri"/>
          <w:color w:val="242424"/>
          <w:sz w:val="22"/>
          <w:szCs w:val="22"/>
        </w:rPr>
        <w:t xml:space="preserve"> read-back functionality will need to be addressed: </w:t>
      </w:r>
    </w:p>
    <w:p w14:paraId="2E4167F0" w14:textId="02AD61D4" w:rsidR="00A6342C" w:rsidRDefault="00A6342C" w:rsidP="00583F9E">
      <w:pPr>
        <w:pStyle w:val="xmsonormal"/>
        <w:numPr>
          <w:ilvl w:val="1"/>
          <w:numId w:val="15"/>
        </w:numPr>
        <w:shd w:val="clear" w:color="auto" w:fill="FFFFFF"/>
        <w:spacing w:before="0" w:beforeAutospacing="0" w:after="0" w:afterAutospacing="0" w:line="233" w:lineRule="atLeast"/>
        <w:rPr>
          <w:rFonts w:ascii="Calibri" w:hAnsi="Calibri" w:cs="Calibri"/>
          <w:color w:val="242424"/>
          <w:sz w:val="22"/>
          <w:szCs w:val="22"/>
        </w:rPr>
      </w:pPr>
      <w:r>
        <w:rPr>
          <w:rFonts w:ascii="Calibri" w:hAnsi="Calibri" w:cs="Calibri"/>
          <w:color w:val="242424"/>
          <w:sz w:val="22"/>
          <w:szCs w:val="22"/>
        </w:rPr>
        <w:t xml:space="preserve">For </w:t>
      </w:r>
      <w:r w:rsidR="00304943">
        <w:rPr>
          <w:rFonts w:ascii="Calibri" w:hAnsi="Calibri" w:cs="Calibri"/>
          <w:color w:val="242424"/>
          <w:sz w:val="22"/>
          <w:szCs w:val="22"/>
        </w:rPr>
        <w:t xml:space="preserve">a </w:t>
      </w:r>
      <w:r>
        <w:rPr>
          <w:rFonts w:ascii="Calibri" w:hAnsi="Calibri" w:cs="Calibri"/>
          <w:color w:val="242424"/>
          <w:sz w:val="22"/>
          <w:szCs w:val="22"/>
        </w:rPr>
        <w:t xml:space="preserve">student not using personal settings in </w:t>
      </w:r>
      <w:proofErr w:type="spellStart"/>
      <w:proofErr w:type="gramStart"/>
      <w:r>
        <w:rPr>
          <w:rFonts w:ascii="Calibri" w:hAnsi="Calibri" w:cs="Calibri"/>
          <w:color w:val="242424"/>
          <w:sz w:val="22"/>
          <w:szCs w:val="22"/>
        </w:rPr>
        <w:t>Co:Writer</w:t>
      </w:r>
      <w:proofErr w:type="spellEnd"/>
      <w:proofErr w:type="gramEnd"/>
      <w:r>
        <w:rPr>
          <w:rFonts w:ascii="Calibri" w:hAnsi="Calibri" w:cs="Calibri"/>
          <w:color w:val="242424"/>
          <w:sz w:val="22"/>
          <w:szCs w:val="22"/>
        </w:rPr>
        <w:t xml:space="preserve"> Universal or </w:t>
      </w:r>
      <w:r w:rsidR="004958A3">
        <w:rPr>
          <w:rFonts w:ascii="Calibri" w:hAnsi="Calibri" w:cs="Calibri"/>
          <w:color w:val="242424"/>
          <w:sz w:val="22"/>
          <w:szCs w:val="22"/>
        </w:rPr>
        <w:t xml:space="preserve">the </w:t>
      </w:r>
      <w:proofErr w:type="spellStart"/>
      <w:r>
        <w:rPr>
          <w:rFonts w:ascii="Calibri" w:hAnsi="Calibri" w:cs="Calibri"/>
          <w:color w:val="242424"/>
          <w:sz w:val="22"/>
          <w:szCs w:val="22"/>
        </w:rPr>
        <w:t>Read&amp;Write</w:t>
      </w:r>
      <w:proofErr w:type="spellEnd"/>
      <w:r w:rsidR="004958A3">
        <w:rPr>
          <w:rFonts w:ascii="Calibri" w:hAnsi="Calibri" w:cs="Calibri"/>
          <w:color w:val="242424"/>
          <w:sz w:val="22"/>
          <w:szCs w:val="22"/>
        </w:rPr>
        <w:t xml:space="preserve"> extension</w:t>
      </w:r>
      <w:r>
        <w:rPr>
          <w:rFonts w:ascii="Calibri" w:hAnsi="Calibri" w:cs="Calibri"/>
          <w:color w:val="242424"/>
          <w:sz w:val="22"/>
          <w:szCs w:val="22"/>
        </w:rPr>
        <w:t xml:space="preserve">, </w:t>
      </w:r>
      <w:r w:rsidR="00304943">
        <w:rPr>
          <w:rFonts w:ascii="Calibri" w:hAnsi="Calibri" w:cs="Calibri"/>
          <w:color w:val="242424"/>
          <w:sz w:val="22"/>
          <w:szCs w:val="22"/>
        </w:rPr>
        <w:t>have</w:t>
      </w:r>
      <w:r>
        <w:rPr>
          <w:rFonts w:ascii="Calibri" w:hAnsi="Calibri" w:cs="Calibri"/>
          <w:color w:val="242424"/>
          <w:sz w:val="22"/>
          <w:szCs w:val="22"/>
        </w:rPr>
        <w:t xml:space="preserve"> the student mute the computer by setting the speaker icon in TestNav to “0” or </w:t>
      </w:r>
      <w:r w:rsidR="00304943">
        <w:rPr>
          <w:rFonts w:ascii="Calibri" w:hAnsi="Calibri" w:cs="Calibri"/>
          <w:color w:val="242424"/>
          <w:sz w:val="22"/>
          <w:szCs w:val="22"/>
        </w:rPr>
        <w:t xml:space="preserve">by </w:t>
      </w:r>
      <w:r>
        <w:rPr>
          <w:rFonts w:ascii="Calibri" w:hAnsi="Calibri" w:cs="Calibri"/>
          <w:color w:val="242424"/>
          <w:sz w:val="22"/>
          <w:szCs w:val="22"/>
        </w:rPr>
        <w:t xml:space="preserve">muting the speakers on the </w:t>
      </w:r>
      <w:r w:rsidR="00304943">
        <w:rPr>
          <w:rFonts w:ascii="Calibri" w:hAnsi="Calibri" w:cs="Calibri"/>
          <w:color w:val="242424"/>
          <w:sz w:val="22"/>
          <w:szCs w:val="22"/>
        </w:rPr>
        <w:t xml:space="preserve">student’s </w:t>
      </w:r>
      <w:r>
        <w:rPr>
          <w:rFonts w:ascii="Calibri" w:hAnsi="Calibri" w:cs="Calibri"/>
          <w:color w:val="242424"/>
          <w:sz w:val="22"/>
          <w:szCs w:val="22"/>
        </w:rPr>
        <w:t>testing device.  </w:t>
      </w:r>
    </w:p>
    <w:p w14:paraId="3F2390B2" w14:textId="503A930C" w:rsidR="00583F9E" w:rsidRDefault="00A6342C" w:rsidP="00583F9E">
      <w:pPr>
        <w:pStyle w:val="xmsonormal"/>
        <w:numPr>
          <w:ilvl w:val="1"/>
          <w:numId w:val="15"/>
        </w:numPr>
        <w:shd w:val="clear" w:color="auto" w:fill="FFFFFF"/>
        <w:spacing w:before="0" w:beforeAutospacing="0" w:after="0" w:afterAutospacing="0" w:line="233" w:lineRule="atLeast"/>
        <w:rPr>
          <w:rFonts w:ascii="Calibri" w:hAnsi="Calibri" w:cs="Calibri"/>
          <w:color w:val="242424"/>
          <w:sz w:val="22"/>
          <w:szCs w:val="22"/>
        </w:rPr>
      </w:pPr>
      <w:r>
        <w:rPr>
          <w:rFonts w:ascii="Calibri" w:hAnsi="Calibri" w:cs="Calibri"/>
          <w:color w:val="242424"/>
          <w:sz w:val="22"/>
          <w:szCs w:val="22"/>
        </w:rPr>
        <w:t>For</w:t>
      </w:r>
      <w:r w:rsidR="00304943">
        <w:rPr>
          <w:rFonts w:ascii="Calibri" w:hAnsi="Calibri" w:cs="Calibri"/>
          <w:color w:val="242424"/>
          <w:sz w:val="22"/>
          <w:szCs w:val="22"/>
        </w:rPr>
        <w:t xml:space="preserve"> a</w:t>
      </w:r>
      <w:r>
        <w:rPr>
          <w:rFonts w:ascii="Calibri" w:hAnsi="Calibri" w:cs="Calibri"/>
          <w:color w:val="242424"/>
          <w:sz w:val="22"/>
          <w:szCs w:val="22"/>
        </w:rPr>
        <w:t xml:space="preserve"> student using personal settings in </w:t>
      </w:r>
      <w:proofErr w:type="spellStart"/>
      <w:proofErr w:type="gramStart"/>
      <w:r>
        <w:rPr>
          <w:rFonts w:ascii="Calibri" w:hAnsi="Calibri" w:cs="Calibri"/>
          <w:color w:val="242424"/>
          <w:sz w:val="22"/>
          <w:szCs w:val="22"/>
        </w:rPr>
        <w:t>Co:Writer</w:t>
      </w:r>
      <w:proofErr w:type="spellEnd"/>
      <w:proofErr w:type="gramEnd"/>
      <w:r>
        <w:rPr>
          <w:rFonts w:ascii="Calibri" w:hAnsi="Calibri" w:cs="Calibri"/>
          <w:color w:val="242424"/>
          <w:sz w:val="22"/>
          <w:szCs w:val="22"/>
        </w:rPr>
        <w:t xml:space="preserve"> Universal, </w:t>
      </w:r>
      <w:r w:rsidR="00304943">
        <w:rPr>
          <w:rFonts w:ascii="Calibri" w:hAnsi="Calibri" w:cs="Calibri"/>
          <w:color w:val="242424"/>
          <w:sz w:val="22"/>
          <w:szCs w:val="22"/>
        </w:rPr>
        <w:t>disable</w:t>
      </w:r>
      <w:r>
        <w:rPr>
          <w:rFonts w:ascii="Calibri" w:hAnsi="Calibri" w:cs="Calibri"/>
          <w:color w:val="242424"/>
          <w:sz w:val="22"/>
          <w:szCs w:val="22"/>
        </w:rPr>
        <w:t xml:space="preserve"> the read-back function before the student loads personal settings.  </w:t>
      </w:r>
    </w:p>
    <w:p w14:paraId="6B176354" w14:textId="77777777" w:rsidR="00583F9E" w:rsidRPr="00583F9E" w:rsidRDefault="00583F9E" w:rsidP="00583F9E">
      <w:pPr>
        <w:pStyle w:val="xmsonormal"/>
        <w:shd w:val="clear" w:color="auto" w:fill="FFFFFF"/>
        <w:spacing w:before="0" w:beforeAutospacing="0" w:after="0" w:afterAutospacing="0" w:line="233" w:lineRule="atLeast"/>
        <w:ind w:left="1800"/>
        <w:rPr>
          <w:rFonts w:ascii="Calibri" w:hAnsi="Calibri" w:cs="Calibri"/>
          <w:color w:val="242424"/>
          <w:sz w:val="22"/>
          <w:szCs w:val="22"/>
        </w:rPr>
      </w:pPr>
    </w:p>
    <w:p w14:paraId="14082CA4" w14:textId="2F503969" w:rsidR="00A6342C" w:rsidRPr="003405C2" w:rsidRDefault="00A6342C" w:rsidP="00954E27">
      <w:pPr>
        <w:pStyle w:val="xmsonormal"/>
        <w:numPr>
          <w:ilvl w:val="0"/>
          <w:numId w:val="15"/>
        </w:numPr>
        <w:shd w:val="clear" w:color="auto" w:fill="FFFFFF"/>
        <w:spacing w:before="0" w:beforeAutospacing="0" w:after="160" w:afterAutospacing="0" w:line="233" w:lineRule="atLeast"/>
      </w:pPr>
      <w:r>
        <w:rPr>
          <w:rFonts w:ascii="Calibri" w:hAnsi="Calibri" w:cs="Calibri"/>
          <w:color w:val="242424"/>
          <w:sz w:val="22"/>
          <w:szCs w:val="22"/>
        </w:rPr>
        <w:t>If a student experiences the read-back functionality while testing in a group, the examiner or proctor should assist the student with muting the computer and permit the student to continue testing. For</w:t>
      </w:r>
      <w:r w:rsidR="00304943">
        <w:rPr>
          <w:rFonts w:ascii="Calibri" w:hAnsi="Calibri" w:cs="Calibri"/>
          <w:color w:val="242424"/>
          <w:sz w:val="22"/>
          <w:szCs w:val="22"/>
        </w:rPr>
        <w:t xml:space="preserve">a </w:t>
      </w:r>
      <w:r>
        <w:rPr>
          <w:rFonts w:ascii="Calibri" w:hAnsi="Calibri" w:cs="Calibri"/>
          <w:color w:val="242424"/>
          <w:sz w:val="22"/>
          <w:szCs w:val="22"/>
        </w:rPr>
        <w:t xml:space="preserve">student who </w:t>
      </w:r>
      <w:r w:rsidR="00583F9E">
        <w:rPr>
          <w:rFonts w:ascii="Calibri" w:hAnsi="Calibri" w:cs="Calibri"/>
          <w:color w:val="242424"/>
          <w:sz w:val="22"/>
          <w:szCs w:val="22"/>
        </w:rPr>
        <w:t>use</w:t>
      </w:r>
      <w:r w:rsidR="00304943">
        <w:rPr>
          <w:rFonts w:ascii="Calibri" w:hAnsi="Calibri" w:cs="Calibri"/>
          <w:color w:val="242424"/>
          <w:sz w:val="22"/>
          <w:szCs w:val="22"/>
        </w:rPr>
        <w:t>s and loads personal settings in</w:t>
      </w:r>
      <w:r w:rsidR="00583F9E">
        <w:rPr>
          <w:rFonts w:ascii="Calibri" w:hAnsi="Calibri" w:cs="Calibri"/>
          <w:color w:val="242424"/>
          <w:sz w:val="22"/>
          <w:szCs w:val="22"/>
        </w:rPr>
        <w:t xml:space="preserve"> </w:t>
      </w:r>
      <w:proofErr w:type="spellStart"/>
      <w:proofErr w:type="gramStart"/>
      <w:r w:rsidR="00583F9E">
        <w:rPr>
          <w:rFonts w:ascii="Calibri" w:hAnsi="Calibri" w:cs="Calibri"/>
          <w:color w:val="242424"/>
          <w:sz w:val="22"/>
          <w:szCs w:val="22"/>
        </w:rPr>
        <w:t>Co:</w:t>
      </w:r>
      <w:r w:rsidR="00304943">
        <w:rPr>
          <w:rFonts w:ascii="Calibri" w:hAnsi="Calibri" w:cs="Calibri"/>
          <w:color w:val="242424"/>
          <w:sz w:val="22"/>
          <w:szCs w:val="22"/>
        </w:rPr>
        <w:t>W</w:t>
      </w:r>
      <w:r w:rsidR="00583F9E">
        <w:rPr>
          <w:rFonts w:ascii="Calibri" w:hAnsi="Calibri" w:cs="Calibri"/>
          <w:color w:val="242424"/>
          <w:sz w:val="22"/>
          <w:szCs w:val="22"/>
        </w:rPr>
        <w:t>riter</w:t>
      </w:r>
      <w:proofErr w:type="spellEnd"/>
      <w:proofErr w:type="gramEnd"/>
      <w:r w:rsidR="00583F9E">
        <w:rPr>
          <w:rFonts w:ascii="Calibri" w:hAnsi="Calibri" w:cs="Calibri"/>
          <w:color w:val="242424"/>
          <w:sz w:val="22"/>
          <w:szCs w:val="22"/>
        </w:rPr>
        <w:t xml:space="preserve"> Universal</w:t>
      </w:r>
      <w:r w:rsidR="00304943">
        <w:rPr>
          <w:rFonts w:ascii="Calibri" w:hAnsi="Calibri" w:cs="Calibri"/>
          <w:color w:val="242424"/>
          <w:sz w:val="22"/>
          <w:szCs w:val="22"/>
        </w:rPr>
        <w:t>,</w:t>
      </w:r>
      <w:r>
        <w:rPr>
          <w:rFonts w:ascii="Calibri" w:hAnsi="Calibri" w:cs="Calibri"/>
          <w:color w:val="242424"/>
          <w:sz w:val="22"/>
          <w:szCs w:val="22"/>
        </w:rPr>
        <w:t xml:space="preserve">, </w:t>
      </w:r>
      <w:r w:rsidR="00304943">
        <w:rPr>
          <w:rFonts w:ascii="Calibri" w:hAnsi="Calibri" w:cs="Calibri"/>
          <w:color w:val="242424"/>
          <w:sz w:val="22"/>
          <w:szCs w:val="22"/>
        </w:rPr>
        <w:t xml:space="preserve">direct </w:t>
      </w:r>
      <w:r>
        <w:rPr>
          <w:rFonts w:ascii="Calibri" w:hAnsi="Calibri" w:cs="Calibri"/>
          <w:color w:val="242424"/>
          <w:sz w:val="22"/>
          <w:szCs w:val="22"/>
        </w:rPr>
        <w:t xml:space="preserve">the student to exit the test, change the settings, and then resume the test. </w:t>
      </w:r>
    </w:p>
    <w:sectPr w:rsidR="00A6342C" w:rsidRPr="003405C2" w:rsidSect="009D0792">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28E"/>
    <w:multiLevelType w:val="hybridMultilevel"/>
    <w:tmpl w:val="48B0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469BC"/>
    <w:multiLevelType w:val="hybridMultilevel"/>
    <w:tmpl w:val="3430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41396"/>
    <w:multiLevelType w:val="hybridMultilevel"/>
    <w:tmpl w:val="0590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12DD8"/>
    <w:multiLevelType w:val="multilevel"/>
    <w:tmpl w:val="431A960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28E591F"/>
    <w:multiLevelType w:val="hybridMultilevel"/>
    <w:tmpl w:val="90C09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939EC"/>
    <w:multiLevelType w:val="hybridMultilevel"/>
    <w:tmpl w:val="5604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62EAF"/>
    <w:multiLevelType w:val="hybridMultilevel"/>
    <w:tmpl w:val="5FDC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A2263"/>
    <w:multiLevelType w:val="hybridMultilevel"/>
    <w:tmpl w:val="C776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976B1"/>
    <w:multiLevelType w:val="hybridMultilevel"/>
    <w:tmpl w:val="8A9C2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5A775B"/>
    <w:multiLevelType w:val="hybridMultilevel"/>
    <w:tmpl w:val="8D3A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4088F"/>
    <w:multiLevelType w:val="hybridMultilevel"/>
    <w:tmpl w:val="2F6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92CBE"/>
    <w:multiLevelType w:val="hybridMultilevel"/>
    <w:tmpl w:val="433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44037"/>
    <w:multiLevelType w:val="multilevel"/>
    <w:tmpl w:val="9D32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387DD5"/>
    <w:multiLevelType w:val="hybridMultilevel"/>
    <w:tmpl w:val="34DA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B5967"/>
    <w:multiLevelType w:val="hybridMultilevel"/>
    <w:tmpl w:val="2ED2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31F28"/>
    <w:multiLevelType w:val="hybridMultilevel"/>
    <w:tmpl w:val="E7C6151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9C72893"/>
    <w:multiLevelType w:val="hybridMultilevel"/>
    <w:tmpl w:val="8E5E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593521">
    <w:abstractNumId w:val="13"/>
  </w:num>
  <w:num w:numId="2" w16cid:durableId="478882268">
    <w:abstractNumId w:val="0"/>
  </w:num>
  <w:num w:numId="3" w16cid:durableId="901647136">
    <w:abstractNumId w:val="1"/>
  </w:num>
  <w:num w:numId="4" w16cid:durableId="291401629">
    <w:abstractNumId w:val="7"/>
  </w:num>
  <w:num w:numId="5" w16cid:durableId="1957517014">
    <w:abstractNumId w:val="5"/>
  </w:num>
  <w:num w:numId="6" w16cid:durableId="1210647246">
    <w:abstractNumId w:val="11"/>
  </w:num>
  <w:num w:numId="7" w16cid:durableId="838349943">
    <w:abstractNumId w:val="16"/>
  </w:num>
  <w:num w:numId="8" w16cid:durableId="1052273105">
    <w:abstractNumId w:val="10"/>
  </w:num>
  <w:num w:numId="9" w16cid:durableId="1306742078">
    <w:abstractNumId w:val="2"/>
  </w:num>
  <w:num w:numId="10" w16cid:durableId="1844128984">
    <w:abstractNumId w:val="4"/>
  </w:num>
  <w:num w:numId="11" w16cid:durableId="948465380">
    <w:abstractNumId w:val="14"/>
  </w:num>
  <w:num w:numId="12" w16cid:durableId="46802290">
    <w:abstractNumId w:val="6"/>
  </w:num>
  <w:num w:numId="13" w16cid:durableId="1201285293">
    <w:abstractNumId w:val="9"/>
  </w:num>
  <w:num w:numId="14" w16cid:durableId="579098815">
    <w:abstractNumId w:val="15"/>
  </w:num>
  <w:num w:numId="15" w16cid:durableId="2147237402">
    <w:abstractNumId w:val="3"/>
  </w:num>
  <w:num w:numId="16" w16cid:durableId="1906795924">
    <w:abstractNumId w:val="8"/>
  </w:num>
  <w:num w:numId="17" w16cid:durableId="1103958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8F"/>
    <w:rsid w:val="0001373F"/>
    <w:rsid w:val="0001622D"/>
    <w:rsid w:val="000419BD"/>
    <w:rsid w:val="00065899"/>
    <w:rsid w:val="0008134C"/>
    <w:rsid w:val="0008188B"/>
    <w:rsid w:val="00083661"/>
    <w:rsid w:val="00085B58"/>
    <w:rsid w:val="00096ED0"/>
    <w:rsid w:val="000C7377"/>
    <w:rsid w:val="000D46CC"/>
    <w:rsid w:val="000F4C53"/>
    <w:rsid w:val="00112351"/>
    <w:rsid w:val="00134362"/>
    <w:rsid w:val="0014027A"/>
    <w:rsid w:val="00182F9C"/>
    <w:rsid w:val="0018425A"/>
    <w:rsid w:val="00193E48"/>
    <w:rsid w:val="001A3526"/>
    <w:rsid w:val="001A78A3"/>
    <w:rsid w:val="001C754C"/>
    <w:rsid w:val="001D6F9C"/>
    <w:rsid w:val="001F286B"/>
    <w:rsid w:val="0020704F"/>
    <w:rsid w:val="002C2622"/>
    <w:rsid w:val="00304943"/>
    <w:rsid w:val="00312405"/>
    <w:rsid w:val="003250AC"/>
    <w:rsid w:val="00326F9F"/>
    <w:rsid w:val="00327E85"/>
    <w:rsid w:val="00331191"/>
    <w:rsid w:val="003405C2"/>
    <w:rsid w:val="003478DF"/>
    <w:rsid w:val="00352C8D"/>
    <w:rsid w:val="003808BB"/>
    <w:rsid w:val="00390298"/>
    <w:rsid w:val="003B0C5A"/>
    <w:rsid w:val="003C748F"/>
    <w:rsid w:val="003D3218"/>
    <w:rsid w:val="003E0C99"/>
    <w:rsid w:val="003E35B1"/>
    <w:rsid w:val="003E393B"/>
    <w:rsid w:val="003E77C2"/>
    <w:rsid w:val="003F0196"/>
    <w:rsid w:val="0040336F"/>
    <w:rsid w:val="00444368"/>
    <w:rsid w:val="00450A0C"/>
    <w:rsid w:val="00462392"/>
    <w:rsid w:val="00472067"/>
    <w:rsid w:val="00475AEB"/>
    <w:rsid w:val="004768E1"/>
    <w:rsid w:val="004958A3"/>
    <w:rsid w:val="004B134C"/>
    <w:rsid w:val="0050757D"/>
    <w:rsid w:val="0051556E"/>
    <w:rsid w:val="005252AC"/>
    <w:rsid w:val="00532E95"/>
    <w:rsid w:val="0057655D"/>
    <w:rsid w:val="00582158"/>
    <w:rsid w:val="005839E3"/>
    <w:rsid w:val="00583F9E"/>
    <w:rsid w:val="005873C5"/>
    <w:rsid w:val="005906ED"/>
    <w:rsid w:val="005B0FF2"/>
    <w:rsid w:val="005B2EAC"/>
    <w:rsid w:val="005D4B23"/>
    <w:rsid w:val="00614665"/>
    <w:rsid w:val="00616425"/>
    <w:rsid w:val="00620A17"/>
    <w:rsid w:val="00632FE0"/>
    <w:rsid w:val="006359D0"/>
    <w:rsid w:val="00635E95"/>
    <w:rsid w:val="00651E3A"/>
    <w:rsid w:val="0066766B"/>
    <w:rsid w:val="006A1C07"/>
    <w:rsid w:val="006C2727"/>
    <w:rsid w:val="00706595"/>
    <w:rsid w:val="007113C0"/>
    <w:rsid w:val="0071302D"/>
    <w:rsid w:val="00733C7F"/>
    <w:rsid w:val="00733F9E"/>
    <w:rsid w:val="00737EA5"/>
    <w:rsid w:val="007527C3"/>
    <w:rsid w:val="00753B2F"/>
    <w:rsid w:val="0078011C"/>
    <w:rsid w:val="00781A40"/>
    <w:rsid w:val="007B0EF1"/>
    <w:rsid w:val="0082583F"/>
    <w:rsid w:val="00842F7F"/>
    <w:rsid w:val="008564BF"/>
    <w:rsid w:val="008672BE"/>
    <w:rsid w:val="008745AE"/>
    <w:rsid w:val="008D3BA7"/>
    <w:rsid w:val="008E6286"/>
    <w:rsid w:val="008F1BE1"/>
    <w:rsid w:val="008F63FA"/>
    <w:rsid w:val="00954E27"/>
    <w:rsid w:val="009640FF"/>
    <w:rsid w:val="00982CA3"/>
    <w:rsid w:val="009A2EE8"/>
    <w:rsid w:val="009B26F3"/>
    <w:rsid w:val="009B4FF4"/>
    <w:rsid w:val="009D0792"/>
    <w:rsid w:val="009E1F04"/>
    <w:rsid w:val="009F1791"/>
    <w:rsid w:val="009F1CD8"/>
    <w:rsid w:val="009F77BE"/>
    <w:rsid w:val="00A16E80"/>
    <w:rsid w:val="00A17F6B"/>
    <w:rsid w:val="00A2524B"/>
    <w:rsid w:val="00A26042"/>
    <w:rsid w:val="00A3371E"/>
    <w:rsid w:val="00A6342C"/>
    <w:rsid w:val="00A81B1E"/>
    <w:rsid w:val="00A85E30"/>
    <w:rsid w:val="00A96E82"/>
    <w:rsid w:val="00AA2B25"/>
    <w:rsid w:val="00AA6BF5"/>
    <w:rsid w:val="00AC7AF7"/>
    <w:rsid w:val="00B24F85"/>
    <w:rsid w:val="00B37796"/>
    <w:rsid w:val="00B53CE0"/>
    <w:rsid w:val="00B54856"/>
    <w:rsid w:val="00BC7794"/>
    <w:rsid w:val="00BE1C0D"/>
    <w:rsid w:val="00BE390E"/>
    <w:rsid w:val="00BF050B"/>
    <w:rsid w:val="00BF4979"/>
    <w:rsid w:val="00C45657"/>
    <w:rsid w:val="00C50B2F"/>
    <w:rsid w:val="00C76929"/>
    <w:rsid w:val="00C77F9C"/>
    <w:rsid w:val="00CA3D42"/>
    <w:rsid w:val="00CB2749"/>
    <w:rsid w:val="00CB57DD"/>
    <w:rsid w:val="00CC73E2"/>
    <w:rsid w:val="00CD6521"/>
    <w:rsid w:val="00CDA9C2"/>
    <w:rsid w:val="00CE0CE1"/>
    <w:rsid w:val="00D0794A"/>
    <w:rsid w:val="00D17E03"/>
    <w:rsid w:val="00D21538"/>
    <w:rsid w:val="00D46C25"/>
    <w:rsid w:val="00D525A3"/>
    <w:rsid w:val="00D921E9"/>
    <w:rsid w:val="00DC1760"/>
    <w:rsid w:val="00DD5C0E"/>
    <w:rsid w:val="00DE2715"/>
    <w:rsid w:val="00DE5399"/>
    <w:rsid w:val="00E0331B"/>
    <w:rsid w:val="00E05CA5"/>
    <w:rsid w:val="00E601E6"/>
    <w:rsid w:val="00E60B32"/>
    <w:rsid w:val="00E93525"/>
    <w:rsid w:val="00EB2913"/>
    <w:rsid w:val="00EB4550"/>
    <w:rsid w:val="00EC32BE"/>
    <w:rsid w:val="00ED0124"/>
    <w:rsid w:val="00EE7C42"/>
    <w:rsid w:val="00EF636F"/>
    <w:rsid w:val="00F07FFA"/>
    <w:rsid w:val="00F10E59"/>
    <w:rsid w:val="00F17D20"/>
    <w:rsid w:val="00F239EA"/>
    <w:rsid w:val="00F46232"/>
    <w:rsid w:val="00F5704E"/>
    <w:rsid w:val="00F711DC"/>
    <w:rsid w:val="00FC7B90"/>
    <w:rsid w:val="00FD640F"/>
    <w:rsid w:val="0E5016EB"/>
    <w:rsid w:val="0E7FA423"/>
    <w:rsid w:val="0EE44F34"/>
    <w:rsid w:val="2C3A4B05"/>
    <w:rsid w:val="34439295"/>
    <w:rsid w:val="4311C9D7"/>
    <w:rsid w:val="482FB19C"/>
    <w:rsid w:val="528334D7"/>
    <w:rsid w:val="5285F75E"/>
    <w:rsid w:val="58BF9577"/>
    <w:rsid w:val="6A2A56B9"/>
    <w:rsid w:val="6EEDEDCB"/>
    <w:rsid w:val="7B71AC81"/>
    <w:rsid w:val="7BC48448"/>
    <w:rsid w:val="7F58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5D73"/>
  <w15:chartTrackingRefBased/>
  <w15:docId w15:val="{A39B9FD9-4085-442E-AA2D-543D6774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48F"/>
    <w:pPr>
      <w:ind w:left="720"/>
      <w:contextualSpacing/>
    </w:pPr>
  </w:style>
  <w:style w:type="table" w:styleId="TableGrid">
    <w:name w:val="Table Grid"/>
    <w:basedOn w:val="TableNormal"/>
    <w:uiPriority w:val="39"/>
    <w:rsid w:val="005B0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3FA"/>
    <w:rPr>
      <w:color w:val="0563C1" w:themeColor="hyperlink"/>
      <w:u w:val="single"/>
    </w:rPr>
  </w:style>
  <w:style w:type="character" w:styleId="UnresolvedMention">
    <w:name w:val="Unresolved Mention"/>
    <w:basedOn w:val="DefaultParagraphFont"/>
    <w:uiPriority w:val="99"/>
    <w:semiHidden/>
    <w:unhideWhenUsed/>
    <w:rsid w:val="008F63FA"/>
    <w:rPr>
      <w:color w:val="605E5C"/>
      <w:shd w:val="clear" w:color="auto" w:fill="E1DFDD"/>
    </w:rPr>
  </w:style>
  <w:style w:type="character" w:styleId="CommentReference">
    <w:name w:val="annotation reference"/>
    <w:basedOn w:val="DefaultParagraphFont"/>
    <w:uiPriority w:val="99"/>
    <w:semiHidden/>
    <w:unhideWhenUsed/>
    <w:rsid w:val="003808BB"/>
    <w:rPr>
      <w:sz w:val="16"/>
      <w:szCs w:val="16"/>
    </w:rPr>
  </w:style>
  <w:style w:type="paragraph" w:styleId="CommentText">
    <w:name w:val="annotation text"/>
    <w:basedOn w:val="Normal"/>
    <w:link w:val="CommentTextChar"/>
    <w:uiPriority w:val="99"/>
    <w:unhideWhenUsed/>
    <w:rsid w:val="003808BB"/>
    <w:pPr>
      <w:spacing w:line="240" w:lineRule="auto"/>
    </w:pPr>
    <w:rPr>
      <w:sz w:val="20"/>
      <w:szCs w:val="20"/>
    </w:rPr>
  </w:style>
  <w:style w:type="character" w:customStyle="1" w:styleId="CommentTextChar">
    <w:name w:val="Comment Text Char"/>
    <w:basedOn w:val="DefaultParagraphFont"/>
    <w:link w:val="CommentText"/>
    <w:uiPriority w:val="99"/>
    <w:rsid w:val="003808BB"/>
    <w:rPr>
      <w:sz w:val="20"/>
      <w:szCs w:val="20"/>
    </w:rPr>
  </w:style>
  <w:style w:type="paragraph" w:styleId="CommentSubject">
    <w:name w:val="annotation subject"/>
    <w:basedOn w:val="CommentText"/>
    <w:next w:val="CommentText"/>
    <w:link w:val="CommentSubjectChar"/>
    <w:uiPriority w:val="99"/>
    <w:semiHidden/>
    <w:unhideWhenUsed/>
    <w:rsid w:val="003808BB"/>
    <w:rPr>
      <w:b/>
      <w:bCs/>
    </w:rPr>
  </w:style>
  <w:style w:type="character" w:customStyle="1" w:styleId="CommentSubjectChar">
    <w:name w:val="Comment Subject Char"/>
    <w:basedOn w:val="CommentTextChar"/>
    <w:link w:val="CommentSubject"/>
    <w:uiPriority w:val="99"/>
    <w:semiHidden/>
    <w:rsid w:val="003808BB"/>
    <w:rPr>
      <w:b/>
      <w:bCs/>
      <w:sz w:val="20"/>
      <w:szCs w:val="20"/>
    </w:rPr>
  </w:style>
  <w:style w:type="character" w:styleId="Mention">
    <w:name w:val="Mention"/>
    <w:basedOn w:val="DefaultParagraphFont"/>
    <w:uiPriority w:val="99"/>
    <w:unhideWhenUsed/>
    <w:rsid w:val="00085B58"/>
    <w:rPr>
      <w:color w:val="2B579A"/>
      <w:shd w:val="clear" w:color="auto" w:fill="E1DFDD"/>
    </w:rPr>
  </w:style>
  <w:style w:type="paragraph" w:styleId="Revision">
    <w:name w:val="Revision"/>
    <w:hidden/>
    <w:uiPriority w:val="99"/>
    <w:semiHidden/>
    <w:rsid w:val="00EF636F"/>
    <w:pPr>
      <w:spacing w:after="0" w:line="240" w:lineRule="auto"/>
    </w:pPr>
  </w:style>
  <w:style w:type="character" w:styleId="FollowedHyperlink">
    <w:name w:val="FollowedHyperlink"/>
    <w:basedOn w:val="DefaultParagraphFont"/>
    <w:uiPriority w:val="99"/>
    <w:semiHidden/>
    <w:unhideWhenUsed/>
    <w:rsid w:val="0001373F"/>
    <w:rPr>
      <w:color w:val="954F72" w:themeColor="followedHyperlink"/>
      <w:u w:val="single"/>
    </w:rPr>
  </w:style>
  <w:style w:type="paragraph" w:customStyle="1" w:styleId="xmsonormal">
    <w:name w:val="x_msonormal"/>
    <w:basedOn w:val="Normal"/>
    <w:rsid w:val="00A63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3498">
      <w:bodyDiv w:val="1"/>
      <w:marLeft w:val="0"/>
      <w:marRight w:val="0"/>
      <w:marTop w:val="0"/>
      <w:marBottom w:val="0"/>
      <w:divBdr>
        <w:top w:val="none" w:sz="0" w:space="0" w:color="auto"/>
        <w:left w:val="none" w:sz="0" w:space="0" w:color="auto"/>
        <w:bottom w:val="none" w:sz="0" w:space="0" w:color="auto"/>
        <w:right w:val="none" w:sz="0" w:space="0" w:color="auto"/>
      </w:divBdr>
    </w:div>
    <w:div w:id="14553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s://download.pearsonaccessnext.com/virginia/va-practicetest-uat.html?links=1" TargetMode="Externa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3cb52e-5205-47b2-ab6f-c6f8e708714c">
      <Terms xmlns="http://schemas.microsoft.com/office/infopath/2007/PartnerControls"/>
    </lcf76f155ced4ddcb4097134ff3c332f>
    <TaxCatchAll xmlns="4f68373c-f791-447f-9ef4-79129bd81ba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83D8C778A4D14E9B9B400C1E801470" ma:contentTypeVersion="20" ma:contentTypeDescription="Create a new document." ma:contentTypeScope="" ma:versionID="2e0020fe011254134507c2634be2c4fd">
  <xsd:schema xmlns:xsd="http://www.w3.org/2001/XMLSchema" xmlns:xs="http://www.w3.org/2001/XMLSchema" xmlns:p="http://schemas.microsoft.com/office/2006/metadata/properties" xmlns:ns2="0f3cb52e-5205-47b2-ab6f-c6f8e708714c" xmlns:ns3="4f68373c-f791-447f-9ef4-79129bd81ba3" targetNamespace="http://schemas.microsoft.com/office/2006/metadata/properties" ma:root="true" ma:fieldsID="2ed6a297e541affa99a54d74f5e77206" ns2:_="" ns3:_="">
    <xsd:import namespace="0f3cb52e-5205-47b2-ab6f-c6f8e708714c"/>
    <xsd:import namespace="4f68373c-f791-447f-9ef4-79129bd81b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cb52e-5205-47b2-ab6f-c6f8e708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8373c-f791-447f-9ef4-79129bd81b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479e7e3-3838-4f44-b58f-cf243938ea81}" ma:internalName="TaxCatchAll" ma:showField="CatchAllData" ma:web="4f68373c-f791-447f-9ef4-79129bd81b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2287-AAFD-4C24-A999-31802BB4401D}">
  <ds:schemaRefs>
    <ds:schemaRef ds:uri="http://schemas.microsoft.com/sharepoint/v3/contenttype/forms"/>
  </ds:schemaRefs>
</ds:datastoreItem>
</file>

<file path=customXml/itemProps2.xml><?xml version="1.0" encoding="utf-8"?>
<ds:datastoreItem xmlns:ds="http://schemas.openxmlformats.org/officeDocument/2006/customXml" ds:itemID="{E8196CCE-1DD8-4085-9F04-24CBFD7B19D4}">
  <ds:schemaRefs>
    <ds:schemaRef ds:uri="http://purl.org/dc/elements/1.1/"/>
    <ds:schemaRef ds:uri="http://schemas.microsoft.com/office/2006/documentManagement/types"/>
    <ds:schemaRef ds:uri="http://purl.org/dc/dcmitype/"/>
    <ds:schemaRef ds:uri="http://schemas.microsoft.com/office/2006/metadata/properties"/>
    <ds:schemaRef ds:uri="4f68373c-f791-447f-9ef4-79129bd81ba3"/>
    <ds:schemaRef ds:uri="http://www.w3.org/XML/1998/namespace"/>
    <ds:schemaRef ds:uri="http://schemas.openxmlformats.org/package/2006/metadata/core-properties"/>
    <ds:schemaRef ds:uri="http://schemas.microsoft.com/office/infopath/2007/PartnerControls"/>
    <ds:schemaRef ds:uri="0f3cb52e-5205-47b2-ab6f-c6f8e708714c"/>
    <ds:schemaRef ds:uri="http://purl.org/dc/terms/"/>
  </ds:schemaRefs>
</ds:datastoreItem>
</file>

<file path=customXml/itemProps3.xml><?xml version="1.0" encoding="utf-8"?>
<ds:datastoreItem xmlns:ds="http://schemas.openxmlformats.org/officeDocument/2006/customXml" ds:itemID="{45DB8AF6-4454-43EA-A7BB-29045E19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cb52e-5205-47b2-ab6f-c6f8e708714c"/>
    <ds:schemaRef ds:uri="4f68373c-f791-447f-9ef4-79129bd81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110B2-D8DF-40B5-B297-E3C9ECD6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Procedures for Using Web Extensions in TestNav</vt:lpstr>
    </vt:vector>
  </TitlesOfParts>
  <Company/>
  <LinksUpToDate>false</LinksUpToDate>
  <CharactersWithSpaces>7154</CharactersWithSpaces>
  <SharedDoc>false</SharedDoc>
  <HLinks>
    <vt:vector size="6" baseType="variant">
      <vt:variant>
        <vt:i4>786515</vt:i4>
      </vt:variant>
      <vt:variant>
        <vt:i4>0</vt:i4>
      </vt:variant>
      <vt:variant>
        <vt:i4>0</vt:i4>
      </vt:variant>
      <vt:variant>
        <vt:i4>5</vt:i4>
      </vt:variant>
      <vt:variant>
        <vt:lpwstr>https://download.pearsonaccessnext.com/virginia/va-practicetest-uat.html?links=1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Using Web Extensions in TestNav</dc:title>
  <dc:subject/>
  <dc:creator>Christine Rutt</dc:creator>
  <cp:keywords/>
  <dc:description/>
  <cp:lastModifiedBy>Tsitsera, Chris (DOE)</cp:lastModifiedBy>
  <cp:revision>9</cp:revision>
  <dcterms:created xsi:type="dcterms:W3CDTF">2024-03-18T12:36:00Z</dcterms:created>
  <dcterms:modified xsi:type="dcterms:W3CDTF">2024-03-18T15:10:00Z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0x010100A683D8C778A4D14E9B9B400C1E801470</vt:lpwstr>
  </property>
  <property fmtid="{D5CDD505-2E9C-101B-9397-08002B2CF9AE}" pid="3" name="MediaServiceImageTags">
    <vt:lpwstr/>
  </property>
</Properties>
</file>