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3118" w14:textId="71C968C9" w:rsidR="00A85F3D" w:rsidRDefault="001F729B" w:rsidP="001F729B">
      <w:pPr>
        <w:pStyle w:val="BodyText"/>
        <w:jc w:val="center"/>
        <w:rPr>
          <w:sz w:val="20"/>
        </w:rPr>
      </w:pPr>
      <w:r>
        <w:rPr>
          <w:noProof/>
        </w:rPr>
        <w:drawing>
          <wp:inline distT="0" distB="0" distL="0" distR="0" wp14:anchorId="5F4157E3" wp14:editId="5BE13CD4">
            <wp:extent cx="3866515" cy="2653867"/>
            <wp:effectExtent l="0" t="0" r="0" b="0"/>
            <wp:docPr id="173731981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319810"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5872" cy="2660289"/>
                    </a:xfrm>
                    <a:prstGeom prst="rect">
                      <a:avLst/>
                    </a:prstGeom>
                  </pic:spPr>
                </pic:pic>
              </a:graphicData>
            </a:graphic>
          </wp:inline>
        </w:drawing>
      </w:r>
      <w:r w:rsidR="00EC0F05">
        <w:rPr>
          <w:noProof/>
        </w:rPr>
        <w:drawing>
          <wp:anchor distT="0" distB="0" distL="114300" distR="114300" simplePos="0" relativeHeight="251657728" behindDoc="1" locked="0" layoutInCell="1" allowOverlap="1" wp14:anchorId="5B641432" wp14:editId="71A56966">
            <wp:simplePos x="0" y="0"/>
            <wp:positionH relativeFrom="column">
              <wp:posOffset>-368300</wp:posOffset>
            </wp:positionH>
            <wp:positionV relativeFrom="paragraph">
              <wp:posOffset>-944245</wp:posOffset>
            </wp:positionV>
            <wp:extent cx="7772400" cy="10035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35540"/>
                    </a:xfrm>
                    <a:prstGeom prst="rect">
                      <a:avLst/>
                    </a:prstGeom>
                    <a:noFill/>
                  </pic:spPr>
                </pic:pic>
              </a:graphicData>
            </a:graphic>
            <wp14:sizeRelH relativeFrom="page">
              <wp14:pctWidth>0</wp14:pctWidth>
            </wp14:sizeRelH>
            <wp14:sizeRelV relativeFrom="page">
              <wp14:pctHeight>0</wp14:pctHeight>
            </wp14:sizeRelV>
          </wp:anchor>
        </w:drawing>
      </w:r>
    </w:p>
    <w:p w14:paraId="073E3119" w14:textId="77777777" w:rsidR="00A85F3D" w:rsidRDefault="00A85F3D">
      <w:pPr>
        <w:pStyle w:val="BodyText"/>
        <w:rPr>
          <w:sz w:val="20"/>
        </w:rPr>
      </w:pPr>
    </w:p>
    <w:p w14:paraId="073E311A" w14:textId="77777777" w:rsidR="00A85F3D" w:rsidRDefault="00A85F3D">
      <w:pPr>
        <w:pStyle w:val="BodyText"/>
        <w:rPr>
          <w:sz w:val="20"/>
        </w:rPr>
      </w:pPr>
    </w:p>
    <w:p w14:paraId="073E311B" w14:textId="77777777" w:rsidR="00A85F3D" w:rsidRDefault="00A85F3D">
      <w:pPr>
        <w:pStyle w:val="BodyText"/>
        <w:rPr>
          <w:sz w:val="20"/>
        </w:rPr>
      </w:pPr>
    </w:p>
    <w:p w14:paraId="54EF1838" w14:textId="77777777" w:rsidR="00F4168C" w:rsidRDefault="00F4168C" w:rsidP="00F4168C">
      <w:pPr>
        <w:spacing w:before="75"/>
        <w:ind w:right="903"/>
        <w:jc w:val="center"/>
        <w:rPr>
          <w:b/>
          <w:i/>
          <w:color w:val="FFFFFF"/>
          <w:sz w:val="56"/>
        </w:rPr>
      </w:pPr>
    </w:p>
    <w:p w14:paraId="073E3127" w14:textId="32507D99" w:rsidR="00A85F3D" w:rsidRPr="00B81576" w:rsidRDefault="002E412C" w:rsidP="00B81576">
      <w:pPr>
        <w:pStyle w:val="Title"/>
        <w:jc w:val="center"/>
        <w:rPr>
          <w:color w:val="FFFFFF" w:themeColor="background1"/>
        </w:rPr>
      </w:pPr>
      <w:r w:rsidRPr="00B81576">
        <w:rPr>
          <w:color w:val="FFFFFF" w:themeColor="background1"/>
        </w:rPr>
        <w:t>National Security Language Initiative (NSLI) Grant</w:t>
      </w:r>
      <w:r w:rsidR="00DB302E" w:rsidRPr="00B81576">
        <w:rPr>
          <w:color w:val="FFFFFF" w:themeColor="background1"/>
        </w:rPr>
        <w:t xml:space="preserve"> Application Process</w:t>
      </w:r>
    </w:p>
    <w:p w14:paraId="0E2E3AF0" w14:textId="77777777" w:rsidR="00B81576" w:rsidRDefault="00B81576" w:rsidP="00B81576">
      <w:pPr>
        <w:pStyle w:val="Subtitle"/>
        <w:rPr>
          <w:color w:val="FFFFFF" w:themeColor="background1"/>
        </w:rPr>
      </w:pPr>
    </w:p>
    <w:p w14:paraId="073E3128" w14:textId="199BEF0B" w:rsidR="00A85F3D" w:rsidRPr="00B81576" w:rsidRDefault="00EC0F05" w:rsidP="00B81576">
      <w:pPr>
        <w:pStyle w:val="Subtitle"/>
        <w:rPr>
          <w:color w:val="FFFFFF" w:themeColor="background1"/>
        </w:rPr>
      </w:pPr>
      <w:r w:rsidRPr="00B81576">
        <w:rPr>
          <w:color w:val="FFFFFF" w:themeColor="background1"/>
        </w:rPr>
        <w:t>PURSUANT TO ITEM 13</w:t>
      </w:r>
      <w:r w:rsidR="00B43C27" w:rsidRPr="00B81576">
        <w:rPr>
          <w:color w:val="FFFFFF" w:themeColor="background1"/>
        </w:rPr>
        <w:t>8.10</w:t>
      </w:r>
      <w:r w:rsidRPr="00B81576">
        <w:rPr>
          <w:color w:val="FFFFFF" w:themeColor="background1"/>
        </w:rPr>
        <w:t xml:space="preserve">, PARAGRAPH </w:t>
      </w:r>
      <w:r w:rsidR="00B31690" w:rsidRPr="00B81576">
        <w:rPr>
          <w:color w:val="FFFFFF" w:themeColor="background1"/>
        </w:rPr>
        <w:t>L</w:t>
      </w:r>
      <w:r w:rsidRPr="00B81576">
        <w:rPr>
          <w:color w:val="FFFFFF" w:themeColor="background1"/>
        </w:rPr>
        <w:t xml:space="preserve"> OF </w:t>
      </w:r>
      <w:r w:rsidR="00FC3B8E" w:rsidRPr="00B81576">
        <w:rPr>
          <w:color w:val="FFFFFF" w:themeColor="background1"/>
        </w:rPr>
        <w:t>THE APPROPRIATION</w:t>
      </w:r>
      <w:r w:rsidRPr="00B81576">
        <w:rPr>
          <w:color w:val="FFFFFF" w:themeColor="background1"/>
        </w:rPr>
        <w:t xml:space="preserve"> ACT</w:t>
      </w:r>
      <w:r w:rsidR="00912ED3" w:rsidRPr="00B81576">
        <w:rPr>
          <w:color w:val="FFFFFF" w:themeColor="background1"/>
        </w:rPr>
        <w:t xml:space="preserve"> as adopted on September 14, 2023</w:t>
      </w:r>
    </w:p>
    <w:p w14:paraId="073E3129" w14:textId="77777777" w:rsidR="00A85F3D" w:rsidRDefault="00A85F3D">
      <w:pPr>
        <w:pStyle w:val="BodyText"/>
        <w:rPr>
          <w:b/>
          <w:sz w:val="44"/>
        </w:rPr>
      </w:pPr>
    </w:p>
    <w:p w14:paraId="073E312A" w14:textId="77777777" w:rsidR="00A85F3D" w:rsidRDefault="00A85F3D">
      <w:pPr>
        <w:pStyle w:val="BodyText"/>
        <w:rPr>
          <w:b/>
          <w:sz w:val="44"/>
        </w:rPr>
      </w:pPr>
    </w:p>
    <w:p w14:paraId="073E312B" w14:textId="77777777" w:rsidR="00A85F3D" w:rsidRDefault="00A85F3D">
      <w:pPr>
        <w:pStyle w:val="BodyText"/>
        <w:rPr>
          <w:b/>
          <w:sz w:val="44"/>
        </w:rPr>
      </w:pPr>
    </w:p>
    <w:p w14:paraId="361DB2FD" w14:textId="77777777" w:rsidR="00F4168C" w:rsidRDefault="00F4168C" w:rsidP="00F4168C">
      <w:pPr>
        <w:spacing w:before="1"/>
        <w:ind w:right="903"/>
        <w:jc w:val="center"/>
        <w:rPr>
          <w:color w:val="FFFFFF"/>
          <w:sz w:val="48"/>
        </w:rPr>
      </w:pPr>
    </w:p>
    <w:p w14:paraId="3AAC4E6D" w14:textId="77777777" w:rsidR="00F4168C" w:rsidRDefault="00F4168C" w:rsidP="00F4168C">
      <w:pPr>
        <w:spacing w:before="1"/>
        <w:ind w:right="903"/>
        <w:jc w:val="center"/>
        <w:rPr>
          <w:color w:val="FFFFFF"/>
          <w:sz w:val="48"/>
        </w:rPr>
      </w:pPr>
    </w:p>
    <w:p w14:paraId="420CB14F" w14:textId="77777777" w:rsidR="00F4168C" w:rsidRDefault="00F4168C" w:rsidP="00F4168C">
      <w:pPr>
        <w:spacing w:before="1"/>
        <w:ind w:right="903"/>
        <w:jc w:val="center"/>
        <w:rPr>
          <w:color w:val="FFFFFF"/>
          <w:sz w:val="48"/>
        </w:rPr>
      </w:pPr>
    </w:p>
    <w:p w14:paraId="073E3133" w14:textId="048885AC" w:rsidR="00A85F3D" w:rsidRDefault="00EC0F05" w:rsidP="00F4168C">
      <w:pPr>
        <w:spacing w:before="1"/>
        <w:ind w:right="903"/>
        <w:jc w:val="center"/>
        <w:rPr>
          <w:sz w:val="48"/>
        </w:rPr>
      </w:pPr>
      <w:r>
        <w:rPr>
          <w:color w:val="FFFFFF"/>
          <w:sz w:val="48"/>
        </w:rPr>
        <w:t xml:space="preserve">VIRGINIA </w:t>
      </w:r>
      <w:r w:rsidR="00FC3488">
        <w:rPr>
          <w:color w:val="FFFFFF"/>
          <w:sz w:val="48"/>
        </w:rPr>
        <w:t>DEPARTMENT OF EDUCATION</w:t>
      </w:r>
      <w:r>
        <w:rPr>
          <w:color w:val="FFFFFF"/>
          <w:sz w:val="48"/>
        </w:rPr>
        <w:t xml:space="preserve"> </w:t>
      </w:r>
      <w:r w:rsidR="005D021A">
        <w:rPr>
          <w:color w:val="FFFFFF"/>
          <w:sz w:val="48"/>
        </w:rPr>
        <w:t>DECEMBER</w:t>
      </w:r>
      <w:r>
        <w:rPr>
          <w:color w:val="FFFFFF"/>
          <w:sz w:val="48"/>
        </w:rPr>
        <w:t xml:space="preserve"> 2023</w:t>
      </w:r>
    </w:p>
    <w:p w14:paraId="073E3134" w14:textId="77777777" w:rsidR="00A85F3D" w:rsidRDefault="00A85F3D">
      <w:pPr>
        <w:jc w:val="center"/>
        <w:rPr>
          <w:sz w:val="48"/>
        </w:rPr>
        <w:sectPr w:rsidR="00A85F3D">
          <w:type w:val="continuous"/>
          <w:pgSz w:w="12240" w:h="15840"/>
          <w:pgMar w:top="1500" w:right="580" w:bottom="280" w:left="580" w:header="720" w:footer="720" w:gutter="0"/>
          <w:cols w:space="720"/>
        </w:sectPr>
      </w:pPr>
    </w:p>
    <w:p w14:paraId="073E3135" w14:textId="3B816827" w:rsidR="00A85F3D" w:rsidRDefault="00EC0F05" w:rsidP="00790ECA">
      <w:pPr>
        <w:pStyle w:val="Title"/>
      </w:pPr>
      <w:r>
        <w:lastRenderedPageBreak/>
        <w:t xml:space="preserve">Guidelines </w:t>
      </w:r>
      <w:r w:rsidR="00FB4599">
        <w:t>for</w:t>
      </w:r>
      <w:r>
        <w:t xml:space="preserve"> the </w:t>
      </w:r>
      <w:r w:rsidR="006E5B81">
        <w:t>National Security Language Initiative (NSLI) Grant</w:t>
      </w:r>
      <w:r w:rsidR="00FB4599">
        <w:t xml:space="preserve"> Process for Fiscal Year 2024</w:t>
      </w:r>
    </w:p>
    <w:p w14:paraId="073E3136" w14:textId="77777777" w:rsidR="00A85F3D" w:rsidRDefault="00A85F3D">
      <w:pPr>
        <w:pStyle w:val="BodyText"/>
        <w:spacing w:before="11"/>
        <w:rPr>
          <w:b/>
          <w:sz w:val="47"/>
        </w:rPr>
      </w:pPr>
    </w:p>
    <w:p w14:paraId="073E3137" w14:textId="77777777" w:rsidR="00A85F3D" w:rsidRPr="0003143C" w:rsidRDefault="00EC0F05" w:rsidP="00B559FE">
      <w:pPr>
        <w:pStyle w:val="Heading1"/>
        <w:rPr>
          <w:color w:val="003A70"/>
        </w:rPr>
      </w:pPr>
      <w:bookmarkStart w:id="0" w:name="BACKGROUND"/>
      <w:bookmarkEnd w:id="0"/>
      <w:r w:rsidRPr="0003143C">
        <w:rPr>
          <w:color w:val="003A70"/>
        </w:rPr>
        <w:t>BACKGROUND</w:t>
      </w:r>
    </w:p>
    <w:p w14:paraId="6A6D7317" w14:textId="77777777" w:rsidR="00C4433E" w:rsidRDefault="00C4433E">
      <w:pPr>
        <w:pStyle w:val="BodyText"/>
        <w:ind w:left="680" w:right="848"/>
      </w:pPr>
    </w:p>
    <w:p w14:paraId="2858F3EB" w14:textId="03E51EE3" w:rsidR="0068733D" w:rsidRDefault="00595776">
      <w:pPr>
        <w:pStyle w:val="BodyText"/>
        <w:ind w:left="680" w:right="848"/>
      </w:pPr>
      <w:r w:rsidRPr="00595776">
        <w:t>PURSUANT TO ITEM 138.10, PARAGRAPH L OF THE APPROPRIATION ACT as adopted on September 14, 2023</w:t>
      </w:r>
      <w:r w:rsidR="00C4433E">
        <w:t>:</w:t>
      </w:r>
    </w:p>
    <w:p w14:paraId="527D30A3" w14:textId="77777777" w:rsidR="00595776" w:rsidRDefault="00595776">
      <w:pPr>
        <w:pStyle w:val="BodyText"/>
        <w:ind w:left="680" w:right="848"/>
        <w:rPr>
          <w:highlight w:val="yellow"/>
        </w:rPr>
      </w:pPr>
    </w:p>
    <w:p w14:paraId="1C29AC95" w14:textId="77777777" w:rsidR="007514CA" w:rsidRDefault="007514CA" w:rsidP="00C4433E">
      <w:pPr>
        <w:ind w:left="1440" w:right="1000"/>
        <w:rPr>
          <w:rFonts w:ascii="Calibri" w:hAnsi="Calibri" w:cs="Calibri"/>
          <w:i/>
          <w:iCs/>
          <w:color w:val="242424"/>
          <w:shd w:val="clear" w:color="auto" w:fill="FFFFFF"/>
        </w:rPr>
      </w:pPr>
      <w:r>
        <w:rPr>
          <w:rFonts w:ascii="Calibri" w:hAnsi="Calibri" w:cs="Calibri"/>
          <w:i/>
          <w:iCs/>
          <w:color w:val="242424"/>
          <w:shd w:val="clear" w:color="auto" w:fill="FFFFFF"/>
        </w:rPr>
        <w:t>L. Out of this appropriation, $150,000 the second year from the general fund is provided for Critical National Security Language Grants. The Department of Education shall award these competitive grants to school divisions that provide one or more foreign language courses in a foreign language that is currently identified as critical by the National Security Language Initiative for Youth scholarship program. Each grant shall be limited to an annual amount sufficient to provide one or more full-time equivalent teaching position to provide one or more critical foreign language courses. The Department shall establish guidelines for administering the program, including selection criteria that considers teacher experience and qualifications, student interest, class size and student to teacher ratios, and the number of courses to be taught.</w:t>
      </w:r>
    </w:p>
    <w:p w14:paraId="073E313A" w14:textId="77777777" w:rsidR="00A85F3D" w:rsidRPr="00567844" w:rsidRDefault="00A85F3D">
      <w:pPr>
        <w:pStyle w:val="BodyText"/>
        <w:spacing w:before="9"/>
        <w:rPr>
          <w:sz w:val="23"/>
          <w:highlight w:val="yellow"/>
        </w:rPr>
      </w:pPr>
    </w:p>
    <w:p w14:paraId="073E313B" w14:textId="3260C147" w:rsidR="00A85F3D" w:rsidRPr="00F91B68" w:rsidRDefault="00EC0F05">
      <w:pPr>
        <w:pStyle w:val="BodyText"/>
        <w:spacing w:before="1"/>
        <w:ind w:left="680" w:right="882"/>
      </w:pPr>
      <w:r w:rsidRPr="00F91B68">
        <w:t xml:space="preserve">The </w:t>
      </w:r>
      <w:r w:rsidR="0003143C">
        <w:t>Department</w:t>
      </w:r>
      <w:r w:rsidRPr="00F91B68">
        <w:t xml:space="preserve"> of Education is required to develop guidelines for the administration of the program to include certain minimum requirements as established in these guidelines. The </w:t>
      </w:r>
      <w:r w:rsidR="00E66D05" w:rsidRPr="00F91B68">
        <w:t>grant</w:t>
      </w:r>
      <w:r w:rsidRPr="00F91B68">
        <w:t xml:space="preserve"> funding is awarded based on competitive criteria through a school division application process. These guidelines establish the competitive criteria and criteria point values used in evaluating school division applications for awarding grant funding to eligible public school </w:t>
      </w:r>
      <w:r w:rsidR="00E66D05" w:rsidRPr="00F91B68">
        <w:t>division</w:t>
      </w:r>
      <w:r w:rsidR="00F91B68" w:rsidRPr="00F91B68">
        <w:t xml:space="preserve"> programs.</w:t>
      </w:r>
    </w:p>
    <w:p w14:paraId="073E313C" w14:textId="77777777" w:rsidR="00A85F3D" w:rsidRPr="00567844" w:rsidRDefault="00A85F3D">
      <w:pPr>
        <w:pStyle w:val="BodyText"/>
        <w:rPr>
          <w:highlight w:val="yellow"/>
        </w:rPr>
      </w:pPr>
    </w:p>
    <w:p w14:paraId="073E3140" w14:textId="77777777" w:rsidR="00A85F3D" w:rsidRPr="0017759A" w:rsidRDefault="00EC0F05">
      <w:pPr>
        <w:pStyle w:val="Heading1"/>
        <w:spacing w:line="413" w:lineRule="exact"/>
      </w:pPr>
      <w:bookmarkStart w:id="1" w:name="APPLICABILITY_OF_THE_GUIDELINES"/>
      <w:bookmarkEnd w:id="1"/>
      <w:r w:rsidRPr="0017759A">
        <w:rPr>
          <w:color w:val="003A70"/>
        </w:rPr>
        <w:t>OPEN APPLICATION PROCESS</w:t>
      </w:r>
    </w:p>
    <w:p w14:paraId="073E3141" w14:textId="67329971" w:rsidR="00A85F3D" w:rsidRPr="0017759A" w:rsidRDefault="00EC0F05">
      <w:pPr>
        <w:pStyle w:val="BodyText"/>
        <w:ind w:left="679" w:right="896"/>
      </w:pPr>
      <w:r w:rsidRPr="0017759A">
        <w:t xml:space="preserve">School divisions may apply for </w:t>
      </w:r>
      <w:r w:rsidR="00A77C08" w:rsidRPr="0017759A">
        <w:t>National Security Language Initiative (NSLI) grant</w:t>
      </w:r>
      <w:r w:rsidRPr="0017759A">
        <w:t xml:space="preserve"> funding during an open application period using an online form in </w:t>
      </w:r>
      <w:r w:rsidR="00A77C08" w:rsidRPr="0017759A">
        <w:t xml:space="preserve">the </w:t>
      </w:r>
      <w:proofErr w:type="spellStart"/>
      <w:r w:rsidR="00A77C08" w:rsidRPr="0017759A">
        <w:t>SMApply</w:t>
      </w:r>
      <w:proofErr w:type="spellEnd"/>
      <w:r w:rsidR="00A77C08" w:rsidRPr="0017759A">
        <w:t xml:space="preserve"> system</w:t>
      </w:r>
      <w:r w:rsidRPr="0017759A">
        <w:t>. The open application period is announced by the Department to school divisions through a Superintendent’s Memorandum at a time determined by the Department, including establishing the specific beginning and end dates of the open application period. Online applications not submitted by the established open application period deadline may be disqualified from consideration. The Department will prioritize conducting the open application process as early as possible each fiscal year the program is funded in the appropriation act</w:t>
      </w:r>
      <w:r w:rsidR="0017759A" w:rsidRPr="0017759A">
        <w:t>.</w:t>
      </w:r>
    </w:p>
    <w:p w14:paraId="073E3143" w14:textId="0092A1C6" w:rsidR="00A85F3D" w:rsidRDefault="00EC0F05">
      <w:pPr>
        <w:pStyle w:val="BodyText"/>
        <w:spacing w:before="79"/>
        <w:ind w:left="680" w:right="848"/>
      </w:pPr>
      <w:r>
        <w:t xml:space="preserve">After the open application period has closed, </w:t>
      </w:r>
      <w:r w:rsidR="441B4213">
        <w:t>grant</w:t>
      </w:r>
      <w:r>
        <w:t xml:space="preserve"> applications are reviewed by Department staff for consideration for funding. After the Department review period is completed, </w:t>
      </w:r>
      <w:r w:rsidR="00FF5163">
        <w:t xml:space="preserve">status notifications and </w:t>
      </w:r>
      <w:r w:rsidR="006B33FC">
        <w:t>f</w:t>
      </w:r>
      <w:r>
        <w:t xml:space="preserve">unding awards </w:t>
      </w:r>
      <w:r w:rsidR="006B33FC">
        <w:t>will be</w:t>
      </w:r>
      <w:r w:rsidR="00FF5163">
        <w:t xml:space="preserve"> sent to each applicant.</w:t>
      </w:r>
    </w:p>
    <w:p w14:paraId="741F269F" w14:textId="77777777" w:rsidR="00BE0C8D" w:rsidRPr="00FF5163" w:rsidRDefault="00BE0C8D">
      <w:pPr>
        <w:pStyle w:val="BodyText"/>
        <w:spacing w:before="79"/>
        <w:ind w:left="680" w:right="848"/>
      </w:pPr>
    </w:p>
    <w:p w14:paraId="073E3144" w14:textId="77777777" w:rsidR="00A85F3D" w:rsidRPr="00567844" w:rsidRDefault="00A85F3D">
      <w:pPr>
        <w:pStyle w:val="BodyText"/>
        <w:spacing w:before="1"/>
        <w:rPr>
          <w:highlight w:val="yellow"/>
        </w:rPr>
      </w:pPr>
    </w:p>
    <w:p w14:paraId="073E3145" w14:textId="77777777" w:rsidR="00A85F3D" w:rsidRPr="00FF5163" w:rsidRDefault="00EC0F05">
      <w:pPr>
        <w:pStyle w:val="Heading1"/>
        <w:ind w:right="1189"/>
      </w:pPr>
      <w:bookmarkStart w:id="2" w:name="APPLICATION_PROCEDURES,_REQUIREMENTS,_AN"/>
      <w:bookmarkEnd w:id="2"/>
      <w:r w:rsidRPr="00FF5163">
        <w:rPr>
          <w:color w:val="003A70"/>
        </w:rPr>
        <w:lastRenderedPageBreak/>
        <w:t>APPLICATION PROCEDURES, REQUIREMENTS, AND CRITERIA</w:t>
      </w:r>
    </w:p>
    <w:p w14:paraId="414AD985" w14:textId="1DE06321" w:rsidR="0067424B" w:rsidRPr="0067424B" w:rsidRDefault="0067424B" w:rsidP="0067424B">
      <w:pPr>
        <w:pStyle w:val="BodyText"/>
        <w:spacing w:before="11"/>
        <w:ind w:left="720"/>
        <w:rPr>
          <w:szCs w:val="22"/>
        </w:rPr>
      </w:pPr>
      <w:r w:rsidRPr="0067424B">
        <w:rPr>
          <w:szCs w:val="22"/>
        </w:rPr>
        <w:t>The</w:t>
      </w:r>
      <w:r>
        <w:rPr>
          <w:szCs w:val="22"/>
        </w:rPr>
        <w:t xml:space="preserve"> NSLI</w:t>
      </w:r>
      <w:r w:rsidRPr="0067424B">
        <w:rPr>
          <w:szCs w:val="22"/>
        </w:rPr>
        <w:t xml:space="preserve"> grants aim to support school divisions that offer world language courses in languages deemed critical by the National Security Language Initiative for Youth scholarship program. </w:t>
      </w:r>
    </w:p>
    <w:p w14:paraId="4045FD79" w14:textId="49244C78" w:rsidR="0067424B" w:rsidRPr="0067424B" w:rsidRDefault="00D554AE" w:rsidP="0067424B">
      <w:pPr>
        <w:pStyle w:val="BodyText"/>
        <w:spacing w:before="11"/>
        <w:ind w:left="720"/>
        <w:rPr>
          <w:szCs w:val="22"/>
        </w:rPr>
      </w:pPr>
      <w:r>
        <w:rPr>
          <w:szCs w:val="22"/>
        </w:rPr>
        <w:t>Eligible languages for the</w:t>
      </w:r>
      <w:r w:rsidR="0067424B" w:rsidRPr="0067424B">
        <w:rPr>
          <w:szCs w:val="22"/>
        </w:rPr>
        <w:t xml:space="preserve"> 2023-2024 </w:t>
      </w:r>
      <w:r>
        <w:rPr>
          <w:szCs w:val="22"/>
        </w:rPr>
        <w:t xml:space="preserve">grant cycle </w:t>
      </w:r>
      <w:r w:rsidR="0067424B" w:rsidRPr="0067424B">
        <w:rPr>
          <w:szCs w:val="22"/>
        </w:rPr>
        <w:t>include:</w:t>
      </w:r>
    </w:p>
    <w:p w14:paraId="5819D2F6" w14:textId="77777777" w:rsidR="0067424B" w:rsidRPr="0067424B" w:rsidRDefault="0067424B" w:rsidP="00D554AE">
      <w:pPr>
        <w:pStyle w:val="BodyText"/>
        <w:numPr>
          <w:ilvl w:val="0"/>
          <w:numId w:val="6"/>
        </w:numPr>
        <w:spacing w:before="11"/>
        <w:rPr>
          <w:szCs w:val="22"/>
        </w:rPr>
      </w:pPr>
      <w:r w:rsidRPr="0067424B">
        <w:rPr>
          <w:szCs w:val="22"/>
        </w:rPr>
        <w:t>Arabic</w:t>
      </w:r>
      <w:r w:rsidRPr="0067424B">
        <w:rPr>
          <w:szCs w:val="22"/>
        </w:rPr>
        <w:tab/>
      </w:r>
    </w:p>
    <w:p w14:paraId="71BF168F" w14:textId="77777777" w:rsidR="0067424B" w:rsidRPr="0067424B" w:rsidRDefault="0067424B" w:rsidP="00D554AE">
      <w:pPr>
        <w:pStyle w:val="BodyText"/>
        <w:numPr>
          <w:ilvl w:val="0"/>
          <w:numId w:val="6"/>
        </w:numPr>
        <w:spacing w:before="11"/>
        <w:rPr>
          <w:szCs w:val="22"/>
        </w:rPr>
      </w:pPr>
      <w:r w:rsidRPr="0067424B">
        <w:rPr>
          <w:szCs w:val="22"/>
        </w:rPr>
        <w:t>Chinese (mandarin)</w:t>
      </w:r>
    </w:p>
    <w:p w14:paraId="4AD15B11" w14:textId="77777777" w:rsidR="0067424B" w:rsidRPr="0067424B" w:rsidRDefault="0067424B" w:rsidP="00D554AE">
      <w:pPr>
        <w:pStyle w:val="BodyText"/>
        <w:numPr>
          <w:ilvl w:val="0"/>
          <w:numId w:val="6"/>
        </w:numPr>
        <w:spacing w:before="11"/>
        <w:rPr>
          <w:szCs w:val="22"/>
        </w:rPr>
      </w:pPr>
      <w:r w:rsidRPr="0067424B">
        <w:rPr>
          <w:szCs w:val="22"/>
        </w:rPr>
        <w:t>Hindi</w:t>
      </w:r>
    </w:p>
    <w:p w14:paraId="5C9F8366" w14:textId="77777777" w:rsidR="0067424B" w:rsidRPr="0067424B" w:rsidRDefault="0067424B" w:rsidP="00D554AE">
      <w:pPr>
        <w:pStyle w:val="BodyText"/>
        <w:numPr>
          <w:ilvl w:val="0"/>
          <w:numId w:val="6"/>
        </w:numPr>
        <w:spacing w:before="11"/>
        <w:rPr>
          <w:szCs w:val="22"/>
        </w:rPr>
      </w:pPr>
      <w:r w:rsidRPr="0067424B">
        <w:rPr>
          <w:szCs w:val="22"/>
        </w:rPr>
        <w:t>Indonesian</w:t>
      </w:r>
    </w:p>
    <w:p w14:paraId="6E80D34B" w14:textId="77777777" w:rsidR="0067424B" w:rsidRPr="0067424B" w:rsidRDefault="0067424B" w:rsidP="00D554AE">
      <w:pPr>
        <w:pStyle w:val="BodyText"/>
        <w:numPr>
          <w:ilvl w:val="0"/>
          <w:numId w:val="6"/>
        </w:numPr>
        <w:spacing w:before="11"/>
        <w:rPr>
          <w:szCs w:val="22"/>
        </w:rPr>
      </w:pPr>
      <w:r w:rsidRPr="0067424B">
        <w:rPr>
          <w:szCs w:val="22"/>
        </w:rPr>
        <w:t>Korean</w:t>
      </w:r>
    </w:p>
    <w:p w14:paraId="5F36CC05" w14:textId="77777777" w:rsidR="0067424B" w:rsidRPr="0067424B" w:rsidRDefault="0067424B" w:rsidP="00D554AE">
      <w:pPr>
        <w:pStyle w:val="BodyText"/>
        <w:numPr>
          <w:ilvl w:val="0"/>
          <w:numId w:val="6"/>
        </w:numPr>
        <w:spacing w:before="11"/>
        <w:rPr>
          <w:szCs w:val="22"/>
        </w:rPr>
      </w:pPr>
      <w:r w:rsidRPr="0067424B">
        <w:rPr>
          <w:szCs w:val="22"/>
        </w:rPr>
        <w:t>Persian (Tajiki)</w:t>
      </w:r>
    </w:p>
    <w:p w14:paraId="543DCBAF" w14:textId="77777777" w:rsidR="0067424B" w:rsidRPr="0067424B" w:rsidRDefault="0067424B" w:rsidP="00D554AE">
      <w:pPr>
        <w:pStyle w:val="BodyText"/>
        <w:numPr>
          <w:ilvl w:val="0"/>
          <w:numId w:val="6"/>
        </w:numPr>
        <w:spacing w:before="11"/>
        <w:rPr>
          <w:szCs w:val="22"/>
        </w:rPr>
      </w:pPr>
      <w:r w:rsidRPr="0067424B">
        <w:rPr>
          <w:szCs w:val="22"/>
        </w:rPr>
        <w:t>Russian</w:t>
      </w:r>
    </w:p>
    <w:p w14:paraId="61BBD9AE" w14:textId="77777777" w:rsidR="0067424B" w:rsidRPr="0067424B" w:rsidRDefault="0067424B" w:rsidP="00D554AE">
      <w:pPr>
        <w:pStyle w:val="BodyText"/>
        <w:numPr>
          <w:ilvl w:val="0"/>
          <w:numId w:val="6"/>
        </w:numPr>
        <w:spacing w:before="11"/>
        <w:rPr>
          <w:szCs w:val="22"/>
        </w:rPr>
      </w:pPr>
      <w:r w:rsidRPr="0067424B">
        <w:rPr>
          <w:szCs w:val="22"/>
        </w:rPr>
        <w:t>Turkish</w:t>
      </w:r>
    </w:p>
    <w:p w14:paraId="073E3147" w14:textId="77777777" w:rsidR="00A85F3D" w:rsidRPr="00567844" w:rsidRDefault="00A85F3D">
      <w:pPr>
        <w:pStyle w:val="BodyText"/>
        <w:spacing w:before="11"/>
        <w:rPr>
          <w:sz w:val="23"/>
          <w:highlight w:val="yellow"/>
        </w:rPr>
      </w:pPr>
    </w:p>
    <w:p w14:paraId="073E3168" w14:textId="77777777" w:rsidR="00A85F3D" w:rsidRPr="00567844" w:rsidRDefault="00A85F3D">
      <w:pPr>
        <w:pStyle w:val="BodyText"/>
        <w:rPr>
          <w:highlight w:val="yellow"/>
        </w:rPr>
      </w:pPr>
    </w:p>
    <w:p w14:paraId="073E3169" w14:textId="77777777" w:rsidR="00A85F3D" w:rsidRPr="00504252" w:rsidRDefault="00EC0F05">
      <w:pPr>
        <w:pStyle w:val="ListParagraph"/>
        <w:numPr>
          <w:ilvl w:val="0"/>
          <w:numId w:val="3"/>
        </w:numPr>
        <w:tabs>
          <w:tab w:val="left" w:pos="952"/>
        </w:tabs>
        <w:ind w:right="963"/>
        <w:jc w:val="left"/>
        <w:rPr>
          <w:sz w:val="24"/>
        </w:rPr>
      </w:pPr>
      <w:r w:rsidRPr="00504252">
        <w:rPr>
          <w:sz w:val="24"/>
        </w:rPr>
        <w:t>If qualifying grant award requests exceed the amount of funds available, grants are awarded based on ranked project scores, and grant amounts are not prorated. However, the last project funded based on ranked project scores may be partially funded based on the remaining funds available. In the event multiple eligible projects have the same ranked project scores and would be the last project funded with available funding, the project associated with the lowest school division composite index is given priority for award of any remaining</w:t>
      </w:r>
      <w:r w:rsidRPr="00504252">
        <w:rPr>
          <w:spacing w:val="-6"/>
          <w:sz w:val="24"/>
        </w:rPr>
        <w:t xml:space="preserve"> </w:t>
      </w:r>
      <w:r w:rsidRPr="00504252">
        <w:rPr>
          <w:sz w:val="24"/>
        </w:rPr>
        <w:t>funding.</w:t>
      </w:r>
    </w:p>
    <w:p w14:paraId="073E316A" w14:textId="77777777" w:rsidR="00A85F3D" w:rsidRPr="00377680" w:rsidRDefault="00A85F3D">
      <w:pPr>
        <w:pStyle w:val="BodyText"/>
      </w:pPr>
    </w:p>
    <w:p w14:paraId="073E316B" w14:textId="62112B6B" w:rsidR="00A85F3D" w:rsidRPr="00377680" w:rsidRDefault="00EC0F05">
      <w:pPr>
        <w:pStyle w:val="ListParagraph"/>
        <w:numPr>
          <w:ilvl w:val="0"/>
          <w:numId w:val="3"/>
        </w:numPr>
        <w:tabs>
          <w:tab w:val="left" w:pos="952"/>
        </w:tabs>
        <w:ind w:right="966"/>
        <w:jc w:val="left"/>
        <w:rPr>
          <w:sz w:val="24"/>
        </w:rPr>
      </w:pPr>
      <w:r w:rsidRPr="00377680">
        <w:rPr>
          <w:sz w:val="24"/>
        </w:rPr>
        <w:t xml:space="preserve">The release of funds to grant awardees </w:t>
      </w:r>
      <w:r w:rsidR="00377680" w:rsidRPr="00377680">
        <w:rPr>
          <w:sz w:val="24"/>
        </w:rPr>
        <w:t>will be scheduled following notification of grant acceptance, and will be</w:t>
      </w:r>
      <w:r w:rsidRPr="00377680">
        <w:rPr>
          <w:sz w:val="24"/>
        </w:rPr>
        <w:t xml:space="preserve"> advanced in a single, total payment following award of grant</w:t>
      </w:r>
      <w:r w:rsidRPr="00377680">
        <w:rPr>
          <w:spacing w:val="-2"/>
          <w:sz w:val="24"/>
        </w:rPr>
        <w:t xml:space="preserve"> </w:t>
      </w:r>
      <w:r w:rsidRPr="00377680">
        <w:rPr>
          <w:sz w:val="24"/>
        </w:rPr>
        <w:t>funds.</w:t>
      </w:r>
    </w:p>
    <w:p w14:paraId="073E316C" w14:textId="77777777" w:rsidR="00A85F3D" w:rsidRPr="00567844" w:rsidRDefault="00A85F3D">
      <w:pPr>
        <w:pStyle w:val="BodyText"/>
        <w:rPr>
          <w:highlight w:val="yellow"/>
        </w:rPr>
      </w:pPr>
    </w:p>
    <w:p w14:paraId="073E316F" w14:textId="01A04E9D" w:rsidR="00A85F3D" w:rsidRPr="00EA5047" w:rsidRDefault="00EC0F05" w:rsidP="60FEAE0E">
      <w:pPr>
        <w:pStyle w:val="ListParagraph"/>
        <w:numPr>
          <w:ilvl w:val="0"/>
          <w:numId w:val="3"/>
        </w:numPr>
        <w:tabs>
          <w:tab w:val="left" w:pos="952"/>
        </w:tabs>
        <w:ind w:right="1286" w:hanging="363"/>
        <w:jc w:val="left"/>
        <w:rPr>
          <w:sz w:val="24"/>
          <w:szCs w:val="24"/>
        </w:rPr>
      </w:pPr>
      <w:r w:rsidRPr="60FEAE0E">
        <w:rPr>
          <w:sz w:val="24"/>
          <w:szCs w:val="24"/>
        </w:rPr>
        <w:t xml:space="preserve">Grants are awarded by the </w:t>
      </w:r>
      <w:r w:rsidR="00377680" w:rsidRPr="60FEAE0E">
        <w:rPr>
          <w:sz w:val="24"/>
          <w:szCs w:val="24"/>
        </w:rPr>
        <w:t xml:space="preserve">Department </w:t>
      </w:r>
      <w:r w:rsidRPr="60FEAE0E">
        <w:rPr>
          <w:sz w:val="24"/>
          <w:szCs w:val="24"/>
        </w:rPr>
        <w:t>of Education on a competitive basis using ranked project scores based on the criteria information included in the submitted program applications</w:t>
      </w:r>
      <w:r w:rsidR="4F8239A5" w:rsidRPr="60FEAE0E">
        <w:rPr>
          <w:sz w:val="24"/>
          <w:szCs w:val="24"/>
        </w:rPr>
        <w:t>.</w:t>
      </w:r>
      <w:r w:rsidRPr="60FEAE0E">
        <w:rPr>
          <w:sz w:val="24"/>
          <w:szCs w:val="24"/>
        </w:rPr>
        <w:t xml:space="preserve"> School divisions applying for a grant must (i) indicate the estimated</w:t>
      </w:r>
      <w:r w:rsidR="001B7D81" w:rsidRPr="60FEAE0E">
        <w:rPr>
          <w:sz w:val="24"/>
          <w:szCs w:val="24"/>
        </w:rPr>
        <w:t xml:space="preserve"> new or increased </w:t>
      </w:r>
      <w:r w:rsidRPr="60FEAE0E">
        <w:rPr>
          <w:sz w:val="24"/>
          <w:szCs w:val="24"/>
        </w:rPr>
        <w:t xml:space="preserve">costs </w:t>
      </w:r>
      <w:r w:rsidR="001B7D81" w:rsidRPr="60FEAE0E">
        <w:rPr>
          <w:sz w:val="24"/>
          <w:szCs w:val="24"/>
        </w:rPr>
        <w:t xml:space="preserve">to be incurred </w:t>
      </w:r>
      <w:bookmarkStart w:id="3" w:name="_Int_PuiNuy0b"/>
      <w:proofErr w:type="gramStart"/>
      <w:r w:rsidR="001B7D81" w:rsidRPr="60FEAE0E">
        <w:rPr>
          <w:sz w:val="24"/>
          <w:szCs w:val="24"/>
        </w:rPr>
        <w:t>as a result of</w:t>
      </w:r>
      <w:bookmarkEnd w:id="3"/>
      <w:proofErr w:type="gramEnd"/>
      <w:r w:rsidR="001B7D81" w:rsidRPr="60FEAE0E">
        <w:rPr>
          <w:sz w:val="24"/>
          <w:szCs w:val="24"/>
        </w:rPr>
        <w:t xml:space="preserve"> hiring or </w:t>
      </w:r>
      <w:r w:rsidR="001A1B7C" w:rsidRPr="60FEAE0E">
        <w:rPr>
          <w:sz w:val="24"/>
          <w:szCs w:val="24"/>
        </w:rPr>
        <w:t xml:space="preserve">expanding </w:t>
      </w:r>
      <w:r w:rsidR="00170CC2" w:rsidRPr="60FEAE0E">
        <w:rPr>
          <w:sz w:val="24"/>
          <w:szCs w:val="24"/>
        </w:rPr>
        <w:t xml:space="preserve">the employment status to fill </w:t>
      </w:r>
      <w:r w:rsidR="001A1B7C" w:rsidRPr="60FEAE0E">
        <w:rPr>
          <w:sz w:val="24"/>
          <w:szCs w:val="24"/>
        </w:rPr>
        <w:t xml:space="preserve">the qualifying </w:t>
      </w:r>
      <w:r w:rsidR="009174CF" w:rsidRPr="60FEAE0E">
        <w:rPr>
          <w:sz w:val="24"/>
          <w:szCs w:val="24"/>
        </w:rPr>
        <w:t>FTE</w:t>
      </w:r>
      <w:r w:rsidR="00170CC2" w:rsidRPr="60FEAE0E">
        <w:rPr>
          <w:sz w:val="24"/>
          <w:szCs w:val="24"/>
        </w:rPr>
        <w:t xml:space="preserve"> position</w:t>
      </w:r>
      <w:r w:rsidR="00536546" w:rsidRPr="60FEAE0E">
        <w:rPr>
          <w:sz w:val="24"/>
          <w:szCs w:val="24"/>
        </w:rPr>
        <w:t xml:space="preserve"> </w:t>
      </w:r>
      <w:r w:rsidRPr="60FEAE0E">
        <w:rPr>
          <w:sz w:val="24"/>
          <w:szCs w:val="24"/>
        </w:rPr>
        <w:t xml:space="preserve">and (ii) certify its intent to obligate awarded grant funds for the </w:t>
      </w:r>
      <w:r w:rsidR="00536546" w:rsidRPr="60FEAE0E">
        <w:rPr>
          <w:sz w:val="24"/>
          <w:szCs w:val="24"/>
        </w:rPr>
        <w:t>payment of salary and</w:t>
      </w:r>
      <w:r w:rsidR="009019F2" w:rsidRPr="60FEAE0E">
        <w:rPr>
          <w:sz w:val="24"/>
          <w:szCs w:val="24"/>
        </w:rPr>
        <w:t xml:space="preserve"> benefits</w:t>
      </w:r>
      <w:r w:rsidRPr="60FEAE0E">
        <w:rPr>
          <w:sz w:val="24"/>
          <w:szCs w:val="24"/>
        </w:rPr>
        <w:t xml:space="preserve"> </w:t>
      </w:r>
      <w:r w:rsidR="00213B81" w:rsidRPr="60FEAE0E">
        <w:rPr>
          <w:sz w:val="24"/>
          <w:szCs w:val="24"/>
        </w:rPr>
        <w:t xml:space="preserve">for the eligible FTE position(s) </w:t>
      </w:r>
      <w:r w:rsidR="009019F2" w:rsidRPr="60FEAE0E">
        <w:rPr>
          <w:sz w:val="24"/>
          <w:szCs w:val="24"/>
        </w:rPr>
        <w:t>during the school year following the grant award.</w:t>
      </w:r>
    </w:p>
    <w:p w14:paraId="073E3172" w14:textId="77777777" w:rsidR="00A85F3D" w:rsidRPr="000A50FF" w:rsidRDefault="00A85F3D">
      <w:pPr>
        <w:pStyle w:val="BodyText"/>
      </w:pPr>
    </w:p>
    <w:p w14:paraId="073E3173" w14:textId="77777777" w:rsidR="00A85F3D" w:rsidRPr="000A50FF" w:rsidRDefault="00EC0F05">
      <w:pPr>
        <w:pStyle w:val="ListParagraph"/>
        <w:numPr>
          <w:ilvl w:val="0"/>
          <w:numId w:val="3"/>
        </w:numPr>
        <w:tabs>
          <w:tab w:val="left" w:pos="952"/>
        </w:tabs>
        <w:ind w:right="1292" w:hanging="363"/>
        <w:jc w:val="left"/>
        <w:rPr>
          <w:sz w:val="24"/>
        </w:rPr>
      </w:pPr>
      <w:r w:rsidRPr="000A50FF">
        <w:rPr>
          <w:sz w:val="24"/>
        </w:rPr>
        <w:t>A school division may be disqualified from receiving a grant award under this program or previously awarded grant funds may be withheld from payment if a school division is not in compliance with other state laws, regulations, policies, or</w:t>
      </w:r>
      <w:r w:rsidRPr="000A50FF">
        <w:rPr>
          <w:spacing w:val="-6"/>
          <w:sz w:val="24"/>
        </w:rPr>
        <w:t xml:space="preserve"> </w:t>
      </w:r>
      <w:r w:rsidRPr="000A50FF">
        <w:rPr>
          <w:sz w:val="24"/>
        </w:rPr>
        <w:t>guidelines.</w:t>
      </w:r>
    </w:p>
    <w:p w14:paraId="073E3174" w14:textId="77777777" w:rsidR="00A85F3D" w:rsidRPr="00567844" w:rsidRDefault="00A85F3D">
      <w:pPr>
        <w:rPr>
          <w:sz w:val="24"/>
          <w:highlight w:val="yellow"/>
        </w:rPr>
        <w:sectPr w:rsidR="00A85F3D" w:rsidRPr="00567844">
          <w:footerReference w:type="default" r:id="rId9"/>
          <w:pgSz w:w="12240" w:h="15840"/>
          <w:pgMar w:top="1360" w:right="580" w:bottom="1160" w:left="580" w:header="0" w:footer="971" w:gutter="0"/>
          <w:cols w:space="720"/>
        </w:sectPr>
      </w:pPr>
    </w:p>
    <w:p w14:paraId="073E3175" w14:textId="77777777" w:rsidR="00A85F3D" w:rsidRPr="00DD1482" w:rsidRDefault="00EC0F05">
      <w:pPr>
        <w:spacing w:before="60" w:line="551" w:lineRule="exact"/>
        <w:ind w:left="680"/>
        <w:rPr>
          <w:b/>
          <w:sz w:val="48"/>
        </w:rPr>
      </w:pPr>
      <w:bookmarkStart w:id="4" w:name="COMPETITIVE_APPLICATION_CRITERIA"/>
      <w:bookmarkEnd w:id="4"/>
      <w:r w:rsidRPr="00DD1482">
        <w:rPr>
          <w:b/>
          <w:color w:val="003A70"/>
          <w:sz w:val="48"/>
        </w:rPr>
        <w:lastRenderedPageBreak/>
        <w:t>COMPETITIVE APPLICATION CRITERIA</w:t>
      </w:r>
    </w:p>
    <w:p w14:paraId="073E3177" w14:textId="77777777" w:rsidR="00A85F3D" w:rsidRPr="00567844" w:rsidRDefault="00A85F3D">
      <w:pPr>
        <w:pStyle w:val="BodyText"/>
        <w:rPr>
          <w:highlight w:val="yellow"/>
        </w:rPr>
      </w:pPr>
    </w:p>
    <w:p w14:paraId="073E3178" w14:textId="2119F23B" w:rsidR="00A85F3D" w:rsidRPr="00567844" w:rsidRDefault="00EC0F05" w:rsidP="6889A035">
      <w:pPr>
        <w:ind w:left="680" w:right="961"/>
        <w:rPr>
          <w:sz w:val="24"/>
          <w:szCs w:val="24"/>
        </w:rPr>
      </w:pPr>
      <w:r w:rsidRPr="6889A035">
        <w:rPr>
          <w:sz w:val="24"/>
          <w:szCs w:val="24"/>
        </w:rPr>
        <w:t xml:space="preserve">Proposed public school </w:t>
      </w:r>
      <w:r w:rsidR="5210C415" w:rsidRPr="6889A035">
        <w:rPr>
          <w:sz w:val="24"/>
          <w:szCs w:val="24"/>
        </w:rPr>
        <w:t>language programs</w:t>
      </w:r>
      <w:r w:rsidRPr="6889A035">
        <w:rPr>
          <w:sz w:val="24"/>
          <w:szCs w:val="24"/>
        </w:rPr>
        <w:t xml:space="preserve"> are evaluated and scored according to the scoring criteria and their associated point values listed below</w:t>
      </w:r>
      <w:r w:rsidR="00125AEB">
        <w:rPr>
          <w:sz w:val="24"/>
          <w:szCs w:val="24"/>
        </w:rPr>
        <w:t>.</w:t>
      </w:r>
    </w:p>
    <w:p w14:paraId="073E3179" w14:textId="77777777" w:rsidR="00A85F3D" w:rsidRPr="00567844" w:rsidRDefault="00A85F3D">
      <w:pPr>
        <w:pStyle w:val="BodyText"/>
        <w:rPr>
          <w:highlight w:val="yellow"/>
        </w:rPr>
      </w:pPr>
    </w:p>
    <w:p w14:paraId="034DA91E" w14:textId="28A8654A" w:rsidR="07BEC275" w:rsidRDefault="07BEC275" w:rsidP="00DD1482">
      <w:pPr>
        <w:ind w:left="720"/>
        <w:rPr>
          <w:rFonts w:ascii="system-ui" w:eastAsia="system-ui" w:hAnsi="system-ui" w:cs="system-ui"/>
          <w:b/>
          <w:bCs/>
          <w:sz w:val="24"/>
          <w:szCs w:val="24"/>
        </w:rPr>
      </w:pPr>
      <w:r w:rsidRPr="6889A035">
        <w:rPr>
          <w:rFonts w:ascii="system-ui" w:eastAsia="system-ui" w:hAnsi="system-ui" w:cs="system-ui"/>
          <w:b/>
          <w:bCs/>
          <w:sz w:val="24"/>
          <w:szCs w:val="24"/>
        </w:rPr>
        <w:t>Scoring Rubric for Critical National Security Language Grants</w:t>
      </w:r>
    </w:p>
    <w:p w14:paraId="635D8A6E" w14:textId="77777777" w:rsidR="00DD1482" w:rsidRDefault="00DD1482" w:rsidP="00DD1482">
      <w:pPr>
        <w:ind w:left="720"/>
      </w:pPr>
    </w:p>
    <w:p w14:paraId="32E977BA" w14:textId="220E69BC" w:rsidR="07BEC275" w:rsidRPr="00667200" w:rsidRDefault="07BEC275" w:rsidP="00DD1482">
      <w:pPr>
        <w:pStyle w:val="ListParagraph"/>
        <w:numPr>
          <w:ilvl w:val="0"/>
          <w:numId w:val="1"/>
        </w:numPr>
        <w:ind w:left="1080"/>
        <w:rPr>
          <w:rFonts w:ascii="system-ui" w:eastAsia="system-ui" w:hAnsi="system-ui" w:cs="system-ui"/>
          <w:b/>
          <w:bCs/>
        </w:rPr>
      </w:pPr>
      <w:r w:rsidRPr="00667200">
        <w:rPr>
          <w:rFonts w:ascii="system-ui" w:eastAsia="system-ui" w:hAnsi="system-ui" w:cs="system-ui"/>
          <w:b/>
          <w:bCs/>
        </w:rPr>
        <w:t>New Language Program (1</w:t>
      </w:r>
      <w:r w:rsidR="008B6EE9" w:rsidRPr="00667200">
        <w:rPr>
          <w:rFonts w:ascii="system-ui" w:eastAsia="system-ui" w:hAnsi="system-ui" w:cs="system-ui"/>
          <w:b/>
          <w:bCs/>
        </w:rPr>
        <w:t>5</w:t>
      </w:r>
      <w:r w:rsidRPr="00667200">
        <w:rPr>
          <w:rFonts w:ascii="system-ui" w:eastAsia="system-ui" w:hAnsi="system-ui" w:cs="system-ui"/>
          <w:b/>
          <w:bCs/>
        </w:rPr>
        <w:t xml:space="preserve"> points)</w:t>
      </w:r>
    </w:p>
    <w:p w14:paraId="4B42378B" w14:textId="349F15F6" w:rsidR="07BEC275" w:rsidRPr="00667200" w:rsidRDefault="07BEC275"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1</w:t>
      </w:r>
      <w:r w:rsidR="003F7518" w:rsidRPr="00667200">
        <w:rPr>
          <w:rFonts w:ascii="system-ui" w:eastAsia="system-ui" w:hAnsi="system-ui" w:cs="system-ui"/>
        </w:rPr>
        <w:t>5</w:t>
      </w:r>
      <w:r w:rsidRPr="00667200">
        <w:rPr>
          <w:rFonts w:ascii="system-ui" w:eastAsia="system-ui" w:hAnsi="system-ui" w:cs="system-ui"/>
        </w:rPr>
        <w:t xml:space="preserve"> points: Proposal outlines the implementation of a new critical language program not previously offered within the school division.</w:t>
      </w:r>
    </w:p>
    <w:p w14:paraId="4B89F505" w14:textId="26C5AE5C" w:rsidR="07BEC275" w:rsidRPr="00667200" w:rsidRDefault="003F7518"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10</w:t>
      </w:r>
      <w:r w:rsidR="07BEC275" w:rsidRPr="00667200">
        <w:rPr>
          <w:rFonts w:ascii="system-ui" w:eastAsia="system-ui" w:hAnsi="system-ui" w:cs="system-ui"/>
        </w:rPr>
        <w:t xml:space="preserve"> points: Proposal expands an existing language program to a new school or location.</w:t>
      </w:r>
    </w:p>
    <w:p w14:paraId="4C2E8E4E" w14:textId="4EAD63EF" w:rsidR="07BEC275" w:rsidRPr="00667200" w:rsidRDefault="003F7518"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5</w:t>
      </w:r>
      <w:r w:rsidR="07BEC275" w:rsidRPr="00667200">
        <w:rPr>
          <w:rFonts w:ascii="system-ui" w:eastAsia="system-ui" w:hAnsi="system-ui" w:cs="system-ui"/>
        </w:rPr>
        <w:t xml:space="preserve"> points: </w:t>
      </w:r>
      <w:r w:rsidR="000B5EFB" w:rsidRPr="00667200">
        <w:rPr>
          <w:rFonts w:ascii="system-ui" w:eastAsia="system-ui" w:hAnsi="system-ui" w:cs="system-ui"/>
        </w:rPr>
        <w:t>proposal expands an existing language program to new grade levels</w:t>
      </w:r>
      <w:r w:rsidR="00EE6DC7" w:rsidRPr="00667200">
        <w:rPr>
          <w:rFonts w:ascii="system-ui" w:eastAsia="system-ui" w:hAnsi="system-ui" w:cs="system-ui"/>
        </w:rPr>
        <w:t xml:space="preserve"> in the same school or location.</w:t>
      </w:r>
    </w:p>
    <w:p w14:paraId="2893A06B" w14:textId="5C94430F" w:rsidR="003F7518" w:rsidRPr="00667200" w:rsidRDefault="003F7518"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 xml:space="preserve">0 points: </w:t>
      </w:r>
      <w:r w:rsidR="000B5EFB" w:rsidRPr="00667200">
        <w:rPr>
          <w:rFonts w:ascii="system-ui" w:eastAsia="system-ui" w:hAnsi="system-ui" w:cs="system-ui"/>
        </w:rPr>
        <w:t>Proposal suggests adding additional sections of the same language at the same levels and location.</w:t>
      </w:r>
    </w:p>
    <w:p w14:paraId="4A1E1044" w14:textId="480BE129" w:rsidR="07BEC275" w:rsidRPr="00667200" w:rsidRDefault="07BEC275" w:rsidP="00DD1482">
      <w:pPr>
        <w:pStyle w:val="ListParagraph"/>
        <w:numPr>
          <w:ilvl w:val="0"/>
          <w:numId w:val="1"/>
        </w:numPr>
        <w:ind w:left="1080"/>
      </w:pPr>
      <w:r w:rsidRPr="00667200">
        <w:rPr>
          <w:rFonts w:ascii="system-ui" w:eastAsia="system-ui" w:hAnsi="system-ui" w:cs="system-ui"/>
          <w:b/>
          <w:bCs/>
        </w:rPr>
        <w:t>Teacher Qualifications and Experience (15 points)</w:t>
      </w:r>
    </w:p>
    <w:p w14:paraId="1E4D4CEF" w14:textId="16A13F31" w:rsidR="07BEC275" w:rsidRPr="00667200" w:rsidRDefault="07BEC275" w:rsidP="00DD1482">
      <w:pPr>
        <w:pStyle w:val="ListParagraph"/>
        <w:numPr>
          <w:ilvl w:val="1"/>
          <w:numId w:val="1"/>
        </w:numPr>
        <w:ind w:left="1800"/>
      </w:pPr>
      <w:r w:rsidRPr="00667200">
        <w:rPr>
          <w:rFonts w:ascii="system-ui" w:eastAsia="system-ui" w:hAnsi="system-ui" w:cs="system-ui"/>
        </w:rPr>
        <w:t>15 points: Highly qualified language instructors with significant experience in teaching critical languages.</w:t>
      </w:r>
    </w:p>
    <w:p w14:paraId="2E7AC2C0" w14:textId="3AF0089E" w:rsidR="07BEC275" w:rsidRPr="00667200" w:rsidRDefault="07BEC275"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10 points: Qualified instructors with relevant experience in language education.</w:t>
      </w:r>
    </w:p>
    <w:p w14:paraId="464AAF2F" w14:textId="421D9661" w:rsidR="07BEC275" w:rsidRPr="00667200" w:rsidRDefault="07BEC275"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5 points: Instructors with some relevant experience or expertise.</w:t>
      </w:r>
    </w:p>
    <w:p w14:paraId="32AA95A0" w14:textId="5B236D61" w:rsidR="07BEC275" w:rsidRPr="00667200" w:rsidRDefault="07BEC275"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0 points: Instructors lacking sufficient qualifications or experience.</w:t>
      </w:r>
    </w:p>
    <w:p w14:paraId="7193A53B" w14:textId="345F3BA2" w:rsidR="07BEC275" w:rsidRPr="00667200" w:rsidRDefault="07BEC275" w:rsidP="00DD1482">
      <w:pPr>
        <w:pStyle w:val="ListParagraph"/>
        <w:numPr>
          <w:ilvl w:val="0"/>
          <w:numId w:val="1"/>
        </w:numPr>
        <w:ind w:left="1080"/>
        <w:rPr>
          <w:rFonts w:ascii="system-ui" w:eastAsia="system-ui" w:hAnsi="system-ui" w:cs="system-ui"/>
          <w:b/>
          <w:bCs/>
        </w:rPr>
      </w:pPr>
      <w:r w:rsidRPr="00667200">
        <w:rPr>
          <w:rFonts w:ascii="system-ui" w:eastAsia="system-ui" w:hAnsi="system-ui" w:cs="system-ui"/>
          <w:b/>
          <w:bCs/>
        </w:rPr>
        <w:t>Program Integration (</w:t>
      </w:r>
      <w:r w:rsidR="008B5C04" w:rsidRPr="00667200">
        <w:rPr>
          <w:rFonts w:ascii="system-ui" w:eastAsia="system-ui" w:hAnsi="system-ui" w:cs="system-ui"/>
          <w:b/>
          <w:bCs/>
        </w:rPr>
        <w:t xml:space="preserve">10 </w:t>
      </w:r>
      <w:r w:rsidRPr="00667200">
        <w:rPr>
          <w:rFonts w:ascii="system-ui" w:eastAsia="system-ui" w:hAnsi="system-ui" w:cs="system-ui"/>
          <w:b/>
          <w:bCs/>
        </w:rPr>
        <w:t>points)</w:t>
      </w:r>
    </w:p>
    <w:p w14:paraId="214C1B92" w14:textId="340E7CB5" w:rsidR="07BEC275" w:rsidRPr="00667200" w:rsidRDefault="008B5C04"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10</w:t>
      </w:r>
      <w:r w:rsidR="07BEC275" w:rsidRPr="00667200">
        <w:rPr>
          <w:rFonts w:ascii="system-ui" w:eastAsia="system-ui" w:hAnsi="system-ui" w:cs="system-ui"/>
        </w:rPr>
        <w:t xml:space="preserve"> points: Detailed plan for integrating the critical language program into the broader curriculum and educational goals of the school division.</w:t>
      </w:r>
    </w:p>
    <w:p w14:paraId="4727C87A" w14:textId="4CEDE374" w:rsidR="07BEC275" w:rsidRPr="00667200" w:rsidRDefault="0080175F"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5</w:t>
      </w:r>
      <w:r w:rsidR="07BEC275" w:rsidRPr="00667200">
        <w:rPr>
          <w:rFonts w:ascii="system-ui" w:eastAsia="system-ui" w:hAnsi="system-ui" w:cs="system-ui"/>
        </w:rPr>
        <w:t xml:space="preserve"> points: Some integration strategies outlined.</w:t>
      </w:r>
    </w:p>
    <w:p w14:paraId="6ECB3C27" w14:textId="33E631E2" w:rsidR="07BEC275" w:rsidRPr="00667200" w:rsidRDefault="07BEC275"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0 points: Little to no consideration for program integration.</w:t>
      </w:r>
    </w:p>
    <w:p w14:paraId="6E3F3544" w14:textId="77777777" w:rsidR="00391072" w:rsidRPr="00667200" w:rsidRDefault="00391072" w:rsidP="00DD1482">
      <w:pPr>
        <w:pStyle w:val="ListParagraph"/>
        <w:numPr>
          <w:ilvl w:val="0"/>
          <w:numId w:val="1"/>
        </w:numPr>
        <w:ind w:left="1080"/>
        <w:rPr>
          <w:rFonts w:ascii="system-ui" w:eastAsia="system-ui" w:hAnsi="system-ui" w:cs="system-ui"/>
          <w:b/>
          <w:bCs/>
        </w:rPr>
      </w:pPr>
      <w:r w:rsidRPr="00667200">
        <w:rPr>
          <w:rFonts w:ascii="system-ui" w:eastAsia="system-ui" w:hAnsi="system-ui" w:cs="system-ui"/>
          <w:b/>
          <w:bCs/>
        </w:rPr>
        <w:t>Innovation and Program Enhancement (10 points)</w:t>
      </w:r>
    </w:p>
    <w:p w14:paraId="09EB65FF" w14:textId="77777777" w:rsidR="00391072" w:rsidRPr="00667200" w:rsidRDefault="00391072"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10 points: Innovative approaches or features that enhance the quality and impact of the critical language program.</w:t>
      </w:r>
    </w:p>
    <w:p w14:paraId="26B49785" w14:textId="77777777" w:rsidR="00391072" w:rsidRPr="00667200" w:rsidRDefault="00391072"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5 points: Some elements of innovation or program enhancement.</w:t>
      </w:r>
    </w:p>
    <w:p w14:paraId="79257F69" w14:textId="77777777" w:rsidR="00391072" w:rsidRPr="00667200" w:rsidRDefault="00391072"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0 points: Lack of innovation or program enhancement.</w:t>
      </w:r>
    </w:p>
    <w:p w14:paraId="6C4E5747" w14:textId="77777777" w:rsidR="00E95863" w:rsidRPr="00667200" w:rsidRDefault="00E95863" w:rsidP="00DD1482">
      <w:pPr>
        <w:pStyle w:val="ListParagraph"/>
        <w:numPr>
          <w:ilvl w:val="0"/>
          <w:numId w:val="1"/>
        </w:numPr>
        <w:ind w:left="1080"/>
        <w:rPr>
          <w:rFonts w:ascii="system-ui" w:eastAsia="system-ui" w:hAnsi="system-ui" w:cs="system-ui"/>
          <w:b/>
          <w:bCs/>
        </w:rPr>
      </w:pPr>
      <w:r w:rsidRPr="00667200">
        <w:rPr>
          <w:rFonts w:ascii="system-ui" w:eastAsia="system-ui" w:hAnsi="system-ui" w:cs="system-ui"/>
          <w:b/>
          <w:bCs/>
        </w:rPr>
        <w:t>Sustainability Plan: Student Interest and Recruitment (10 points)</w:t>
      </w:r>
    </w:p>
    <w:p w14:paraId="14771D95" w14:textId="77777777" w:rsidR="00E95863" w:rsidRPr="00667200" w:rsidRDefault="00E95863"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10 points: Well-documented evidence of strong student interest in the proposed critical language courses.</w:t>
      </w:r>
    </w:p>
    <w:p w14:paraId="38B68810" w14:textId="77777777" w:rsidR="00E95863" w:rsidRPr="00667200" w:rsidRDefault="00E95863"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5 points: Moderate student interest with potential for growth.</w:t>
      </w:r>
    </w:p>
    <w:p w14:paraId="4D8EAAB9" w14:textId="77777777" w:rsidR="00E95863" w:rsidRPr="00667200" w:rsidRDefault="00E95863"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0 points: Limited or unclear evidence of student interest.</w:t>
      </w:r>
    </w:p>
    <w:p w14:paraId="75385E09" w14:textId="77777777" w:rsidR="00E95863" w:rsidRPr="00667200" w:rsidRDefault="00E95863" w:rsidP="00DD1482">
      <w:pPr>
        <w:pStyle w:val="ListParagraph"/>
        <w:numPr>
          <w:ilvl w:val="0"/>
          <w:numId w:val="1"/>
        </w:numPr>
        <w:ind w:left="1080"/>
        <w:rPr>
          <w:rFonts w:ascii="system-ui" w:eastAsia="system-ui" w:hAnsi="system-ui" w:cs="system-ui"/>
          <w:b/>
          <w:bCs/>
        </w:rPr>
      </w:pPr>
      <w:r w:rsidRPr="00667200">
        <w:rPr>
          <w:rFonts w:ascii="system-ui" w:eastAsia="system-ui" w:hAnsi="system-ui" w:cs="system-ui"/>
          <w:b/>
          <w:bCs/>
        </w:rPr>
        <w:t>Sustainability Plan: Community and Stakeholder Engagement (10 points)</w:t>
      </w:r>
    </w:p>
    <w:p w14:paraId="0E7C6F84" w14:textId="77777777" w:rsidR="00E95863" w:rsidRPr="00667200" w:rsidRDefault="00E95863"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10 points: Comprehensive plan for actively engaging the community and key stakeholders in the critical language program.</w:t>
      </w:r>
    </w:p>
    <w:p w14:paraId="56CED253" w14:textId="77777777" w:rsidR="00E95863" w:rsidRPr="00667200" w:rsidRDefault="00E95863"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5 points: Some strategies outlined for community and stakeholder involvement.</w:t>
      </w:r>
    </w:p>
    <w:p w14:paraId="57679CE8" w14:textId="77777777" w:rsidR="00E95863" w:rsidRPr="00667200" w:rsidRDefault="00E95863"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0 points: Lack of a clear plan for community and stakeholder engagement.</w:t>
      </w:r>
    </w:p>
    <w:p w14:paraId="3CFB598E" w14:textId="42BF086B" w:rsidR="00E95863" w:rsidRPr="00667200" w:rsidRDefault="00E95863" w:rsidP="00DD1482">
      <w:pPr>
        <w:pStyle w:val="ListParagraph"/>
        <w:numPr>
          <w:ilvl w:val="0"/>
          <w:numId w:val="1"/>
        </w:numPr>
        <w:ind w:left="1080"/>
        <w:rPr>
          <w:rFonts w:ascii="system-ui" w:eastAsia="system-ui" w:hAnsi="system-ui" w:cs="system-ui"/>
          <w:b/>
          <w:bCs/>
        </w:rPr>
      </w:pPr>
      <w:r w:rsidRPr="00667200">
        <w:rPr>
          <w:rFonts w:ascii="system-ui" w:eastAsia="system-ui" w:hAnsi="system-ui" w:cs="system-ui"/>
          <w:b/>
          <w:bCs/>
        </w:rPr>
        <w:t>Sustainability Plan</w:t>
      </w:r>
      <w:r w:rsidR="00207130" w:rsidRPr="00667200">
        <w:rPr>
          <w:rFonts w:ascii="system-ui" w:eastAsia="system-ui" w:hAnsi="system-ui" w:cs="system-ui"/>
          <w:b/>
          <w:bCs/>
        </w:rPr>
        <w:t xml:space="preserve">: Financial </w:t>
      </w:r>
      <w:r w:rsidR="004D7259" w:rsidRPr="00667200">
        <w:rPr>
          <w:rFonts w:ascii="system-ui" w:eastAsia="system-ui" w:hAnsi="system-ui" w:cs="system-ui"/>
          <w:b/>
          <w:bCs/>
        </w:rPr>
        <w:t>Plans and Monitoring</w:t>
      </w:r>
      <w:r w:rsidRPr="00667200">
        <w:rPr>
          <w:rFonts w:ascii="system-ui" w:eastAsia="system-ui" w:hAnsi="system-ui" w:cs="system-ui"/>
          <w:b/>
          <w:bCs/>
        </w:rPr>
        <w:t xml:space="preserve"> (1</w:t>
      </w:r>
      <w:r w:rsidR="008B6EE9" w:rsidRPr="00667200">
        <w:rPr>
          <w:rFonts w:ascii="system-ui" w:eastAsia="system-ui" w:hAnsi="system-ui" w:cs="system-ui"/>
          <w:b/>
          <w:bCs/>
        </w:rPr>
        <w:t>0</w:t>
      </w:r>
      <w:r w:rsidRPr="00667200">
        <w:rPr>
          <w:rFonts w:ascii="system-ui" w:eastAsia="system-ui" w:hAnsi="system-ui" w:cs="system-ui"/>
          <w:b/>
          <w:bCs/>
        </w:rPr>
        <w:t xml:space="preserve"> points)</w:t>
      </w:r>
    </w:p>
    <w:p w14:paraId="11A77E4C" w14:textId="292B41DE" w:rsidR="00E95863" w:rsidRPr="00667200" w:rsidRDefault="00E95863"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1</w:t>
      </w:r>
      <w:r w:rsidR="008B6EE9" w:rsidRPr="00667200">
        <w:rPr>
          <w:rFonts w:ascii="system-ui" w:eastAsia="system-ui" w:hAnsi="system-ui" w:cs="system-ui"/>
        </w:rPr>
        <w:t>0</w:t>
      </w:r>
      <w:r w:rsidRPr="00667200">
        <w:rPr>
          <w:rFonts w:ascii="system-ui" w:eastAsia="system-ui" w:hAnsi="system-ui" w:cs="system-ui"/>
        </w:rPr>
        <w:t xml:space="preserve"> points: Robust and well-detailed sustainability plan that addresses financial, </w:t>
      </w:r>
      <w:r w:rsidR="00D761CD" w:rsidRPr="00667200">
        <w:rPr>
          <w:rFonts w:ascii="system-ui" w:eastAsia="system-ui" w:hAnsi="system-ui" w:cs="system-ui"/>
        </w:rPr>
        <w:t>monitoring, evaluation, and contingency</w:t>
      </w:r>
      <w:r w:rsidRPr="00667200">
        <w:rPr>
          <w:rFonts w:ascii="system-ui" w:eastAsia="system-ui" w:hAnsi="system-ui" w:cs="system-ui"/>
        </w:rPr>
        <w:t xml:space="preserve"> aspects.</w:t>
      </w:r>
    </w:p>
    <w:p w14:paraId="61A4D7B0" w14:textId="68BE2817" w:rsidR="00E95863" w:rsidRPr="00667200" w:rsidRDefault="003F7518"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7</w:t>
      </w:r>
      <w:r w:rsidR="00E95863" w:rsidRPr="00667200">
        <w:rPr>
          <w:rFonts w:ascii="system-ui" w:eastAsia="system-ui" w:hAnsi="system-ui" w:cs="system-ui"/>
        </w:rPr>
        <w:t xml:space="preserve"> points: Adequate sustainability plan with room for improvement.</w:t>
      </w:r>
    </w:p>
    <w:p w14:paraId="0BF36FFB" w14:textId="59BA932C" w:rsidR="00E95863" w:rsidRPr="00667200" w:rsidRDefault="003F7518"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3</w:t>
      </w:r>
      <w:r w:rsidR="00E95863" w:rsidRPr="00667200">
        <w:rPr>
          <w:rFonts w:ascii="system-ui" w:eastAsia="system-ui" w:hAnsi="system-ui" w:cs="system-ui"/>
        </w:rPr>
        <w:t xml:space="preserve"> points: Limited sustainability plan with significant gaps.</w:t>
      </w:r>
    </w:p>
    <w:p w14:paraId="151B9906" w14:textId="77777777" w:rsidR="00E95863" w:rsidRPr="00667200" w:rsidRDefault="00E95863" w:rsidP="00DD1482">
      <w:pPr>
        <w:pStyle w:val="ListParagraph"/>
        <w:numPr>
          <w:ilvl w:val="1"/>
          <w:numId w:val="1"/>
        </w:numPr>
        <w:ind w:left="1800"/>
        <w:rPr>
          <w:rFonts w:ascii="system-ui" w:eastAsia="system-ui" w:hAnsi="system-ui" w:cs="system-ui"/>
        </w:rPr>
      </w:pPr>
      <w:r w:rsidRPr="00667200">
        <w:rPr>
          <w:rFonts w:ascii="system-ui" w:eastAsia="system-ui" w:hAnsi="system-ui" w:cs="system-ui"/>
        </w:rPr>
        <w:t>0 points: No apparent sustainability plan.</w:t>
      </w:r>
    </w:p>
    <w:p w14:paraId="633E29D5" w14:textId="299FAD5C" w:rsidR="07BEC275" w:rsidRPr="00667200" w:rsidRDefault="008B0B0D" w:rsidP="00DD1482">
      <w:pPr>
        <w:pStyle w:val="ListParagraph"/>
        <w:numPr>
          <w:ilvl w:val="0"/>
          <w:numId w:val="1"/>
        </w:numPr>
        <w:ind w:left="1080"/>
        <w:rPr>
          <w:rFonts w:ascii="system-ui" w:eastAsia="system-ui" w:hAnsi="system-ui" w:cs="system-ui"/>
          <w:b/>
          <w:bCs/>
        </w:rPr>
      </w:pPr>
      <w:r w:rsidRPr="00667200">
        <w:rPr>
          <w:rFonts w:ascii="system-ui" w:eastAsia="system-ui" w:hAnsi="system-ui" w:cs="system-ui"/>
          <w:b/>
          <w:bCs/>
        </w:rPr>
        <w:t xml:space="preserve">Student </w:t>
      </w:r>
      <w:r w:rsidR="005A7541" w:rsidRPr="00667200">
        <w:rPr>
          <w:rFonts w:ascii="system-ui" w:eastAsia="system-ui" w:hAnsi="system-ui" w:cs="system-ui"/>
          <w:b/>
          <w:bCs/>
        </w:rPr>
        <w:t>Population</w:t>
      </w:r>
      <w:r w:rsidR="07BEC275" w:rsidRPr="00667200">
        <w:rPr>
          <w:rFonts w:ascii="system-ui" w:eastAsia="system-ui" w:hAnsi="system-ui" w:cs="system-ui"/>
          <w:b/>
          <w:bCs/>
        </w:rPr>
        <w:t xml:space="preserve"> (10 points)</w:t>
      </w:r>
    </w:p>
    <w:p w14:paraId="1B2047DB" w14:textId="77777777" w:rsidR="005A7541" w:rsidRPr="00667200" w:rsidRDefault="005A7541" w:rsidP="00DD1482">
      <w:pPr>
        <w:pStyle w:val="ListParagraph"/>
        <w:numPr>
          <w:ilvl w:val="0"/>
          <w:numId w:val="4"/>
        </w:numPr>
        <w:ind w:left="1800"/>
        <w:rPr>
          <w:rFonts w:ascii="system-ui" w:eastAsia="system-ui" w:hAnsi="system-ui" w:cs="system-ui"/>
        </w:rPr>
      </w:pPr>
      <w:r w:rsidRPr="00667200">
        <w:rPr>
          <w:rFonts w:ascii="system-ui" w:eastAsia="system-ui" w:hAnsi="system-ui" w:cs="system-ui"/>
        </w:rPr>
        <w:t xml:space="preserve">10 points if 74 percent or greater of students are eligible for free- or reduced-price </w:t>
      </w:r>
      <w:proofErr w:type="gramStart"/>
      <w:r w:rsidRPr="00667200">
        <w:rPr>
          <w:rFonts w:ascii="system-ui" w:eastAsia="system-ui" w:hAnsi="system-ui" w:cs="system-ui"/>
        </w:rPr>
        <w:t>meals</w:t>
      </w:r>
      <w:proofErr w:type="gramEnd"/>
    </w:p>
    <w:p w14:paraId="40714E76" w14:textId="77777777" w:rsidR="005A7541" w:rsidRPr="00667200" w:rsidRDefault="005A7541" w:rsidP="00DD1482">
      <w:pPr>
        <w:pStyle w:val="ListParagraph"/>
        <w:numPr>
          <w:ilvl w:val="0"/>
          <w:numId w:val="4"/>
        </w:numPr>
        <w:ind w:left="1800"/>
        <w:rPr>
          <w:rFonts w:ascii="system-ui" w:eastAsia="system-ui" w:hAnsi="system-ui" w:cs="system-ui"/>
        </w:rPr>
      </w:pPr>
      <w:r w:rsidRPr="00667200">
        <w:rPr>
          <w:rFonts w:ascii="system-ui" w:eastAsia="system-ui" w:hAnsi="system-ui" w:cs="system-ui"/>
        </w:rPr>
        <w:lastRenderedPageBreak/>
        <w:t xml:space="preserve">7 points if 55 to less than 74 percent of students are eligible for free- or reduced-price </w:t>
      </w:r>
      <w:proofErr w:type="gramStart"/>
      <w:r w:rsidRPr="00667200">
        <w:rPr>
          <w:rFonts w:ascii="system-ui" w:eastAsia="system-ui" w:hAnsi="system-ui" w:cs="system-ui"/>
        </w:rPr>
        <w:t>meals</w:t>
      </w:r>
      <w:proofErr w:type="gramEnd"/>
    </w:p>
    <w:p w14:paraId="55DBDDA8" w14:textId="77777777" w:rsidR="005A7541" w:rsidRPr="00667200" w:rsidRDefault="005A7541" w:rsidP="00DD1482">
      <w:pPr>
        <w:pStyle w:val="ListParagraph"/>
        <w:numPr>
          <w:ilvl w:val="0"/>
          <w:numId w:val="4"/>
        </w:numPr>
        <w:ind w:left="1800"/>
        <w:rPr>
          <w:rFonts w:ascii="system-ui" w:eastAsia="system-ui" w:hAnsi="system-ui" w:cs="system-ui"/>
        </w:rPr>
      </w:pPr>
      <w:r w:rsidRPr="00667200">
        <w:rPr>
          <w:rFonts w:ascii="system-ui" w:eastAsia="system-ui" w:hAnsi="system-ui" w:cs="system-ui"/>
        </w:rPr>
        <w:t xml:space="preserve">3 points if 40 to less than 55 percent of students are eligible for free- or reduced-price </w:t>
      </w:r>
      <w:proofErr w:type="gramStart"/>
      <w:r w:rsidRPr="00667200">
        <w:rPr>
          <w:rFonts w:ascii="system-ui" w:eastAsia="system-ui" w:hAnsi="system-ui" w:cs="system-ui"/>
        </w:rPr>
        <w:t>meals</w:t>
      </w:r>
      <w:proofErr w:type="gramEnd"/>
    </w:p>
    <w:p w14:paraId="6ED3593C" w14:textId="77777777" w:rsidR="005A7541" w:rsidRPr="00667200" w:rsidRDefault="005A7541" w:rsidP="00DD1482">
      <w:pPr>
        <w:pStyle w:val="ListParagraph"/>
        <w:numPr>
          <w:ilvl w:val="0"/>
          <w:numId w:val="4"/>
        </w:numPr>
        <w:ind w:left="1800"/>
        <w:rPr>
          <w:rFonts w:ascii="system-ui" w:eastAsia="system-ui" w:hAnsi="system-ui" w:cs="system-ui"/>
        </w:rPr>
      </w:pPr>
      <w:r w:rsidRPr="00667200">
        <w:rPr>
          <w:rFonts w:ascii="system-ui" w:eastAsia="system-ui" w:hAnsi="system-ui" w:cs="system-ui"/>
        </w:rPr>
        <w:t xml:space="preserve">0 points if less than 40 percent of students are eligible for free- or reduced-price </w:t>
      </w:r>
      <w:proofErr w:type="gramStart"/>
      <w:r w:rsidRPr="00667200">
        <w:rPr>
          <w:rFonts w:ascii="system-ui" w:eastAsia="system-ui" w:hAnsi="system-ui" w:cs="system-ui"/>
        </w:rPr>
        <w:t>meals</w:t>
      </w:r>
      <w:proofErr w:type="gramEnd"/>
    </w:p>
    <w:p w14:paraId="49C878A7" w14:textId="40852012" w:rsidR="07BEC275" w:rsidRPr="00667200" w:rsidRDefault="003826FA" w:rsidP="00DD1482">
      <w:pPr>
        <w:pStyle w:val="ListParagraph"/>
        <w:numPr>
          <w:ilvl w:val="0"/>
          <w:numId w:val="1"/>
        </w:numPr>
        <w:ind w:left="1080"/>
        <w:rPr>
          <w:rFonts w:ascii="system-ui" w:eastAsia="system-ui" w:hAnsi="system-ui" w:cs="system-ui"/>
          <w:b/>
          <w:bCs/>
        </w:rPr>
      </w:pPr>
      <w:r w:rsidRPr="00667200">
        <w:rPr>
          <w:rFonts w:ascii="system-ui" w:eastAsia="system-ui" w:hAnsi="system-ui" w:cs="system-ui"/>
          <w:b/>
          <w:bCs/>
        </w:rPr>
        <w:t>Local Composite Index</w:t>
      </w:r>
      <w:r w:rsidR="07BEC275" w:rsidRPr="00667200">
        <w:rPr>
          <w:rFonts w:ascii="system-ui" w:eastAsia="system-ui" w:hAnsi="system-ui" w:cs="system-ui"/>
          <w:b/>
          <w:bCs/>
        </w:rPr>
        <w:t xml:space="preserve"> (10 points)</w:t>
      </w:r>
    </w:p>
    <w:p w14:paraId="48C92624" w14:textId="77777777" w:rsidR="003826FA" w:rsidRPr="00667200" w:rsidRDefault="003826FA" w:rsidP="00DD1482">
      <w:pPr>
        <w:pStyle w:val="ListParagraph"/>
        <w:numPr>
          <w:ilvl w:val="0"/>
          <w:numId w:val="5"/>
        </w:numPr>
        <w:ind w:left="1800"/>
        <w:rPr>
          <w:rFonts w:ascii="system-ui" w:eastAsia="system-ui" w:hAnsi="system-ui" w:cs="system-ui"/>
        </w:rPr>
      </w:pPr>
      <w:r w:rsidRPr="00667200">
        <w:rPr>
          <w:rFonts w:ascii="system-ui" w:eastAsia="system-ui" w:hAnsi="system-ui" w:cs="system-ui"/>
        </w:rPr>
        <w:t>10 points for division Composite Index of 0.0000 to 0.2999</w:t>
      </w:r>
    </w:p>
    <w:p w14:paraId="67C903C6" w14:textId="77777777" w:rsidR="003826FA" w:rsidRPr="00667200" w:rsidRDefault="003826FA" w:rsidP="00DD1482">
      <w:pPr>
        <w:pStyle w:val="ListParagraph"/>
        <w:numPr>
          <w:ilvl w:val="0"/>
          <w:numId w:val="5"/>
        </w:numPr>
        <w:ind w:left="1800"/>
        <w:rPr>
          <w:rFonts w:ascii="system-ui" w:eastAsia="system-ui" w:hAnsi="system-ui" w:cs="system-ui"/>
        </w:rPr>
      </w:pPr>
      <w:r w:rsidRPr="00667200">
        <w:rPr>
          <w:rFonts w:ascii="system-ui" w:eastAsia="system-ui" w:hAnsi="system-ui" w:cs="system-ui"/>
        </w:rPr>
        <w:t>7 points for division Composite Index of 0.3000 to 0.5999</w:t>
      </w:r>
    </w:p>
    <w:p w14:paraId="25A2B4D3" w14:textId="77777777" w:rsidR="003826FA" w:rsidRPr="00667200" w:rsidRDefault="003826FA" w:rsidP="00DD1482">
      <w:pPr>
        <w:pStyle w:val="ListParagraph"/>
        <w:numPr>
          <w:ilvl w:val="0"/>
          <w:numId w:val="5"/>
        </w:numPr>
        <w:ind w:left="1800"/>
        <w:rPr>
          <w:rFonts w:ascii="system-ui" w:eastAsia="system-ui" w:hAnsi="system-ui" w:cs="system-ui"/>
        </w:rPr>
      </w:pPr>
      <w:r w:rsidRPr="00667200">
        <w:rPr>
          <w:rFonts w:ascii="system-ui" w:eastAsia="system-ui" w:hAnsi="system-ui" w:cs="system-ui"/>
        </w:rPr>
        <w:t>3 points for division Composite Index of 0.6000 to 0.8000</w:t>
      </w:r>
    </w:p>
    <w:p w14:paraId="073E319B" w14:textId="77777777" w:rsidR="00A85F3D" w:rsidRPr="00567844" w:rsidRDefault="00A85F3D">
      <w:pPr>
        <w:pStyle w:val="BodyText"/>
        <w:spacing w:before="2"/>
        <w:rPr>
          <w:sz w:val="16"/>
          <w:highlight w:val="yellow"/>
        </w:rPr>
      </w:pPr>
    </w:p>
    <w:p w14:paraId="073E31A1" w14:textId="77777777" w:rsidR="00A85F3D" w:rsidRPr="00567844" w:rsidRDefault="00A85F3D">
      <w:pPr>
        <w:pStyle w:val="BodyText"/>
        <w:spacing w:before="2"/>
        <w:rPr>
          <w:sz w:val="16"/>
          <w:highlight w:val="yellow"/>
        </w:rPr>
      </w:pPr>
    </w:p>
    <w:sectPr w:rsidR="00A85F3D" w:rsidRPr="00567844">
      <w:pgSz w:w="12240" w:h="15840"/>
      <w:pgMar w:top="1360" w:right="580" w:bottom="1160" w:left="5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3DAA" w14:textId="77777777" w:rsidR="00B730CC" w:rsidRDefault="00B730CC">
      <w:r>
        <w:separator/>
      </w:r>
    </w:p>
  </w:endnote>
  <w:endnote w:type="continuationSeparator" w:id="0">
    <w:p w14:paraId="1A094786" w14:textId="77777777" w:rsidR="00B730CC" w:rsidRDefault="00B7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31B7" w14:textId="364DCA37" w:rsidR="00A85F3D" w:rsidRDefault="00EC0F05">
    <w:pPr>
      <w:pStyle w:val="BodyText"/>
      <w:spacing w:line="14" w:lineRule="auto"/>
      <w:rPr>
        <w:sz w:val="20"/>
      </w:rPr>
    </w:pPr>
    <w:r>
      <w:rPr>
        <w:noProof/>
      </w:rPr>
      <mc:AlternateContent>
        <mc:Choice Requires="wps">
          <w:drawing>
            <wp:anchor distT="0" distB="0" distL="114300" distR="114300" simplePos="0" relativeHeight="251423744" behindDoc="1" locked="0" layoutInCell="1" allowOverlap="1" wp14:anchorId="073E31B9" wp14:editId="41716573">
              <wp:simplePos x="0" y="0"/>
              <wp:positionH relativeFrom="page">
                <wp:posOffset>4262120</wp:posOffset>
              </wp:positionH>
              <wp:positionV relativeFrom="page">
                <wp:posOffset>9476105</wp:posOffset>
              </wp:positionV>
              <wp:extent cx="2990215" cy="205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31BB" w14:textId="113B8AC1" w:rsidR="00A85F3D" w:rsidRDefault="00EC0F05">
                          <w:pPr>
                            <w:spacing w:before="14"/>
                            <w:ind w:left="20"/>
                            <w:rPr>
                              <w:sz w:val="16"/>
                            </w:rPr>
                          </w:pPr>
                          <w:r>
                            <w:rPr>
                              <w:sz w:val="16"/>
                            </w:rPr>
                            <w:t xml:space="preserve">VIRGINIA </w:t>
                          </w:r>
                          <w:r w:rsidR="00567844">
                            <w:rPr>
                              <w:sz w:val="16"/>
                            </w:rPr>
                            <w:t>DEPARTMENT</w:t>
                          </w:r>
                          <w:r>
                            <w:rPr>
                              <w:sz w:val="16"/>
                            </w:rPr>
                            <w:t xml:space="preserve"> OF EDUCATION | </w:t>
                          </w:r>
                          <w:hyperlink r:id="rId1">
                            <w:r>
                              <w:rPr>
                                <w:color w:val="003A70"/>
                                <w:sz w:val="16"/>
                                <w:u w:val="single" w:color="003A70"/>
                              </w:rPr>
                              <w:t>doe.virginia.gov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73E31B9">
              <v:stroke joinstyle="miter"/>
              <v:path gradientshapeok="t" o:connecttype="rect"/>
            </v:shapetype>
            <v:shape id="Text Box 1" style="position:absolute;margin-left:335.6pt;margin-top:746.15pt;width:235.45pt;height:16.2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">
              <v:textbox inset="0,0,0,0">
                <w:txbxContent>
                  <w:p w:rsidR="00A85F3D" w:rsidRDefault="00EC0F05" w14:paraId="073E31BB" w14:textId="113B8AC1">
                    <w:pPr>
                      <w:spacing w:before="14"/>
                      <w:ind w:left="20"/>
                      <w:rPr>
                        <w:sz w:val="16"/>
                      </w:rPr>
                    </w:pPr>
                    <w:r>
                      <w:rPr>
                        <w:sz w:val="16"/>
                      </w:rPr>
                      <w:t xml:space="preserve">VIRGINIA </w:t>
                    </w:r>
                    <w:r w:rsidR="00567844">
                      <w:rPr>
                        <w:sz w:val="16"/>
                      </w:rPr>
                      <w:t>DEPARTMENT</w:t>
                    </w:r>
                    <w:r>
                      <w:rPr>
                        <w:sz w:val="16"/>
                      </w:rPr>
                      <w:t xml:space="preserve"> OF EDUCATION | </w:t>
                    </w:r>
                    <w:hyperlink r:id="rId2">
                      <w:r>
                        <w:rPr>
                          <w:color w:val="003A70"/>
                          <w:sz w:val="16"/>
                          <w:u w:val="single" w:color="003A70"/>
                        </w:rPr>
                        <w:t>doe.virginia.gov</w:t>
                      </w:r>
                    </w:hyperlink>
                  </w:p>
                </w:txbxContent>
              </v:textbox>
              <w10:wrap anchorx="page" anchory="page"/>
            </v:shape>
          </w:pict>
        </mc:Fallback>
      </mc:AlternateContent>
    </w:r>
    <w:r>
      <w:rPr>
        <w:noProof/>
      </w:rPr>
      <mc:AlternateContent>
        <mc:Choice Requires="wps">
          <w:drawing>
            <wp:anchor distT="0" distB="0" distL="114300" distR="114300" simplePos="0" relativeHeight="251422720" behindDoc="1" locked="0" layoutInCell="1" allowOverlap="1" wp14:anchorId="073E31B8" wp14:editId="5C33F2E5">
              <wp:simplePos x="0" y="0"/>
              <wp:positionH relativeFrom="page">
                <wp:posOffset>3752215</wp:posOffset>
              </wp:positionH>
              <wp:positionV relativeFrom="page">
                <wp:posOffset>9302115</wp:posOffset>
              </wp:positionV>
              <wp:extent cx="1524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31BA" w14:textId="77777777" w:rsidR="00A85F3D" w:rsidRDefault="00EC0F05">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 style="position:absolute;margin-left:295.45pt;margin-top:732.45pt;width:12pt;height:15.3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" w14:anchorId="073E31B8">
              <v:textbox inset="0,0,0,0">
                <w:txbxContent>
                  <w:p w:rsidR="00A85F3D" w:rsidRDefault="00EC0F05" w14:paraId="073E31BA" w14:textId="77777777">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108F" w14:textId="77777777" w:rsidR="00B730CC" w:rsidRDefault="00B730CC">
      <w:r>
        <w:separator/>
      </w:r>
    </w:p>
  </w:footnote>
  <w:footnote w:type="continuationSeparator" w:id="0">
    <w:p w14:paraId="475A5F60" w14:textId="77777777" w:rsidR="00B730CC" w:rsidRDefault="00B730CC">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PuiNuy0b" int2:invalidationBookmarkName="" int2:hashCode="VRd/LyDcPFdCnc" int2:id="YaHriv7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42D1D"/>
    <w:multiLevelType w:val="hybridMultilevel"/>
    <w:tmpl w:val="774298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2B722C"/>
    <w:multiLevelType w:val="hybridMultilevel"/>
    <w:tmpl w:val="C14E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448423"/>
    <w:multiLevelType w:val="hybridMultilevel"/>
    <w:tmpl w:val="491C3532"/>
    <w:lvl w:ilvl="0" w:tplc="3C5CDEC0">
      <w:start w:val="1"/>
      <w:numFmt w:val="decimal"/>
      <w:lvlText w:val="%1."/>
      <w:lvlJc w:val="left"/>
      <w:pPr>
        <w:ind w:left="720" w:hanging="360"/>
      </w:pPr>
      <w:rPr>
        <w:rFonts w:hint="default"/>
      </w:rPr>
    </w:lvl>
    <w:lvl w:ilvl="1" w:tplc="EE6678D4">
      <w:start w:val="1"/>
      <w:numFmt w:val="bullet"/>
      <w:lvlText w:val="o"/>
      <w:lvlJc w:val="left"/>
      <w:pPr>
        <w:ind w:left="1440" w:hanging="360"/>
      </w:pPr>
      <w:rPr>
        <w:rFonts w:ascii="Courier New" w:hAnsi="Courier New" w:hint="default"/>
      </w:rPr>
    </w:lvl>
    <w:lvl w:ilvl="2" w:tplc="B7802250">
      <w:start w:val="1"/>
      <w:numFmt w:val="bullet"/>
      <w:lvlText w:val=""/>
      <w:lvlJc w:val="left"/>
      <w:pPr>
        <w:ind w:left="2160" w:hanging="360"/>
      </w:pPr>
      <w:rPr>
        <w:rFonts w:ascii="Wingdings" w:hAnsi="Wingdings" w:hint="default"/>
      </w:rPr>
    </w:lvl>
    <w:lvl w:ilvl="3" w:tplc="BF2C97CA">
      <w:start w:val="1"/>
      <w:numFmt w:val="bullet"/>
      <w:lvlText w:val=""/>
      <w:lvlJc w:val="left"/>
      <w:pPr>
        <w:ind w:left="2880" w:hanging="360"/>
      </w:pPr>
      <w:rPr>
        <w:rFonts w:ascii="Symbol" w:hAnsi="Symbol" w:hint="default"/>
      </w:rPr>
    </w:lvl>
    <w:lvl w:ilvl="4" w:tplc="C6368B80">
      <w:start w:val="1"/>
      <w:numFmt w:val="bullet"/>
      <w:lvlText w:val="o"/>
      <w:lvlJc w:val="left"/>
      <w:pPr>
        <w:ind w:left="3600" w:hanging="360"/>
      </w:pPr>
      <w:rPr>
        <w:rFonts w:ascii="Courier New" w:hAnsi="Courier New" w:hint="default"/>
      </w:rPr>
    </w:lvl>
    <w:lvl w:ilvl="5" w:tplc="4BDCBBE8">
      <w:start w:val="1"/>
      <w:numFmt w:val="bullet"/>
      <w:lvlText w:val=""/>
      <w:lvlJc w:val="left"/>
      <w:pPr>
        <w:ind w:left="4320" w:hanging="360"/>
      </w:pPr>
      <w:rPr>
        <w:rFonts w:ascii="Wingdings" w:hAnsi="Wingdings" w:hint="default"/>
      </w:rPr>
    </w:lvl>
    <w:lvl w:ilvl="6" w:tplc="43F8E354">
      <w:start w:val="1"/>
      <w:numFmt w:val="bullet"/>
      <w:lvlText w:val=""/>
      <w:lvlJc w:val="left"/>
      <w:pPr>
        <w:ind w:left="5040" w:hanging="360"/>
      </w:pPr>
      <w:rPr>
        <w:rFonts w:ascii="Symbol" w:hAnsi="Symbol" w:hint="default"/>
      </w:rPr>
    </w:lvl>
    <w:lvl w:ilvl="7" w:tplc="A000CA18">
      <w:start w:val="1"/>
      <w:numFmt w:val="bullet"/>
      <w:lvlText w:val="o"/>
      <w:lvlJc w:val="left"/>
      <w:pPr>
        <w:ind w:left="5760" w:hanging="360"/>
      </w:pPr>
      <w:rPr>
        <w:rFonts w:ascii="Courier New" w:hAnsi="Courier New" w:hint="default"/>
      </w:rPr>
    </w:lvl>
    <w:lvl w:ilvl="8" w:tplc="99167074">
      <w:start w:val="1"/>
      <w:numFmt w:val="bullet"/>
      <w:lvlText w:val=""/>
      <w:lvlJc w:val="left"/>
      <w:pPr>
        <w:ind w:left="6480" w:hanging="360"/>
      </w:pPr>
      <w:rPr>
        <w:rFonts w:ascii="Wingdings" w:hAnsi="Wingdings" w:hint="default"/>
      </w:rPr>
    </w:lvl>
  </w:abstractNum>
  <w:abstractNum w:abstractNumId="3" w15:restartNumberingAfterBreak="0">
    <w:nsid w:val="56A5478F"/>
    <w:multiLevelType w:val="hybridMultilevel"/>
    <w:tmpl w:val="DBE8E772"/>
    <w:lvl w:ilvl="0" w:tplc="8B9679AE">
      <w:start w:val="1"/>
      <w:numFmt w:val="decimal"/>
      <w:lvlText w:val="%1."/>
      <w:lvlJc w:val="left"/>
      <w:pPr>
        <w:ind w:left="951" w:hanging="272"/>
        <w:jc w:val="right"/>
      </w:pPr>
      <w:rPr>
        <w:rFonts w:ascii="Times New Roman" w:eastAsia="Times New Roman" w:hAnsi="Times New Roman" w:cs="Times New Roman" w:hint="default"/>
        <w:spacing w:val="-29"/>
        <w:w w:val="100"/>
        <w:sz w:val="24"/>
        <w:szCs w:val="24"/>
        <w:lang w:val="en-US" w:eastAsia="en-US" w:bidi="en-US"/>
      </w:rPr>
    </w:lvl>
    <w:lvl w:ilvl="1" w:tplc="A49C7380">
      <w:start w:val="1"/>
      <w:numFmt w:val="decimal"/>
      <w:lvlText w:val="%2."/>
      <w:lvlJc w:val="left"/>
      <w:pPr>
        <w:ind w:left="680" w:hanging="300"/>
        <w:jc w:val="left"/>
      </w:pPr>
      <w:rPr>
        <w:rFonts w:ascii="Times New Roman" w:eastAsia="Times New Roman" w:hAnsi="Times New Roman" w:cs="Times New Roman" w:hint="default"/>
        <w:b/>
        <w:bCs/>
        <w:spacing w:val="-4"/>
        <w:w w:val="100"/>
        <w:sz w:val="24"/>
        <w:szCs w:val="24"/>
        <w:lang w:val="en-US" w:eastAsia="en-US" w:bidi="en-US"/>
      </w:rPr>
    </w:lvl>
    <w:lvl w:ilvl="2" w:tplc="FFFFFFFF">
      <w:start w:val="1"/>
      <w:numFmt w:val="bullet"/>
      <w:lvlText w:val="-"/>
      <w:lvlJc w:val="left"/>
      <w:pPr>
        <w:ind w:left="1220" w:hanging="180"/>
      </w:pPr>
      <w:rPr>
        <w:rFonts w:ascii="Times New Roman" w:hAnsi="Times New Roman" w:hint="default"/>
        <w:spacing w:val="-20"/>
        <w:w w:val="100"/>
        <w:sz w:val="24"/>
        <w:szCs w:val="24"/>
        <w:lang w:val="en-US" w:eastAsia="en-US" w:bidi="en-US"/>
      </w:rPr>
    </w:lvl>
    <w:lvl w:ilvl="3" w:tplc="E924BCFC">
      <w:numFmt w:val="bullet"/>
      <w:lvlText w:val="•"/>
      <w:lvlJc w:val="left"/>
      <w:pPr>
        <w:ind w:left="2452" w:hanging="180"/>
      </w:pPr>
      <w:rPr>
        <w:rFonts w:hint="default"/>
        <w:lang w:val="en-US" w:eastAsia="en-US" w:bidi="en-US"/>
      </w:rPr>
    </w:lvl>
    <w:lvl w:ilvl="4" w:tplc="82BA999E">
      <w:numFmt w:val="bullet"/>
      <w:lvlText w:val="•"/>
      <w:lvlJc w:val="left"/>
      <w:pPr>
        <w:ind w:left="3685" w:hanging="180"/>
      </w:pPr>
      <w:rPr>
        <w:rFonts w:hint="default"/>
        <w:lang w:val="en-US" w:eastAsia="en-US" w:bidi="en-US"/>
      </w:rPr>
    </w:lvl>
    <w:lvl w:ilvl="5" w:tplc="CE427752">
      <w:numFmt w:val="bullet"/>
      <w:lvlText w:val="•"/>
      <w:lvlJc w:val="left"/>
      <w:pPr>
        <w:ind w:left="4917" w:hanging="180"/>
      </w:pPr>
      <w:rPr>
        <w:rFonts w:hint="default"/>
        <w:lang w:val="en-US" w:eastAsia="en-US" w:bidi="en-US"/>
      </w:rPr>
    </w:lvl>
    <w:lvl w:ilvl="6" w:tplc="0CF8DDAE">
      <w:numFmt w:val="bullet"/>
      <w:lvlText w:val="•"/>
      <w:lvlJc w:val="left"/>
      <w:pPr>
        <w:ind w:left="6150" w:hanging="180"/>
      </w:pPr>
      <w:rPr>
        <w:rFonts w:hint="default"/>
        <w:lang w:val="en-US" w:eastAsia="en-US" w:bidi="en-US"/>
      </w:rPr>
    </w:lvl>
    <w:lvl w:ilvl="7" w:tplc="E312C3C4">
      <w:numFmt w:val="bullet"/>
      <w:lvlText w:val="•"/>
      <w:lvlJc w:val="left"/>
      <w:pPr>
        <w:ind w:left="7382" w:hanging="180"/>
      </w:pPr>
      <w:rPr>
        <w:rFonts w:hint="default"/>
        <w:lang w:val="en-US" w:eastAsia="en-US" w:bidi="en-US"/>
      </w:rPr>
    </w:lvl>
    <w:lvl w:ilvl="8" w:tplc="B8CC02E6">
      <w:numFmt w:val="bullet"/>
      <w:lvlText w:val="•"/>
      <w:lvlJc w:val="left"/>
      <w:pPr>
        <w:ind w:left="8615" w:hanging="180"/>
      </w:pPr>
      <w:rPr>
        <w:rFonts w:hint="default"/>
        <w:lang w:val="en-US" w:eastAsia="en-US" w:bidi="en-US"/>
      </w:rPr>
    </w:lvl>
  </w:abstractNum>
  <w:abstractNum w:abstractNumId="4" w15:restartNumberingAfterBreak="0">
    <w:nsid w:val="5B452E73"/>
    <w:multiLevelType w:val="hybridMultilevel"/>
    <w:tmpl w:val="67A81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ED0221"/>
    <w:multiLevelType w:val="hybridMultilevel"/>
    <w:tmpl w:val="B3BCA902"/>
    <w:lvl w:ilvl="0" w:tplc="520A9D3C">
      <w:start w:val="21"/>
      <w:numFmt w:val="upperLetter"/>
      <w:lvlText w:val="%1"/>
      <w:lvlJc w:val="left"/>
      <w:pPr>
        <w:ind w:left="1167" w:hanging="488"/>
        <w:jc w:val="left"/>
      </w:pPr>
      <w:rPr>
        <w:rFonts w:hint="default"/>
        <w:lang w:val="en-US" w:eastAsia="en-US" w:bidi="en-US"/>
      </w:rPr>
    </w:lvl>
    <w:lvl w:ilvl="1" w:tplc="8350FD98">
      <w:numFmt w:val="bullet"/>
      <w:lvlText w:val="-"/>
      <w:lvlJc w:val="left"/>
      <w:pPr>
        <w:ind w:left="1220" w:hanging="180"/>
      </w:pPr>
      <w:rPr>
        <w:rFonts w:ascii="Times New Roman" w:eastAsia="Times New Roman" w:hAnsi="Times New Roman" w:cs="Times New Roman" w:hint="default"/>
        <w:spacing w:val="-20"/>
        <w:w w:val="100"/>
        <w:sz w:val="24"/>
        <w:szCs w:val="24"/>
        <w:lang w:val="en-US" w:eastAsia="en-US" w:bidi="en-US"/>
      </w:rPr>
    </w:lvl>
    <w:lvl w:ilvl="2" w:tplc="679679C8">
      <w:numFmt w:val="bullet"/>
      <w:lvlText w:val="•"/>
      <w:lvlJc w:val="left"/>
      <w:pPr>
        <w:ind w:left="2315" w:hanging="180"/>
      </w:pPr>
      <w:rPr>
        <w:rFonts w:hint="default"/>
        <w:lang w:val="en-US" w:eastAsia="en-US" w:bidi="en-US"/>
      </w:rPr>
    </w:lvl>
    <w:lvl w:ilvl="3" w:tplc="4DFE6A94">
      <w:numFmt w:val="bullet"/>
      <w:lvlText w:val="•"/>
      <w:lvlJc w:val="left"/>
      <w:pPr>
        <w:ind w:left="3411" w:hanging="180"/>
      </w:pPr>
      <w:rPr>
        <w:rFonts w:hint="default"/>
        <w:lang w:val="en-US" w:eastAsia="en-US" w:bidi="en-US"/>
      </w:rPr>
    </w:lvl>
    <w:lvl w:ilvl="4" w:tplc="354AA6B0">
      <w:numFmt w:val="bullet"/>
      <w:lvlText w:val="•"/>
      <w:lvlJc w:val="left"/>
      <w:pPr>
        <w:ind w:left="4506" w:hanging="180"/>
      </w:pPr>
      <w:rPr>
        <w:rFonts w:hint="default"/>
        <w:lang w:val="en-US" w:eastAsia="en-US" w:bidi="en-US"/>
      </w:rPr>
    </w:lvl>
    <w:lvl w:ilvl="5" w:tplc="5454762E">
      <w:numFmt w:val="bullet"/>
      <w:lvlText w:val="•"/>
      <w:lvlJc w:val="left"/>
      <w:pPr>
        <w:ind w:left="5602" w:hanging="180"/>
      </w:pPr>
      <w:rPr>
        <w:rFonts w:hint="default"/>
        <w:lang w:val="en-US" w:eastAsia="en-US" w:bidi="en-US"/>
      </w:rPr>
    </w:lvl>
    <w:lvl w:ilvl="6" w:tplc="2B9C6676">
      <w:numFmt w:val="bullet"/>
      <w:lvlText w:val="•"/>
      <w:lvlJc w:val="left"/>
      <w:pPr>
        <w:ind w:left="6697" w:hanging="180"/>
      </w:pPr>
      <w:rPr>
        <w:rFonts w:hint="default"/>
        <w:lang w:val="en-US" w:eastAsia="en-US" w:bidi="en-US"/>
      </w:rPr>
    </w:lvl>
    <w:lvl w:ilvl="7" w:tplc="171ABB5E">
      <w:numFmt w:val="bullet"/>
      <w:lvlText w:val="•"/>
      <w:lvlJc w:val="left"/>
      <w:pPr>
        <w:ind w:left="7793" w:hanging="180"/>
      </w:pPr>
      <w:rPr>
        <w:rFonts w:hint="default"/>
        <w:lang w:val="en-US" w:eastAsia="en-US" w:bidi="en-US"/>
      </w:rPr>
    </w:lvl>
    <w:lvl w:ilvl="8" w:tplc="AB5A2238">
      <w:numFmt w:val="bullet"/>
      <w:lvlText w:val="•"/>
      <w:lvlJc w:val="left"/>
      <w:pPr>
        <w:ind w:left="8888" w:hanging="180"/>
      </w:pPr>
      <w:rPr>
        <w:rFonts w:hint="default"/>
        <w:lang w:val="en-US" w:eastAsia="en-US" w:bidi="en-US"/>
      </w:rPr>
    </w:lvl>
  </w:abstractNum>
  <w:num w:numId="1" w16cid:durableId="2139763445">
    <w:abstractNumId w:val="2"/>
  </w:num>
  <w:num w:numId="2" w16cid:durableId="570845056">
    <w:abstractNumId w:val="5"/>
  </w:num>
  <w:num w:numId="3" w16cid:durableId="1462653848">
    <w:abstractNumId w:val="3"/>
  </w:num>
  <w:num w:numId="4" w16cid:durableId="1109735838">
    <w:abstractNumId w:val="0"/>
  </w:num>
  <w:num w:numId="5" w16cid:durableId="1306010628">
    <w:abstractNumId w:val="4"/>
  </w:num>
  <w:num w:numId="6" w16cid:durableId="449010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3D"/>
    <w:rsid w:val="0003143C"/>
    <w:rsid w:val="00061352"/>
    <w:rsid w:val="000A50FF"/>
    <w:rsid w:val="000B5EFB"/>
    <w:rsid w:val="00125AEB"/>
    <w:rsid w:val="00170CC2"/>
    <w:rsid w:val="0017759A"/>
    <w:rsid w:val="001A1B7C"/>
    <w:rsid w:val="001A41CC"/>
    <w:rsid w:val="001A499F"/>
    <w:rsid w:val="001B7D81"/>
    <w:rsid w:val="001F729B"/>
    <w:rsid w:val="00207130"/>
    <w:rsid w:val="00213B81"/>
    <w:rsid w:val="002E412C"/>
    <w:rsid w:val="00342465"/>
    <w:rsid w:val="00366F21"/>
    <w:rsid w:val="00377680"/>
    <w:rsid w:val="003826FA"/>
    <w:rsid w:val="00391072"/>
    <w:rsid w:val="003D10E5"/>
    <w:rsid w:val="003E7640"/>
    <w:rsid w:val="003F7518"/>
    <w:rsid w:val="00483A8A"/>
    <w:rsid w:val="004B67B0"/>
    <w:rsid w:val="004D7259"/>
    <w:rsid w:val="00504252"/>
    <w:rsid w:val="00536546"/>
    <w:rsid w:val="005511D1"/>
    <w:rsid w:val="00567844"/>
    <w:rsid w:val="00595776"/>
    <w:rsid w:val="00597990"/>
    <w:rsid w:val="005A7541"/>
    <w:rsid w:val="005D021A"/>
    <w:rsid w:val="005E146D"/>
    <w:rsid w:val="00667200"/>
    <w:rsid w:val="0067424B"/>
    <w:rsid w:val="0068733D"/>
    <w:rsid w:val="006B33FC"/>
    <w:rsid w:val="006E5B81"/>
    <w:rsid w:val="007514CA"/>
    <w:rsid w:val="00790ECA"/>
    <w:rsid w:val="0080175F"/>
    <w:rsid w:val="008B0B0D"/>
    <w:rsid w:val="008B5C04"/>
    <w:rsid w:val="008B6EE9"/>
    <w:rsid w:val="009019F2"/>
    <w:rsid w:val="00905ED3"/>
    <w:rsid w:val="00912ED3"/>
    <w:rsid w:val="009174CF"/>
    <w:rsid w:val="009A4EB6"/>
    <w:rsid w:val="009C2032"/>
    <w:rsid w:val="00A64C58"/>
    <w:rsid w:val="00A77C08"/>
    <w:rsid w:val="00A85F3D"/>
    <w:rsid w:val="00B31690"/>
    <w:rsid w:val="00B43C27"/>
    <w:rsid w:val="00B559FE"/>
    <w:rsid w:val="00B730CC"/>
    <w:rsid w:val="00B81576"/>
    <w:rsid w:val="00BD5C06"/>
    <w:rsid w:val="00BE0C8D"/>
    <w:rsid w:val="00BF71C0"/>
    <w:rsid w:val="00C4433E"/>
    <w:rsid w:val="00CA33F5"/>
    <w:rsid w:val="00CC3BDB"/>
    <w:rsid w:val="00D4494E"/>
    <w:rsid w:val="00D51969"/>
    <w:rsid w:val="00D554AE"/>
    <w:rsid w:val="00D761CD"/>
    <w:rsid w:val="00D976BF"/>
    <w:rsid w:val="00DB302E"/>
    <w:rsid w:val="00DC17D7"/>
    <w:rsid w:val="00DD1482"/>
    <w:rsid w:val="00DF0F20"/>
    <w:rsid w:val="00E66D05"/>
    <w:rsid w:val="00E905DF"/>
    <w:rsid w:val="00E95863"/>
    <w:rsid w:val="00EA5047"/>
    <w:rsid w:val="00EC0F05"/>
    <w:rsid w:val="00EC6611"/>
    <w:rsid w:val="00ED50CC"/>
    <w:rsid w:val="00EE6DC7"/>
    <w:rsid w:val="00F4168C"/>
    <w:rsid w:val="00F91B68"/>
    <w:rsid w:val="00FB4599"/>
    <w:rsid w:val="00FC3488"/>
    <w:rsid w:val="00FC3B8E"/>
    <w:rsid w:val="00FF5163"/>
    <w:rsid w:val="07BEC275"/>
    <w:rsid w:val="097C2977"/>
    <w:rsid w:val="20527DBF"/>
    <w:rsid w:val="2B330695"/>
    <w:rsid w:val="314D7A0A"/>
    <w:rsid w:val="33858F4E"/>
    <w:rsid w:val="3433287F"/>
    <w:rsid w:val="3AFD2F00"/>
    <w:rsid w:val="3C381DDE"/>
    <w:rsid w:val="3DD3EE3F"/>
    <w:rsid w:val="4106DD58"/>
    <w:rsid w:val="441B4213"/>
    <w:rsid w:val="4D96FCD9"/>
    <w:rsid w:val="4F8239A5"/>
    <w:rsid w:val="5210C415"/>
    <w:rsid w:val="55273616"/>
    <w:rsid w:val="587054A8"/>
    <w:rsid w:val="5B9E7DFE"/>
    <w:rsid w:val="5C946986"/>
    <w:rsid w:val="60FEAE0E"/>
    <w:rsid w:val="629A7E6F"/>
    <w:rsid w:val="6889A035"/>
    <w:rsid w:val="6D4A62B8"/>
    <w:rsid w:val="710F3E42"/>
    <w:rsid w:val="7514C6FC"/>
    <w:rsid w:val="7553CA54"/>
    <w:rsid w:val="7DF421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E3118"/>
  <w15:docId w15:val="{726E5FAD-24C0-4689-9504-485CB4E2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80"/>
      <w:outlineLvl w:val="0"/>
    </w:pPr>
    <w:rPr>
      <w:b/>
      <w:bCs/>
      <w:sz w:val="36"/>
      <w:szCs w:val="36"/>
    </w:rPr>
  </w:style>
  <w:style w:type="paragraph" w:styleId="Heading2">
    <w:name w:val="heading 2"/>
    <w:basedOn w:val="Normal"/>
    <w:uiPriority w:val="9"/>
    <w:unhideWhenUsed/>
    <w:qFormat/>
    <w:pPr>
      <w:ind w:left="6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180"/>
    </w:pPr>
  </w:style>
  <w:style w:type="paragraph" w:customStyle="1" w:styleId="TableParagraph">
    <w:name w:val="Table Paragraph"/>
    <w:basedOn w:val="Normal"/>
    <w:uiPriority w:val="1"/>
    <w:qFormat/>
    <w:pPr>
      <w:spacing w:before="99"/>
      <w:ind w:left="99"/>
    </w:pPr>
  </w:style>
  <w:style w:type="paragraph" w:styleId="Title">
    <w:name w:val="Title"/>
    <w:basedOn w:val="Normal"/>
    <w:next w:val="Normal"/>
    <w:link w:val="TitleChar"/>
    <w:uiPriority w:val="10"/>
    <w:qFormat/>
    <w:rsid w:val="00790E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ECA"/>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B815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81576"/>
    <w:rPr>
      <w:rFonts w:eastAsiaTheme="minorEastAsia"/>
      <w:color w:val="5A5A5A" w:themeColor="text1" w:themeTint="A5"/>
      <w:spacing w:val="15"/>
      <w:lang w:bidi="en-US"/>
    </w:rPr>
  </w:style>
  <w:style w:type="paragraph" w:styleId="Header">
    <w:name w:val="header"/>
    <w:basedOn w:val="Normal"/>
    <w:link w:val="HeaderChar"/>
    <w:uiPriority w:val="99"/>
    <w:unhideWhenUsed/>
    <w:rsid w:val="00567844"/>
    <w:pPr>
      <w:tabs>
        <w:tab w:val="center" w:pos="4680"/>
        <w:tab w:val="right" w:pos="9360"/>
      </w:tabs>
    </w:pPr>
  </w:style>
  <w:style w:type="character" w:customStyle="1" w:styleId="HeaderChar">
    <w:name w:val="Header Char"/>
    <w:basedOn w:val="DefaultParagraphFont"/>
    <w:link w:val="Header"/>
    <w:uiPriority w:val="99"/>
    <w:rsid w:val="00567844"/>
    <w:rPr>
      <w:rFonts w:ascii="Times New Roman" w:eastAsia="Times New Roman" w:hAnsi="Times New Roman" w:cs="Times New Roman"/>
      <w:lang w:bidi="en-US"/>
    </w:rPr>
  </w:style>
  <w:style w:type="paragraph" w:styleId="Footer">
    <w:name w:val="footer"/>
    <w:basedOn w:val="Normal"/>
    <w:link w:val="FooterChar"/>
    <w:uiPriority w:val="99"/>
    <w:unhideWhenUsed/>
    <w:rsid w:val="00567844"/>
    <w:pPr>
      <w:tabs>
        <w:tab w:val="center" w:pos="4680"/>
        <w:tab w:val="right" w:pos="9360"/>
      </w:tabs>
    </w:pPr>
  </w:style>
  <w:style w:type="character" w:customStyle="1" w:styleId="FooterChar">
    <w:name w:val="Footer Char"/>
    <w:basedOn w:val="DefaultParagraphFont"/>
    <w:link w:val="Footer"/>
    <w:uiPriority w:val="99"/>
    <w:rsid w:val="00567844"/>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5D021A"/>
    <w:rPr>
      <w:sz w:val="16"/>
      <w:szCs w:val="16"/>
    </w:rPr>
  </w:style>
  <w:style w:type="paragraph" w:styleId="CommentText">
    <w:name w:val="annotation text"/>
    <w:basedOn w:val="Normal"/>
    <w:link w:val="CommentTextChar"/>
    <w:uiPriority w:val="99"/>
    <w:unhideWhenUsed/>
    <w:rsid w:val="005D021A"/>
    <w:rPr>
      <w:sz w:val="20"/>
      <w:szCs w:val="20"/>
    </w:rPr>
  </w:style>
  <w:style w:type="character" w:customStyle="1" w:styleId="CommentTextChar">
    <w:name w:val="Comment Text Char"/>
    <w:basedOn w:val="DefaultParagraphFont"/>
    <w:link w:val="CommentText"/>
    <w:uiPriority w:val="99"/>
    <w:rsid w:val="005D021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D021A"/>
    <w:rPr>
      <w:b/>
      <w:bCs/>
    </w:rPr>
  </w:style>
  <w:style w:type="character" w:customStyle="1" w:styleId="CommentSubjectChar">
    <w:name w:val="Comment Subject Char"/>
    <w:basedOn w:val="CommentTextChar"/>
    <w:link w:val="CommentSubject"/>
    <w:uiPriority w:val="99"/>
    <w:semiHidden/>
    <w:rsid w:val="005D021A"/>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doe.virginia.gov/" TargetMode="External"/><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1187</Words>
  <Characters>6769</Characters>
  <Application>Microsoft Office Word</Application>
  <DocSecurity>8</DocSecurity>
  <Lines>56</Lines>
  <Paragraphs>15</Paragraphs>
  <ScaleCrop>false</ScaleCrop>
  <Company>VITA</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Nuthall</dc:creator>
  <cp:lastModifiedBy>Harris, Lisa (DOE)</cp:lastModifiedBy>
  <cp:revision>85</cp:revision>
  <dcterms:created xsi:type="dcterms:W3CDTF">2023-11-15T17:25:00Z</dcterms:created>
  <dcterms:modified xsi:type="dcterms:W3CDTF">2023-12-18T16:19:00Z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Acrobat PDFMaker 20 for Word</vt:lpwstr>
  </property>
  <property fmtid="{D5CDD505-2E9C-101B-9397-08002B2CF9AE}" pid="4" name="LastSaved">
    <vt:filetime>2023-09-28T00:00:00Z</vt:filetime>
  </property>
</Properties>
</file>