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CE61" w14:textId="7F334822" w:rsidR="00064D26" w:rsidRPr="00A0037A" w:rsidRDefault="00064D26" w:rsidP="001768BA">
      <w:pPr>
        <w:pStyle w:val="Default"/>
        <w:tabs>
          <w:tab w:val="left" w:pos="6390"/>
        </w:tabs>
        <w:jc w:val="center"/>
        <w:rPr>
          <w:b/>
          <w:bCs/>
          <w:i/>
          <w:color w:val="auto"/>
          <w:sz w:val="22"/>
          <w:szCs w:val="22"/>
        </w:rPr>
      </w:pPr>
      <w:r w:rsidRPr="00A0037A">
        <w:rPr>
          <w:b/>
          <w:bCs/>
          <w:i/>
          <w:color w:val="auto"/>
          <w:sz w:val="22"/>
          <w:szCs w:val="22"/>
        </w:rPr>
        <w:t>Virginia Department of Education</w:t>
      </w:r>
    </w:p>
    <w:p w14:paraId="1AA25179" w14:textId="77777777" w:rsidR="00381732" w:rsidRPr="00A0037A" w:rsidRDefault="00563C4D" w:rsidP="00381732">
      <w:pPr>
        <w:pStyle w:val="Default"/>
        <w:tabs>
          <w:tab w:val="left" w:pos="6390"/>
        </w:tabs>
        <w:jc w:val="center"/>
        <w:rPr>
          <w:i/>
          <w:color w:val="auto"/>
          <w:sz w:val="22"/>
          <w:szCs w:val="22"/>
        </w:rPr>
      </w:pPr>
      <w:r w:rsidRPr="00A0037A">
        <w:rPr>
          <w:b/>
          <w:bCs/>
          <w:i/>
          <w:color w:val="auto"/>
          <w:sz w:val="22"/>
          <w:szCs w:val="22"/>
        </w:rPr>
        <w:t xml:space="preserve">Department </w:t>
      </w:r>
      <w:r w:rsidR="00517EC6" w:rsidRPr="00A0037A">
        <w:rPr>
          <w:b/>
          <w:bCs/>
          <w:i/>
          <w:color w:val="auto"/>
          <w:sz w:val="22"/>
          <w:szCs w:val="22"/>
        </w:rPr>
        <w:t>of Teacher Education and Licensure</w:t>
      </w:r>
    </w:p>
    <w:p w14:paraId="36805D46" w14:textId="2578CC72" w:rsidR="00517EC6" w:rsidRPr="00A0037A" w:rsidRDefault="001F19A7" w:rsidP="00381732">
      <w:pPr>
        <w:pStyle w:val="Default"/>
        <w:tabs>
          <w:tab w:val="left" w:pos="6390"/>
        </w:tabs>
        <w:jc w:val="center"/>
        <w:rPr>
          <w:i/>
          <w:color w:val="auto"/>
          <w:sz w:val="22"/>
          <w:szCs w:val="22"/>
        </w:rPr>
      </w:pPr>
      <w:r w:rsidRPr="00A0037A">
        <w:rPr>
          <w:b/>
          <w:bCs/>
          <w:i/>
          <w:color w:val="auto"/>
          <w:sz w:val="22"/>
          <w:szCs w:val="22"/>
        </w:rPr>
        <w:t>PO</w:t>
      </w:r>
      <w:r w:rsidR="00517EC6" w:rsidRPr="00A0037A">
        <w:rPr>
          <w:b/>
          <w:bCs/>
          <w:i/>
          <w:color w:val="auto"/>
          <w:sz w:val="22"/>
          <w:szCs w:val="22"/>
        </w:rPr>
        <w:t xml:space="preserve"> Box 2120</w:t>
      </w:r>
    </w:p>
    <w:p w14:paraId="7587121B" w14:textId="77777777" w:rsidR="00517EC6" w:rsidRPr="00A0037A" w:rsidRDefault="00517EC6" w:rsidP="001768BA">
      <w:pPr>
        <w:pStyle w:val="Default"/>
        <w:tabs>
          <w:tab w:val="left" w:pos="6390"/>
        </w:tabs>
        <w:jc w:val="center"/>
        <w:rPr>
          <w:b/>
          <w:bCs/>
          <w:i/>
          <w:color w:val="auto"/>
          <w:sz w:val="22"/>
          <w:szCs w:val="22"/>
        </w:rPr>
      </w:pPr>
      <w:r w:rsidRPr="00A0037A">
        <w:rPr>
          <w:b/>
          <w:bCs/>
          <w:i/>
          <w:color w:val="auto"/>
          <w:sz w:val="22"/>
          <w:szCs w:val="22"/>
        </w:rPr>
        <w:t>Richmond, Virginia 23218-2120</w:t>
      </w:r>
    </w:p>
    <w:p w14:paraId="59CE982F" w14:textId="77777777" w:rsidR="00517EC6" w:rsidRDefault="00517EC6" w:rsidP="001768BA">
      <w:pPr>
        <w:pStyle w:val="Default"/>
        <w:tabs>
          <w:tab w:val="left" w:pos="6390"/>
        </w:tabs>
        <w:jc w:val="center"/>
        <w:rPr>
          <w:b/>
          <w:bCs/>
          <w:color w:val="auto"/>
        </w:rPr>
      </w:pPr>
    </w:p>
    <w:p w14:paraId="6A9CA19F" w14:textId="77777777" w:rsidR="00A0037A" w:rsidRPr="00C0701F" w:rsidRDefault="00A0037A" w:rsidP="001768BA">
      <w:pPr>
        <w:pStyle w:val="Default"/>
        <w:tabs>
          <w:tab w:val="left" w:pos="6390"/>
        </w:tabs>
        <w:jc w:val="center"/>
        <w:rPr>
          <w:b/>
          <w:bCs/>
          <w:color w:val="auto"/>
        </w:rPr>
      </w:pPr>
    </w:p>
    <w:tbl>
      <w:tblPr>
        <w:tblStyle w:val="TableGrid"/>
        <w:tblW w:w="0" w:type="auto"/>
        <w:tblLook w:val="04A0" w:firstRow="1" w:lastRow="0" w:firstColumn="1" w:lastColumn="0" w:noHBand="0" w:noVBand="1"/>
        <w:tblCaption w:val="Title Box"/>
        <w:tblDescription w:val="Foreign Language Endorsement Requirements for Individuals who Learned a Foreign Language without Formal Academic College or University Credit "/>
      </w:tblPr>
      <w:tblGrid>
        <w:gridCol w:w="10790"/>
      </w:tblGrid>
      <w:tr w:rsidR="001768BA" w14:paraId="6CE33110" w14:textId="77777777" w:rsidTr="001768BA">
        <w:tc>
          <w:tcPr>
            <w:tcW w:w="10790" w:type="dxa"/>
          </w:tcPr>
          <w:p w14:paraId="07C00742" w14:textId="4BEA923F" w:rsidR="001768BA" w:rsidRDefault="001768BA" w:rsidP="001768BA">
            <w:pPr>
              <w:pStyle w:val="Default"/>
              <w:tabs>
                <w:tab w:val="left" w:pos="6390"/>
              </w:tabs>
              <w:jc w:val="center"/>
              <w:rPr>
                <w:b/>
                <w:color w:val="auto"/>
              </w:rPr>
            </w:pPr>
            <w:r w:rsidRPr="00C0701F">
              <w:rPr>
                <w:b/>
                <w:color w:val="auto"/>
              </w:rPr>
              <w:t>Foreign Language Endorsement Requirements for Individuals who Learned a Foreign Language without Formal Academic College or University Credit</w:t>
            </w:r>
          </w:p>
        </w:tc>
      </w:tr>
    </w:tbl>
    <w:p w14:paraId="56FF8B0F" w14:textId="77777777" w:rsidR="00517EC6" w:rsidRPr="00C0701F" w:rsidRDefault="00517EC6" w:rsidP="001768BA">
      <w:pPr>
        <w:pStyle w:val="Default"/>
        <w:tabs>
          <w:tab w:val="left" w:pos="6390"/>
        </w:tabs>
        <w:jc w:val="center"/>
        <w:rPr>
          <w:bCs/>
          <w:color w:val="auto"/>
        </w:rPr>
      </w:pPr>
    </w:p>
    <w:p w14:paraId="3C2331F7" w14:textId="5D8879C5" w:rsidR="002C3985" w:rsidRPr="00C0701F" w:rsidRDefault="00563C4D" w:rsidP="001768BA">
      <w:pPr>
        <w:tabs>
          <w:tab w:val="left" w:pos="6390"/>
        </w:tabs>
        <w:spacing w:after="0" w:line="240" w:lineRule="auto"/>
        <w:rPr>
          <w:rFonts w:ascii="Times New Roman" w:hAnsi="Times New Roman" w:cs="Times New Roman"/>
          <w:bCs/>
          <w:sz w:val="24"/>
          <w:szCs w:val="24"/>
        </w:rPr>
      </w:pPr>
      <w:r w:rsidRPr="00C0701F">
        <w:rPr>
          <w:rFonts w:ascii="Times New Roman" w:hAnsi="Times New Roman" w:cs="Times New Roman"/>
          <w:bCs/>
          <w:sz w:val="24"/>
          <w:szCs w:val="24"/>
        </w:rPr>
        <w:t xml:space="preserve">The excerpt from the </w:t>
      </w:r>
      <w:hyperlink r:id="rId7" w:history="1">
        <w:r w:rsidRPr="00793A27">
          <w:rPr>
            <w:rStyle w:val="Hyperlink"/>
            <w:rFonts w:ascii="Times New Roman" w:hAnsi="Times New Roman" w:cs="Times New Roman"/>
            <w:bCs/>
            <w:i/>
            <w:sz w:val="24"/>
            <w:szCs w:val="24"/>
          </w:rPr>
          <w:t>Licensure Regulations for School Personnel</w:t>
        </w:r>
      </w:hyperlink>
      <w:r w:rsidRPr="00C0701F">
        <w:rPr>
          <w:rFonts w:ascii="Times New Roman" w:hAnsi="Times New Roman" w:cs="Times New Roman"/>
          <w:bCs/>
          <w:sz w:val="24"/>
          <w:szCs w:val="24"/>
        </w:rPr>
        <w:t xml:space="preserve"> set forth </w:t>
      </w:r>
      <w:r w:rsidRPr="00DD3F50">
        <w:rPr>
          <w:rFonts w:ascii="Times New Roman" w:hAnsi="Times New Roman" w:cs="Times New Roman"/>
          <w:b/>
          <w:bCs/>
          <w:sz w:val="24"/>
          <w:szCs w:val="24"/>
          <w:u w:val="single"/>
        </w:rPr>
        <w:t>endorsement</w:t>
      </w:r>
      <w:r w:rsidRPr="00C0701F">
        <w:rPr>
          <w:rFonts w:ascii="Times New Roman" w:hAnsi="Times New Roman" w:cs="Times New Roman"/>
          <w:bCs/>
          <w:sz w:val="24"/>
          <w:szCs w:val="24"/>
        </w:rPr>
        <w:t xml:space="preserve"> requirements for c</w:t>
      </w:r>
      <w:r w:rsidR="00DA7976" w:rsidRPr="00C0701F">
        <w:rPr>
          <w:rFonts w:ascii="Times New Roman" w:hAnsi="Times New Roman" w:cs="Times New Roman"/>
          <w:bCs/>
          <w:sz w:val="24"/>
          <w:szCs w:val="24"/>
        </w:rPr>
        <w:t>andidates who have learned a foreign language without formal academic credit in a regionally accredited college or university</w:t>
      </w:r>
      <w:r w:rsidRPr="00C0701F">
        <w:rPr>
          <w:rFonts w:ascii="Times New Roman" w:hAnsi="Times New Roman" w:cs="Times New Roman"/>
          <w:bCs/>
          <w:sz w:val="24"/>
          <w:szCs w:val="24"/>
        </w:rPr>
        <w:t>.</w:t>
      </w:r>
      <w:r w:rsidR="001F19A7">
        <w:rPr>
          <w:rFonts w:ascii="Times New Roman" w:hAnsi="Times New Roman" w:cs="Times New Roman"/>
          <w:bCs/>
          <w:sz w:val="24"/>
          <w:szCs w:val="24"/>
        </w:rPr>
        <w:t xml:space="preserve"> </w:t>
      </w:r>
      <w:r w:rsidR="002C3985" w:rsidRPr="00C0701F">
        <w:rPr>
          <w:rFonts w:ascii="Times New Roman" w:hAnsi="Times New Roman" w:cs="Times New Roman"/>
          <w:bCs/>
          <w:sz w:val="24"/>
          <w:szCs w:val="24"/>
        </w:rPr>
        <w:t xml:space="preserve">The regulations </w:t>
      </w:r>
      <w:r w:rsidR="00AF244C" w:rsidRPr="00C0701F">
        <w:rPr>
          <w:rFonts w:ascii="Times New Roman" w:hAnsi="Times New Roman" w:cs="Times New Roman"/>
          <w:bCs/>
          <w:sz w:val="24"/>
          <w:szCs w:val="24"/>
        </w:rPr>
        <w:t>state</w:t>
      </w:r>
      <w:r w:rsidR="002C3985" w:rsidRPr="00C0701F">
        <w:rPr>
          <w:rFonts w:ascii="Times New Roman" w:hAnsi="Times New Roman" w:cs="Times New Roman"/>
          <w:bCs/>
          <w:sz w:val="24"/>
          <w:szCs w:val="24"/>
        </w:rPr>
        <w:t xml:space="preserve"> in part:</w:t>
      </w:r>
    </w:p>
    <w:p w14:paraId="2486978A" w14:textId="5E9DE360" w:rsidR="00563C4D" w:rsidRPr="00C0701F" w:rsidRDefault="00563C4D" w:rsidP="001768BA">
      <w:pPr>
        <w:tabs>
          <w:tab w:val="left" w:pos="6390"/>
        </w:tabs>
        <w:spacing w:after="0" w:line="240" w:lineRule="auto"/>
        <w:rPr>
          <w:rFonts w:ascii="Times New Roman" w:hAnsi="Times New Roman" w:cs="Times New Roman"/>
          <w:bCs/>
          <w:sz w:val="24"/>
          <w:szCs w:val="24"/>
        </w:rPr>
      </w:pPr>
    </w:p>
    <w:p w14:paraId="5A7061D9" w14:textId="0A537BD4" w:rsidR="00563C4D" w:rsidRPr="00DC5EE8" w:rsidRDefault="0025437A" w:rsidP="001768BA">
      <w:pPr>
        <w:tabs>
          <w:tab w:val="left" w:pos="6390"/>
        </w:tabs>
        <w:spacing w:after="0" w:line="240" w:lineRule="auto"/>
        <w:outlineLvl w:val="1"/>
        <w:rPr>
          <w:rFonts w:ascii="Times New Roman" w:eastAsia="Times New Roman" w:hAnsi="Times New Roman" w:cs="Times New Roman"/>
          <w:sz w:val="24"/>
          <w:szCs w:val="24"/>
        </w:rPr>
      </w:pPr>
      <w:hyperlink r:id="rId8" w:history="1">
        <w:r w:rsidR="00563C4D" w:rsidRPr="00DC5EE8">
          <w:rPr>
            <w:rStyle w:val="Hyperlink"/>
            <w:rFonts w:ascii="Times New Roman" w:eastAsia="Times New Roman" w:hAnsi="Times New Roman" w:cs="Times New Roman"/>
            <w:sz w:val="24"/>
            <w:szCs w:val="24"/>
          </w:rPr>
          <w:t>8VAC20-23-360. Foreign Language Prek-12.</w:t>
        </w:r>
      </w:hyperlink>
    </w:p>
    <w:p w14:paraId="19CFA856" w14:textId="77777777" w:rsidR="002C3985" w:rsidRPr="00C0701F" w:rsidRDefault="002C3985" w:rsidP="001768BA">
      <w:pPr>
        <w:tabs>
          <w:tab w:val="left" w:pos="6390"/>
        </w:tabs>
        <w:spacing w:after="0" w:line="240" w:lineRule="auto"/>
        <w:outlineLvl w:val="1"/>
        <w:rPr>
          <w:rFonts w:ascii="Times New Roman" w:eastAsia="Times New Roman" w:hAnsi="Times New Roman" w:cs="Times New Roman"/>
          <w:b/>
          <w:sz w:val="24"/>
          <w:szCs w:val="24"/>
        </w:rPr>
      </w:pPr>
    </w:p>
    <w:p w14:paraId="24669E12" w14:textId="7D9C5BCE" w:rsidR="00563C4D" w:rsidRPr="00C0701F" w:rsidRDefault="00563C4D" w:rsidP="001768BA">
      <w:pPr>
        <w:tabs>
          <w:tab w:val="left" w:pos="6390"/>
        </w:tabs>
        <w:spacing w:after="0" w:line="240" w:lineRule="auto"/>
        <w:ind w:left="240"/>
        <w:rPr>
          <w:rFonts w:ascii="Times New Roman" w:eastAsia="Times New Roman" w:hAnsi="Times New Roman" w:cs="Times New Roman"/>
          <w:sz w:val="24"/>
          <w:szCs w:val="24"/>
        </w:rPr>
      </w:pPr>
      <w:r w:rsidRPr="00C0701F">
        <w:rPr>
          <w:rFonts w:ascii="Times New Roman" w:eastAsia="Times New Roman" w:hAnsi="Times New Roman" w:cs="Times New Roman"/>
          <w:sz w:val="24"/>
          <w:szCs w:val="24"/>
        </w:rPr>
        <w:t>4. Candidates who have learned a foreign language without formal academic credit in a regionally accredited college or university shall complete the following requirements:</w:t>
      </w:r>
    </w:p>
    <w:p w14:paraId="727AEEEF" w14:textId="77777777" w:rsidR="002C3985" w:rsidRPr="00C0701F" w:rsidRDefault="002C3985" w:rsidP="001768BA">
      <w:pPr>
        <w:tabs>
          <w:tab w:val="left" w:pos="6390"/>
        </w:tabs>
        <w:spacing w:after="0" w:line="240" w:lineRule="auto"/>
        <w:ind w:left="240"/>
        <w:rPr>
          <w:rFonts w:ascii="Times New Roman" w:eastAsia="Times New Roman" w:hAnsi="Times New Roman" w:cs="Times New Roman"/>
          <w:sz w:val="24"/>
          <w:szCs w:val="24"/>
        </w:rPr>
      </w:pPr>
    </w:p>
    <w:p w14:paraId="0FCAE305" w14:textId="019BDB79" w:rsidR="00563C4D" w:rsidRPr="00C0701F" w:rsidRDefault="00563C4D" w:rsidP="001768BA">
      <w:pPr>
        <w:tabs>
          <w:tab w:val="left" w:pos="6390"/>
        </w:tabs>
        <w:spacing w:after="0" w:line="240" w:lineRule="auto"/>
        <w:ind w:left="720"/>
        <w:rPr>
          <w:rFonts w:ascii="Times New Roman" w:eastAsia="Times New Roman" w:hAnsi="Times New Roman" w:cs="Times New Roman"/>
          <w:sz w:val="24"/>
          <w:szCs w:val="24"/>
        </w:rPr>
      </w:pPr>
      <w:r w:rsidRPr="00C0701F">
        <w:rPr>
          <w:rFonts w:ascii="Times New Roman" w:eastAsia="Times New Roman" w:hAnsi="Times New Roman" w:cs="Times New Roman"/>
          <w:sz w:val="24"/>
          <w:szCs w:val="24"/>
        </w:rPr>
        <w:t>a. Achieve a qualifying score on a foreign language assessment in the appropriate language as prescribed by the Virginia Board of Education; and</w:t>
      </w:r>
    </w:p>
    <w:p w14:paraId="533F6FD2" w14:textId="77777777" w:rsidR="002C3985" w:rsidRPr="00C0701F" w:rsidRDefault="002C3985" w:rsidP="001768BA">
      <w:pPr>
        <w:tabs>
          <w:tab w:val="left" w:pos="6390"/>
        </w:tabs>
        <w:spacing w:after="0" w:line="240" w:lineRule="auto"/>
        <w:ind w:left="720"/>
        <w:rPr>
          <w:rFonts w:ascii="Times New Roman" w:eastAsia="Times New Roman" w:hAnsi="Times New Roman" w:cs="Times New Roman"/>
          <w:sz w:val="24"/>
          <w:szCs w:val="24"/>
        </w:rPr>
      </w:pPr>
    </w:p>
    <w:p w14:paraId="7573FF6B" w14:textId="19986ECF" w:rsidR="00563C4D" w:rsidRPr="00C0701F" w:rsidRDefault="00563C4D" w:rsidP="001768BA">
      <w:pPr>
        <w:tabs>
          <w:tab w:val="left" w:pos="6390"/>
        </w:tabs>
        <w:spacing w:after="0" w:line="240" w:lineRule="auto"/>
        <w:ind w:left="720"/>
        <w:rPr>
          <w:rFonts w:ascii="Times New Roman" w:eastAsia="Times New Roman" w:hAnsi="Times New Roman" w:cs="Times New Roman"/>
          <w:sz w:val="24"/>
          <w:szCs w:val="24"/>
        </w:rPr>
      </w:pPr>
      <w:r w:rsidRPr="00C0701F">
        <w:rPr>
          <w:rFonts w:ascii="Times New Roman" w:eastAsia="Times New Roman" w:hAnsi="Times New Roman" w:cs="Times New Roman"/>
          <w:sz w:val="24"/>
          <w:szCs w:val="24"/>
        </w:rPr>
        <w:t>b. Earn a minimum of 3 semester hours of methods of teaching foreign languages at the elementary and secondary levels from a regionally accredited college or university in the United States or obtain teacher certification in another country with at least 3 semester hours of methods of teaching foreign languages at the elementary and secondary levels at a foreign institution.</w:t>
      </w:r>
    </w:p>
    <w:p w14:paraId="07DFB978" w14:textId="49AA4F2C" w:rsidR="00AF244C" w:rsidRPr="00C0701F" w:rsidRDefault="00AF244C" w:rsidP="001768BA">
      <w:pPr>
        <w:tabs>
          <w:tab w:val="left" w:pos="6390"/>
        </w:tabs>
        <w:spacing w:after="0" w:line="240" w:lineRule="auto"/>
        <w:ind w:left="720"/>
        <w:rPr>
          <w:rFonts w:ascii="Times New Roman" w:eastAsia="Times New Roman" w:hAnsi="Times New Roman" w:cs="Times New Roman"/>
          <w:sz w:val="24"/>
          <w:szCs w:val="24"/>
        </w:rPr>
      </w:pPr>
    </w:p>
    <w:p w14:paraId="38D7F42C" w14:textId="6CD267B0" w:rsidR="00C22ADF" w:rsidRDefault="00C22ADF" w:rsidP="001768BA">
      <w:pPr>
        <w:tabs>
          <w:tab w:val="left" w:pos="6390"/>
        </w:tabs>
        <w:spacing w:after="0" w:line="240" w:lineRule="auto"/>
        <w:rPr>
          <w:rFonts w:ascii="Times New Roman" w:hAnsi="Times New Roman" w:cs="Times New Roman"/>
          <w:sz w:val="24"/>
          <w:szCs w:val="24"/>
        </w:rPr>
      </w:pPr>
      <w:r w:rsidRPr="00C0701F">
        <w:rPr>
          <w:rFonts w:ascii="Times New Roman" w:hAnsi="Times New Roman" w:cs="Times New Roman"/>
          <w:sz w:val="24"/>
          <w:szCs w:val="24"/>
        </w:rPr>
        <w:t xml:space="preserve">Please note that all conditions for licensure set forth in the Board of Education regulations and the </w:t>
      </w:r>
      <w:r w:rsidRPr="00C0701F">
        <w:rPr>
          <w:rFonts w:ascii="Times New Roman" w:hAnsi="Times New Roman" w:cs="Times New Roman"/>
          <w:i/>
          <w:sz w:val="24"/>
          <w:szCs w:val="24"/>
        </w:rPr>
        <w:t>Code of Virginia</w:t>
      </w:r>
      <w:r w:rsidRPr="00C0701F">
        <w:rPr>
          <w:rFonts w:ascii="Times New Roman" w:hAnsi="Times New Roman" w:cs="Times New Roman"/>
          <w:sz w:val="24"/>
          <w:szCs w:val="24"/>
        </w:rPr>
        <w:t xml:space="preserve"> must be met.</w:t>
      </w:r>
      <w:r w:rsidR="001F19A7">
        <w:rPr>
          <w:rFonts w:ascii="Times New Roman" w:hAnsi="Times New Roman" w:cs="Times New Roman"/>
          <w:sz w:val="24"/>
          <w:szCs w:val="24"/>
        </w:rPr>
        <w:t xml:space="preserve"> </w:t>
      </w:r>
      <w:r w:rsidRPr="00C0701F">
        <w:rPr>
          <w:rFonts w:ascii="Times New Roman" w:hAnsi="Times New Roman" w:cs="Times New Roman"/>
          <w:sz w:val="24"/>
          <w:szCs w:val="24"/>
        </w:rPr>
        <w:t xml:space="preserve">All endorsement </w:t>
      </w:r>
      <w:r w:rsidR="00FC2BFF">
        <w:rPr>
          <w:rFonts w:ascii="Times New Roman" w:hAnsi="Times New Roman" w:cs="Times New Roman"/>
          <w:sz w:val="24"/>
          <w:szCs w:val="24"/>
        </w:rPr>
        <w:t xml:space="preserve">and professional studies </w:t>
      </w:r>
      <w:r w:rsidRPr="00C0701F">
        <w:rPr>
          <w:rFonts w:ascii="Times New Roman" w:hAnsi="Times New Roman" w:cs="Times New Roman"/>
          <w:sz w:val="24"/>
          <w:szCs w:val="24"/>
        </w:rPr>
        <w:t xml:space="preserve">requirements for </w:t>
      </w:r>
      <w:r w:rsidR="00FC2BFF">
        <w:rPr>
          <w:rFonts w:ascii="Times New Roman" w:hAnsi="Times New Roman" w:cs="Times New Roman"/>
          <w:sz w:val="24"/>
          <w:szCs w:val="24"/>
        </w:rPr>
        <w:t xml:space="preserve">licensure in </w:t>
      </w:r>
      <w:r w:rsidRPr="00C0701F">
        <w:rPr>
          <w:rFonts w:ascii="Times New Roman" w:hAnsi="Times New Roman" w:cs="Times New Roman"/>
          <w:sz w:val="24"/>
          <w:szCs w:val="24"/>
        </w:rPr>
        <w:t xml:space="preserve">Virginia can be found in the </w:t>
      </w:r>
      <w:r w:rsidRPr="00193F5A">
        <w:rPr>
          <w:rFonts w:ascii="Times New Roman" w:hAnsi="Times New Roman" w:cs="Times New Roman"/>
          <w:i/>
          <w:iCs/>
          <w:sz w:val="24"/>
          <w:szCs w:val="24"/>
        </w:rPr>
        <w:t>Licensure Regulations for School Personnel</w:t>
      </w:r>
      <w:r w:rsidRPr="00C0701F">
        <w:rPr>
          <w:rFonts w:ascii="Times New Roman" w:hAnsi="Times New Roman" w:cs="Times New Roman"/>
          <w:sz w:val="24"/>
          <w:szCs w:val="24"/>
        </w:rPr>
        <w:t xml:space="preserve"> at: </w:t>
      </w:r>
      <w:hyperlink r:id="rId9" w:history="1">
        <w:r w:rsidR="00F2766D" w:rsidRPr="00A652A6">
          <w:rPr>
            <w:rStyle w:val="Hyperlink"/>
            <w:rFonts w:ascii="Times New Roman" w:hAnsi="Times New Roman" w:cs="Times New Roman"/>
            <w:sz w:val="24"/>
            <w:szCs w:val="24"/>
          </w:rPr>
          <w:t>https://law.lis.virginia.gov/admincode/title8/agency20/chapter23/</w:t>
        </w:r>
      </w:hyperlink>
      <w:r w:rsidRPr="00C0701F">
        <w:rPr>
          <w:rFonts w:ascii="Times New Roman" w:hAnsi="Times New Roman" w:cs="Times New Roman"/>
          <w:sz w:val="24"/>
          <w:szCs w:val="24"/>
        </w:rPr>
        <w:t xml:space="preserve">. </w:t>
      </w:r>
    </w:p>
    <w:p w14:paraId="7618EA7B" w14:textId="77777777" w:rsidR="005C27C6" w:rsidRDefault="005C27C6" w:rsidP="001768BA">
      <w:pPr>
        <w:tabs>
          <w:tab w:val="left" w:pos="6390"/>
        </w:tabs>
        <w:spacing w:after="0" w:line="240" w:lineRule="auto"/>
        <w:rPr>
          <w:rFonts w:ascii="Times New Roman" w:hAnsi="Times New Roman" w:cs="Times New Roman"/>
          <w:sz w:val="24"/>
          <w:szCs w:val="24"/>
        </w:rPr>
      </w:pPr>
    </w:p>
    <w:p w14:paraId="5502FD6B" w14:textId="77777777" w:rsidR="005C27C6" w:rsidRDefault="005C27C6" w:rsidP="001768BA">
      <w:pPr>
        <w:tabs>
          <w:tab w:val="left" w:pos="6390"/>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Title Box"/>
        <w:tblDescription w:val="Individuals Applying for an Initial Virginia Teaching License who have Learned a Foreign Language without Formal Academic Credit in a Regionally Accredited College or University:"/>
      </w:tblPr>
      <w:tblGrid>
        <w:gridCol w:w="10790"/>
      </w:tblGrid>
      <w:tr w:rsidR="005C27C6" w14:paraId="4960A1DD" w14:textId="77777777" w:rsidTr="003D54DD">
        <w:tc>
          <w:tcPr>
            <w:tcW w:w="10790" w:type="dxa"/>
          </w:tcPr>
          <w:p w14:paraId="6BD79AF5" w14:textId="5FB5FD32" w:rsidR="005C27C6" w:rsidRDefault="005C27C6" w:rsidP="003D54DD">
            <w:pPr>
              <w:tabs>
                <w:tab w:val="left" w:pos="6390"/>
              </w:tabs>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Testing Requirements for Individuals</w:t>
            </w:r>
            <w:r w:rsidRPr="001768BA">
              <w:rPr>
                <w:rFonts w:ascii="Times New Roman" w:eastAsia="Times New Roman" w:hAnsi="Times New Roman" w:cs="Times New Roman"/>
                <w:b/>
                <w:sz w:val="24"/>
                <w:szCs w:val="24"/>
              </w:rPr>
              <w:t xml:space="preserve"> who have Learned a Foreign Language without Formal Academic Credit in a Regionally Accredited College or University</w:t>
            </w:r>
          </w:p>
        </w:tc>
      </w:tr>
    </w:tbl>
    <w:p w14:paraId="1E7F42DE" w14:textId="77777777" w:rsidR="004104F7" w:rsidRDefault="004104F7" w:rsidP="001768BA">
      <w:pPr>
        <w:tabs>
          <w:tab w:val="left" w:pos="6390"/>
        </w:tabs>
        <w:spacing w:after="0" w:line="240" w:lineRule="auto"/>
        <w:rPr>
          <w:rFonts w:ascii="Times New Roman" w:hAnsi="Times New Roman" w:cs="Times New Roman"/>
          <w:bCs/>
          <w:sz w:val="24"/>
          <w:szCs w:val="24"/>
        </w:rPr>
      </w:pPr>
    </w:p>
    <w:p w14:paraId="19F14CAA" w14:textId="133A1D3A" w:rsidR="004104F7" w:rsidRDefault="004104F7" w:rsidP="001768BA">
      <w:pPr>
        <w:tabs>
          <w:tab w:val="left" w:pos="6390"/>
        </w:tabs>
        <w:spacing w:after="0" w:line="240" w:lineRule="auto"/>
        <w:rPr>
          <w:rFonts w:ascii="Times New Roman" w:hAnsi="Times New Roman" w:cs="Times New Roman"/>
          <w:sz w:val="24"/>
          <w:szCs w:val="24"/>
        </w:rPr>
      </w:pPr>
      <w:r w:rsidRPr="00C0701F">
        <w:rPr>
          <w:rFonts w:ascii="Times New Roman" w:hAnsi="Times New Roman" w:cs="Times New Roman"/>
          <w:bCs/>
          <w:sz w:val="24"/>
          <w:szCs w:val="24"/>
        </w:rPr>
        <w:t xml:space="preserve">For </w:t>
      </w:r>
      <w:r>
        <w:rPr>
          <w:rFonts w:ascii="Times New Roman" w:hAnsi="Times New Roman" w:cs="Times New Roman"/>
          <w:bCs/>
          <w:sz w:val="24"/>
          <w:szCs w:val="24"/>
        </w:rPr>
        <w:t>details regarding the</w:t>
      </w:r>
      <w:r w:rsidRPr="00C0701F">
        <w:rPr>
          <w:rFonts w:ascii="Times New Roman" w:hAnsi="Times New Roman" w:cs="Times New Roman"/>
          <w:bCs/>
          <w:sz w:val="24"/>
          <w:szCs w:val="24"/>
        </w:rPr>
        <w:t xml:space="preserve"> assessments </w:t>
      </w:r>
      <w:r w:rsidRPr="00C0701F">
        <w:rPr>
          <w:rFonts w:ascii="Times New Roman" w:hAnsi="Times New Roman" w:cs="Times New Roman"/>
          <w:sz w:val="24"/>
          <w:szCs w:val="24"/>
        </w:rPr>
        <w:t>prescribed by the Board of Education</w:t>
      </w:r>
      <w:r>
        <w:rPr>
          <w:rFonts w:ascii="Times New Roman" w:hAnsi="Times New Roman" w:cs="Times New Roman"/>
          <w:sz w:val="24"/>
          <w:szCs w:val="24"/>
        </w:rPr>
        <w:t>,</w:t>
      </w:r>
      <w:r w:rsidRPr="00C0701F">
        <w:rPr>
          <w:rFonts w:ascii="Times New Roman" w:hAnsi="Times New Roman" w:cs="Times New Roman"/>
          <w:bCs/>
          <w:sz w:val="24"/>
          <w:szCs w:val="24"/>
        </w:rPr>
        <w:t xml:space="preserve"> refe</w:t>
      </w:r>
      <w:r>
        <w:rPr>
          <w:rFonts w:ascii="Times New Roman" w:hAnsi="Times New Roman" w:cs="Times New Roman"/>
          <w:bCs/>
          <w:sz w:val="24"/>
          <w:szCs w:val="24"/>
        </w:rPr>
        <w:t>r to the Professional Teacher’s Assessment Requirements document on the following website</w:t>
      </w:r>
      <w:r w:rsidRPr="00C0701F">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5C27C6">
          <w:rPr>
            <w:rStyle w:val="Hyperlink"/>
            <w:rFonts w:ascii="Times New Roman" w:hAnsi="Times New Roman" w:cs="Times New Roman"/>
            <w:sz w:val="24"/>
            <w:szCs w:val="24"/>
          </w:rPr>
          <w:t>https://www.doe.virginia.gov/teaching-learning-assessment/teaching-in-virginia/teacher-licensure/licensing-forms-information</w:t>
        </w:r>
      </w:hyperlink>
      <w:r w:rsidRPr="005C27C6">
        <w:rPr>
          <w:rFonts w:ascii="Times New Roman" w:hAnsi="Times New Roman" w:cs="Times New Roman"/>
          <w:sz w:val="24"/>
          <w:szCs w:val="24"/>
        </w:rPr>
        <w:t>.</w:t>
      </w:r>
    </w:p>
    <w:p w14:paraId="5E65EF9A" w14:textId="77777777" w:rsidR="004104F7" w:rsidRDefault="004104F7" w:rsidP="001768BA">
      <w:pPr>
        <w:tabs>
          <w:tab w:val="left" w:pos="6390"/>
        </w:tabs>
        <w:spacing w:after="0" w:line="240" w:lineRule="auto"/>
        <w:rPr>
          <w:rFonts w:ascii="Times New Roman" w:hAnsi="Times New Roman" w:cs="Times New Roman"/>
          <w:sz w:val="24"/>
          <w:szCs w:val="24"/>
        </w:rPr>
      </w:pPr>
    </w:p>
    <w:p w14:paraId="67E20242" w14:textId="77777777" w:rsidR="005C27C6" w:rsidRDefault="005C27C6" w:rsidP="005C27C6">
      <w:pPr>
        <w:pStyle w:val="ListParagraph"/>
        <w:numPr>
          <w:ilvl w:val="0"/>
          <w:numId w:val="7"/>
        </w:numPr>
        <w:tabs>
          <w:tab w:val="left" w:pos="1350"/>
          <w:tab w:val="left" w:pos="6390"/>
        </w:tabs>
        <w:spacing w:after="0" w:line="240" w:lineRule="auto"/>
        <w:ind w:left="1260"/>
        <w:rPr>
          <w:rFonts w:ascii="Times New Roman" w:hAnsi="Times New Roman" w:cs="Times New Roman"/>
          <w:bCs/>
          <w:sz w:val="24"/>
          <w:szCs w:val="24"/>
        </w:rPr>
      </w:pPr>
      <w:r w:rsidRPr="00C0701F">
        <w:rPr>
          <w:rFonts w:ascii="Times New Roman" w:hAnsi="Times New Roman" w:cs="Times New Roman"/>
          <w:b/>
          <w:bCs/>
          <w:sz w:val="24"/>
          <w:szCs w:val="24"/>
        </w:rPr>
        <w:t>The Virginia Communication and Literacy Assessment (VCLA)</w:t>
      </w:r>
      <w:r>
        <w:rPr>
          <w:rFonts w:ascii="Times New Roman" w:hAnsi="Times New Roman" w:cs="Times New Roman"/>
          <w:bCs/>
          <w:sz w:val="24"/>
          <w:szCs w:val="24"/>
        </w:rPr>
        <w:t xml:space="preserve"> - The VCLA is required</w:t>
      </w:r>
      <w:r w:rsidRPr="00C0701F">
        <w:rPr>
          <w:rFonts w:ascii="Times New Roman" w:hAnsi="Times New Roman" w:cs="Times New Roman"/>
          <w:bCs/>
          <w:sz w:val="24"/>
          <w:szCs w:val="24"/>
        </w:rPr>
        <w:t xml:space="preserve"> for individuals seeking an initial Virginia</w:t>
      </w:r>
      <w:r>
        <w:rPr>
          <w:rFonts w:ascii="Times New Roman" w:hAnsi="Times New Roman" w:cs="Times New Roman"/>
          <w:bCs/>
          <w:sz w:val="24"/>
          <w:szCs w:val="24"/>
        </w:rPr>
        <w:t xml:space="preserve"> license</w:t>
      </w:r>
      <w:r w:rsidRPr="00C0701F">
        <w:rPr>
          <w:rFonts w:ascii="Times New Roman" w:hAnsi="Times New Roman" w:cs="Times New Roman"/>
          <w:bCs/>
          <w:sz w:val="24"/>
          <w:szCs w:val="24"/>
        </w:rPr>
        <w:t>.</w:t>
      </w:r>
      <w:r>
        <w:rPr>
          <w:rFonts w:ascii="Times New Roman" w:hAnsi="Times New Roman" w:cs="Times New Roman"/>
          <w:bCs/>
          <w:sz w:val="24"/>
          <w:szCs w:val="24"/>
        </w:rPr>
        <w:t xml:space="preserve"> </w:t>
      </w:r>
      <w:r w:rsidRPr="00C0701F">
        <w:rPr>
          <w:rFonts w:ascii="Times New Roman" w:hAnsi="Times New Roman" w:cs="Times New Roman"/>
          <w:bCs/>
          <w:sz w:val="24"/>
          <w:szCs w:val="24"/>
        </w:rPr>
        <w:t xml:space="preserve">For more information about the test content, test dates, costs, accommodations for individuals with disabilities, and registration, refer to the </w:t>
      </w:r>
      <w:hyperlink r:id="rId11" w:history="1">
        <w:r w:rsidRPr="00897DFD">
          <w:rPr>
            <w:rStyle w:val="Hyperlink"/>
            <w:rFonts w:ascii="Times New Roman" w:hAnsi="Times New Roman" w:cs="Times New Roman"/>
            <w:bCs/>
            <w:sz w:val="24"/>
            <w:szCs w:val="24"/>
          </w:rPr>
          <w:t>VCLA website</w:t>
        </w:r>
      </w:hyperlink>
      <w:r w:rsidRPr="00C0701F">
        <w:rPr>
          <w:rFonts w:ascii="Times New Roman" w:hAnsi="Times New Roman" w:cs="Times New Roman"/>
          <w:bCs/>
          <w:sz w:val="24"/>
          <w:szCs w:val="24"/>
        </w:rPr>
        <w:t xml:space="preserve">, or contact Evaluation Systems Pearson at (866) 613-3292. </w:t>
      </w:r>
    </w:p>
    <w:p w14:paraId="647D88BF" w14:textId="77777777" w:rsidR="005C27C6" w:rsidRPr="00480980" w:rsidRDefault="005C27C6" w:rsidP="005C27C6">
      <w:pPr>
        <w:pStyle w:val="ListParagraph"/>
        <w:tabs>
          <w:tab w:val="left" w:pos="1350"/>
          <w:tab w:val="left" w:pos="6390"/>
        </w:tabs>
        <w:spacing w:after="0" w:line="240" w:lineRule="auto"/>
        <w:ind w:left="1260"/>
        <w:rPr>
          <w:rFonts w:ascii="Times New Roman" w:hAnsi="Times New Roman" w:cs="Times New Roman"/>
          <w:bCs/>
          <w:sz w:val="24"/>
          <w:szCs w:val="24"/>
        </w:rPr>
      </w:pPr>
    </w:p>
    <w:p w14:paraId="3EF4015F" w14:textId="370FD305" w:rsidR="005C27C6" w:rsidRDefault="005C27C6" w:rsidP="005C27C6">
      <w:pPr>
        <w:pStyle w:val="ListParagraph"/>
        <w:numPr>
          <w:ilvl w:val="0"/>
          <w:numId w:val="7"/>
        </w:numPr>
        <w:tabs>
          <w:tab w:val="left" w:pos="1350"/>
          <w:tab w:val="left" w:pos="6390"/>
        </w:tabs>
        <w:spacing w:after="0" w:line="240" w:lineRule="auto"/>
        <w:ind w:left="1260"/>
        <w:rPr>
          <w:rFonts w:ascii="Times New Roman" w:hAnsi="Times New Roman" w:cs="Times New Roman"/>
          <w:bCs/>
          <w:sz w:val="24"/>
          <w:szCs w:val="24"/>
        </w:rPr>
      </w:pPr>
      <w:r w:rsidRPr="00C0701F">
        <w:rPr>
          <w:rFonts w:ascii="Times New Roman" w:hAnsi="Times New Roman" w:cs="Times New Roman"/>
          <w:b/>
          <w:bCs/>
          <w:sz w:val="24"/>
          <w:szCs w:val="24"/>
        </w:rPr>
        <w:t>Praxis Subject Area Assessment</w:t>
      </w:r>
      <w:r w:rsidRPr="00C0701F">
        <w:rPr>
          <w:rFonts w:ascii="Times New Roman" w:hAnsi="Times New Roman" w:cs="Times New Roman"/>
          <w:bCs/>
          <w:sz w:val="24"/>
          <w:szCs w:val="24"/>
        </w:rPr>
        <w:t xml:space="preserve"> - Individuals are required to satisfy the Praxis Subject Area assessment requirement for only one endorsement area.</w:t>
      </w:r>
      <w:r>
        <w:rPr>
          <w:rFonts w:ascii="Times New Roman" w:hAnsi="Times New Roman" w:cs="Times New Roman"/>
          <w:bCs/>
          <w:sz w:val="24"/>
          <w:szCs w:val="24"/>
        </w:rPr>
        <w:t xml:space="preserve"> </w:t>
      </w:r>
      <w:r w:rsidRPr="00F2766D">
        <w:rPr>
          <w:rFonts w:ascii="Times New Roman" w:hAnsi="Times New Roman" w:cs="Times New Roman"/>
          <w:bCs/>
          <w:sz w:val="24"/>
          <w:szCs w:val="24"/>
          <w:u w:val="single"/>
        </w:rPr>
        <w:t>If an individual is seeking an endorsement in French, Spanish or German the Praxis is recommended</w:t>
      </w:r>
      <w:r>
        <w:rPr>
          <w:rFonts w:ascii="Times New Roman" w:hAnsi="Times New Roman" w:cs="Times New Roman"/>
          <w:bCs/>
          <w:sz w:val="24"/>
          <w:szCs w:val="24"/>
        </w:rPr>
        <w:t xml:space="preserve">. Individuals who take </w:t>
      </w:r>
      <w:r w:rsidRPr="004104F7">
        <w:rPr>
          <w:rFonts w:ascii="Times New Roman" w:hAnsi="Times New Roman" w:cs="Times New Roman"/>
          <w:sz w:val="24"/>
          <w:szCs w:val="24"/>
        </w:rPr>
        <w:t>ACTFL Oral and Writing Proficiency Assessments must still satisfy the Praxis Subject Area assessment requirement in the endorsement area in which the initial licensure is granted.</w:t>
      </w:r>
      <w:r>
        <w:rPr>
          <w:rFonts w:ascii="Times New Roman" w:hAnsi="Times New Roman" w:cs="Times New Roman"/>
          <w:bCs/>
          <w:sz w:val="24"/>
          <w:szCs w:val="24"/>
        </w:rPr>
        <w:t xml:space="preserve"> </w:t>
      </w:r>
      <w:r w:rsidRPr="00C0701F">
        <w:rPr>
          <w:rFonts w:ascii="Times New Roman" w:hAnsi="Times New Roman" w:cs="Times New Roman"/>
          <w:bCs/>
          <w:sz w:val="24"/>
          <w:szCs w:val="24"/>
        </w:rPr>
        <w:t xml:space="preserve">For information regarding </w:t>
      </w:r>
      <w:r w:rsidR="0072499B">
        <w:rPr>
          <w:rFonts w:ascii="Times New Roman" w:hAnsi="Times New Roman" w:cs="Times New Roman"/>
          <w:bCs/>
          <w:sz w:val="24"/>
          <w:szCs w:val="24"/>
        </w:rPr>
        <w:t>the Praxis assessments,</w:t>
      </w:r>
      <w:r w:rsidRPr="00C0701F">
        <w:rPr>
          <w:rFonts w:ascii="Times New Roman" w:hAnsi="Times New Roman" w:cs="Times New Roman"/>
          <w:bCs/>
          <w:sz w:val="24"/>
          <w:szCs w:val="24"/>
        </w:rPr>
        <w:t xml:space="preserve"> please refer to the </w:t>
      </w:r>
      <w:hyperlink r:id="rId12" w:history="1">
        <w:r w:rsidRPr="00C0701F">
          <w:rPr>
            <w:rStyle w:val="Hyperlink"/>
            <w:rFonts w:ascii="Times New Roman" w:hAnsi="Times New Roman" w:cs="Times New Roman"/>
            <w:bCs/>
            <w:sz w:val="24"/>
            <w:szCs w:val="24"/>
          </w:rPr>
          <w:t xml:space="preserve"> Educational Testing Service (ETS) website</w:t>
        </w:r>
      </w:hyperlink>
      <w:r w:rsidRPr="00C0701F">
        <w:rPr>
          <w:rFonts w:ascii="Times New Roman" w:hAnsi="Times New Roman" w:cs="Times New Roman"/>
          <w:bCs/>
          <w:sz w:val="24"/>
          <w:szCs w:val="24"/>
        </w:rPr>
        <w:t xml:space="preserve">, or contact the ETS at 1-800-772-9476. </w:t>
      </w:r>
      <w:r w:rsidR="00186FBC">
        <w:rPr>
          <w:rFonts w:ascii="Times New Roman" w:hAnsi="Times New Roman" w:cs="Times New Roman"/>
          <w:bCs/>
          <w:sz w:val="24"/>
          <w:szCs w:val="24"/>
        </w:rPr>
        <w:br/>
      </w:r>
    </w:p>
    <w:p w14:paraId="31E56843" w14:textId="77777777" w:rsidR="005C27C6" w:rsidRPr="00480980" w:rsidRDefault="005C27C6" w:rsidP="005C27C6">
      <w:pPr>
        <w:tabs>
          <w:tab w:val="left" w:pos="1350"/>
          <w:tab w:val="left" w:pos="6390"/>
        </w:tabs>
        <w:spacing w:after="0" w:line="240" w:lineRule="auto"/>
        <w:rPr>
          <w:rFonts w:ascii="Times New Roman" w:hAnsi="Times New Roman" w:cs="Times New Roman"/>
          <w:bCs/>
          <w:sz w:val="24"/>
          <w:szCs w:val="24"/>
        </w:rPr>
      </w:pPr>
    </w:p>
    <w:p w14:paraId="48DDA882" w14:textId="33ACB3CA" w:rsidR="005C27C6" w:rsidRPr="00C87685" w:rsidRDefault="005C27C6" w:rsidP="005C27C6">
      <w:pPr>
        <w:pStyle w:val="ListParagraph"/>
        <w:numPr>
          <w:ilvl w:val="0"/>
          <w:numId w:val="7"/>
        </w:numPr>
        <w:tabs>
          <w:tab w:val="left" w:pos="1350"/>
          <w:tab w:val="left" w:pos="6390"/>
        </w:tabs>
        <w:spacing w:after="0" w:line="240" w:lineRule="auto"/>
        <w:ind w:left="1260"/>
        <w:rPr>
          <w:rFonts w:ascii="Times New Roman" w:hAnsi="Times New Roman" w:cs="Times New Roman"/>
          <w:bCs/>
          <w:sz w:val="24"/>
          <w:szCs w:val="24"/>
        </w:rPr>
      </w:pPr>
      <w:r w:rsidRPr="00C87685">
        <w:rPr>
          <w:rFonts w:ascii="Times New Roman" w:hAnsi="Times New Roman" w:cs="Times New Roman"/>
          <w:b/>
          <w:bCs/>
          <w:sz w:val="24"/>
          <w:szCs w:val="24"/>
        </w:rPr>
        <w:t xml:space="preserve">The American Council on the Teaching of Foreign </w:t>
      </w:r>
      <w:r>
        <w:rPr>
          <w:rFonts w:ascii="Times New Roman" w:hAnsi="Times New Roman" w:cs="Times New Roman"/>
          <w:b/>
          <w:bCs/>
          <w:sz w:val="24"/>
          <w:szCs w:val="24"/>
        </w:rPr>
        <w:t xml:space="preserve">Language </w:t>
      </w:r>
      <w:r w:rsidRPr="00C87685">
        <w:rPr>
          <w:rFonts w:ascii="Times New Roman" w:hAnsi="Times New Roman" w:cs="Times New Roman"/>
          <w:b/>
          <w:bCs/>
          <w:sz w:val="24"/>
          <w:szCs w:val="24"/>
        </w:rPr>
        <w:t xml:space="preserve">(ACTFL) Oral and Writing Proficiency Assessments - </w:t>
      </w:r>
      <w:r w:rsidRPr="009C2821">
        <w:rPr>
          <w:rFonts w:ascii="Times New Roman" w:hAnsi="Times New Roman" w:cs="Times New Roman"/>
          <w:sz w:val="24"/>
          <w:szCs w:val="24"/>
        </w:rPr>
        <w:t xml:space="preserve">ACTFL Oral and Writing Proficiency Assessments may be taken to meet endorsement requirements, or if the Board of Education has NOT prescribed a Praxis Subject Area Assessment. </w:t>
      </w:r>
      <w:r w:rsidRPr="00C87685">
        <w:rPr>
          <w:rFonts w:ascii="Times New Roman" w:hAnsi="Times New Roman" w:cs="Times New Roman"/>
          <w:bCs/>
          <w:sz w:val="24"/>
          <w:szCs w:val="24"/>
        </w:rPr>
        <w:t xml:space="preserve">The Board of Education has approved the use of ACTFL Oral Proficiency Interview </w:t>
      </w:r>
      <w:r w:rsidRPr="009C2821">
        <w:rPr>
          <w:rFonts w:ascii="Times New Roman" w:hAnsi="Times New Roman" w:cs="Times New Roman"/>
          <w:b/>
          <w:bCs/>
          <w:sz w:val="24"/>
          <w:szCs w:val="24"/>
        </w:rPr>
        <w:t>and</w:t>
      </w:r>
      <w:r w:rsidRPr="00C87685">
        <w:rPr>
          <w:rFonts w:ascii="Times New Roman" w:hAnsi="Times New Roman" w:cs="Times New Roman"/>
          <w:bCs/>
          <w:sz w:val="24"/>
          <w:szCs w:val="24"/>
        </w:rPr>
        <w:t xml:space="preserve"> the Writing Proficiency Test to allow native speakers or candidates who have learned a foreign language without formal academic credit in a college or university </w:t>
      </w:r>
      <w:r w:rsidRPr="006A0F36">
        <w:rPr>
          <w:rFonts w:ascii="Times New Roman" w:hAnsi="Times New Roman" w:cs="Times New Roman"/>
          <w:sz w:val="24"/>
          <w:szCs w:val="24"/>
          <w:u w:val="single"/>
        </w:rPr>
        <w:t>to meet the foreign language endorsement requirements</w:t>
      </w:r>
      <w:r w:rsidRPr="00C87685">
        <w:rPr>
          <w:rFonts w:ascii="Times New Roman" w:hAnsi="Times New Roman" w:cs="Times New Roman"/>
          <w:bCs/>
          <w:sz w:val="24"/>
          <w:szCs w:val="24"/>
        </w:rPr>
        <w:t xml:space="preserve"> by demonstrating proficiency on both the oral and written assessments.</w:t>
      </w:r>
      <w:r>
        <w:rPr>
          <w:rFonts w:ascii="Times New Roman" w:hAnsi="Times New Roman" w:cs="Times New Roman"/>
          <w:bCs/>
          <w:sz w:val="24"/>
          <w:szCs w:val="24"/>
        </w:rPr>
        <w:t xml:space="preserve"> </w:t>
      </w:r>
    </w:p>
    <w:p w14:paraId="7A9658B7" w14:textId="77777777" w:rsidR="005C27C6" w:rsidRDefault="005C27C6" w:rsidP="005C27C6">
      <w:pPr>
        <w:pStyle w:val="ListParagraph"/>
        <w:tabs>
          <w:tab w:val="left" w:pos="1350"/>
          <w:tab w:val="left" w:pos="6390"/>
        </w:tabs>
        <w:spacing w:after="0" w:line="240" w:lineRule="auto"/>
        <w:ind w:left="1260" w:hanging="360"/>
        <w:rPr>
          <w:rFonts w:ascii="Times New Roman" w:hAnsi="Times New Roman" w:cs="Times New Roman"/>
          <w:b/>
          <w:bCs/>
          <w:sz w:val="24"/>
          <w:szCs w:val="24"/>
        </w:rPr>
      </w:pPr>
    </w:p>
    <w:p w14:paraId="74D66E58" w14:textId="0CC04F68" w:rsidR="005C27C6" w:rsidRDefault="005C27C6" w:rsidP="006A0F36">
      <w:pPr>
        <w:pStyle w:val="ListParagraph"/>
        <w:tabs>
          <w:tab w:val="left" w:pos="1350"/>
          <w:tab w:val="left" w:pos="6390"/>
        </w:tabs>
        <w:spacing w:after="0" w:line="240" w:lineRule="auto"/>
        <w:ind w:left="1620" w:hanging="180"/>
        <w:rPr>
          <w:rFonts w:ascii="Times New Roman" w:hAnsi="Times New Roman" w:cs="Times New Roman"/>
          <w:bCs/>
          <w:sz w:val="24"/>
          <w:szCs w:val="24"/>
        </w:rPr>
      </w:pPr>
      <w:r>
        <w:rPr>
          <w:rFonts w:ascii="Times New Roman" w:hAnsi="Times New Roman" w:cs="Times New Roman"/>
          <w:b/>
          <w:bCs/>
          <w:sz w:val="24"/>
          <w:szCs w:val="24"/>
        </w:rPr>
        <w:tab/>
      </w:r>
      <w:r w:rsidRPr="00C0701F">
        <w:rPr>
          <w:rFonts w:ascii="Times New Roman" w:hAnsi="Times New Roman" w:cs="Times New Roman"/>
          <w:b/>
          <w:bCs/>
          <w:sz w:val="24"/>
          <w:szCs w:val="24"/>
        </w:rPr>
        <w:t>The ACTFL Oral Proficiency Interview</w:t>
      </w:r>
      <w:r w:rsidRPr="009B62AB">
        <w:rPr>
          <w:rFonts w:ascii="Times New Roman" w:hAnsi="Times New Roman" w:cs="Times New Roman"/>
          <w:b/>
          <w:sz w:val="24"/>
          <w:szCs w:val="24"/>
        </w:rPr>
        <w:t xml:space="preserve"> </w:t>
      </w:r>
      <w:r w:rsidR="009B62AB" w:rsidRPr="009B62AB">
        <w:rPr>
          <w:rFonts w:ascii="Times New Roman" w:hAnsi="Times New Roman" w:cs="Times New Roman"/>
          <w:b/>
          <w:sz w:val="24"/>
          <w:szCs w:val="24"/>
        </w:rPr>
        <w:t xml:space="preserve">(OPI) </w:t>
      </w:r>
      <w:r w:rsidRPr="00C0701F">
        <w:rPr>
          <w:rFonts w:ascii="Times New Roman" w:hAnsi="Times New Roman" w:cs="Times New Roman"/>
          <w:bCs/>
          <w:sz w:val="24"/>
          <w:szCs w:val="24"/>
        </w:rPr>
        <w:t>takes the form of a carefully structured conversation between a trained and certified interviewer and the person whose speaking proficiency is being assessed.</w:t>
      </w:r>
      <w:r>
        <w:rPr>
          <w:rFonts w:ascii="Times New Roman" w:hAnsi="Times New Roman" w:cs="Times New Roman"/>
          <w:bCs/>
          <w:sz w:val="24"/>
          <w:szCs w:val="24"/>
        </w:rPr>
        <w:t xml:space="preserve"> </w:t>
      </w:r>
      <w:r w:rsidRPr="00C0701F">
        <w:rPr>
          <w:rFonts w:ascii="Times New Roman" w:hAnsi="Times New Roman" w:cs="Times New Roman"/>
          <w:bCs/>
          <w:sz w:val="24"/>
          <w:szCs w:val="24"/>
        </w:rPr>
        <w:t>The interview lasts from ten to thirty minutes.</w:t>
      </w:r>
      <w:r>
        <w:rPr>
          <w:rFonts w:ascii="Times New Roman" w:hAnsi="Times New Roman" w:cs="Times New Roman"/>
          <w:bCs/>
          <w:sz w:val="24"/>
          <w:szCs w:val="24"/>
        </w:rPr>
        <w:t xml:space="preserve"> </w:t>
      </w:r>
    </w:p>
    <w:p w14:paraId="61542E90" w14:textId="77777777" w:rsidR="005C27C6" w:rsidRDefault="005C27C6" w:rsidP="006A0F36">
      <w:pPr>
        <w:pStyle w:val="ListParagraph"/>
        <w:tabs>
          <w:tab w:val="left" w:pos="1350"/>
          <w:tab w:val="left" w:pos="6390"/>
        </w:tabs>
        <w:spacing w:after="0" w:line="240" w:lineRule="auto"/>
        <w:ind w:left="1620" w:hanging="360"/>
        <w:rPr>
          <w:rFonts w:ascii="Times New Roman" w:hAnsi="Times New Roman" w:cs="Times New Roman"/>
          <w:b/>
          <w:bCs/>
          <w:sz w:val="24"/>
          <w:szCs w:val="24"/>
        </w:rPr>
      </w:pPr>
    </w:p>
    <w:p w14:paraId="758B293E" w14:textId="7E15C6CF" w:rsidR="005C27C6" w:rsidRPr="00897DFD" w:rsidRDefault="005C27C6" w:rsidP="006A0F36">
      <w:pPr>
        <w:pStyle w:val="ListParagraph"/>
        <w:tabs>
          <w:tab w:val="left" w:pos="1620"/>
          <w:tab w:val="left" w:pos="6390"/>
        </w:tabs>
        <w:spacing w:after="0" w:line="240" w:lineRule="auto"/>
        <w:ind w:left="1620" w:hanging="360"/>
        <w:rPr>
          <w:rFonts w:ascii="Times New Roman" w:hAnsi="Times New Roman" w:cs="Times New Roman"/>
          <w:bCs/>
          <w:sz w:val="24"/>
          <w:szCs w:val="24"/>
        </w:rPr>
      </w:pPr>
      <w:r>
        <w:rPr>
          <w:rFonts w:ascii="Times New Roman" w:hAnsi="Times New Roman" w:cs="Times New Roman"/>
          <w:b/>
          <w:bCs/>
          <w:sz w:val="24"/>
          <w:szCs w:val="24"/>
        </w:rPr>
        <w:tab/>
      </w:r>
      <w:r w:rsidRPr="00897DFD">
        <w:rPr>
          <w:rFonts w:ascii="Times New Roman" w:hAnsi="Times New Roman" w:cs="Times New Roman"/>
          <w:b/>
          <w:bCs/>
          <w:sz w:val="24"/>
          <w:szCs w:val="24"/>
        </w:rPr>
        <w:t xml:space="preserve">The ACTFL Writing Proficiency Test </w:t>
      </w:r>
      <w:r w:rsidR="009B62AB">
        <w:rPr>
          <w:rFonts w:ascii="Times New Roman" w:hAnsi="Times New Roman" w:cs="Times New Roman"/>
          <w:b/>
          <w:bCs/>
          <w:sz w:val="24"/>
          <w:szCs w:val="24"/>
        </w:rPr>
        <w:t xml:space="preserve">(WPT) </w:t>
      </w:r>
      <w:r w:rsidRPr="00897DFD">
        <w:rPr>
          <w:rFonts w:ascii="Times New Roman" w:hAnsi="Times New Roman" w:cs="Times New Roman"/>
          <w:bCs/>
          <w:sz w:val="24"/>
          <w:szCs w:val="24"/>
        </w:rPr>
        <w:t>is a standardized procedure for the global assessment of functional writing ability. The test requires the examinee to read prompts in English and compose written responses in the target language without the aid of dictionaries or grammar references.</w:t>
      </w:r>
    </w:p>
    <w:p w14:paraId="76BA350B" w14:textId="77777777" w:rsidR="005C27C6" w:rsidRDefault="005C27C6" w:rsidP="005C27C6">
      <w:pPr>
        <w:pStyle w:val="ListParagraph"/>
        <w:tabs>
          <w:tab w:val="left" w:pos="1350"/>
          <w:tab w:val="left" w:pos="6390"/>
        </w:tabs>
        <w:spacing w:after="0" w:line="240" w:lineRule="auto"/>
        <w:ind w:left="1260"/>
        <w:rPr>
          <w:rFonts w:ascii="Times New Roman" w:hAnsi="Times New Roman" w:cs="Times New Roman"/>
          <w:bCs/>
          <w:sz w:val="24"/>
          <w:szCs w:val="24"/>
        </w:rPr>
      </w:pPr>
    </w:p>
    <w:p w14:paraId="6856E7B8" w14:textId="16AD593B" w:rsidR="005C27C6" w:rsidRDefault="005C27C6" w:rsidP="005C27C6">
      <w:pPr>
        <w:pStyle w:val="ListParagraph"/>
        <w:tabs>
          <w:tab w:val="left" w:pos="1350"/>
          <w:tab w:val="left" w:pos="6390"/>
        </w:tabs>
        <w:spacing w:after="0" w:line="240" w:lineRule="auto"/>
        <w:ind w:left="1260"/>
        <w:rPr>
          <w:rFonts w:ascii="Times New Roman" w:hAnsi="Times New Roman" w:cs="Times New Roman"/>
          <w:bCs/>
          <w:sz w:val="24"/>
          <w:szCs w:val="24"/>
        </w:rPr>
      </w:pPr>
      <w:r w:rsidRPr="001768BA">
        <w:rPr>
          <w:rFonts w:ascii="Times New Roman" w:hAnsi="Times New Roman" w:cs="Times New Roman"/>
          <w:b/>
          <w:bCs/>
          <w:sz w:val="24"/>
          <w:szCs w:val="24"/>
        </w:rPr>
        <w:t xml:space="preserve">The Board of Education approved the proficiency level of “advanced low” for the ACTFL </w:t>
      </w:r>
      <w:r w:rsidR="009C2821">
        <w:rPr>
          <w:rFonts w:ascii="Times New Roman" w:hAnsi="Times New Roman" w:cs="Times New Roman"/>
          <w:b/>
          <w:bCs/>
          <w:sz w:val="24"/>
          <w:szCs w:val="24"/>
        </w:rPr>
        <w:t>assessments</w:t>
      </w:r>
      <w:r w:rsidRPr="001768BA">
        <w:rPr>
          <w:rFonts w:ascii="Times New Roman" w:hAnsi="Times New Roman" w:cs="Times New Roman"/>
          <w:b/>
          <w:bCs/>
          <w:sz w:val="24"/>
          <w:szCs w:val="24"/>
        </w:rPr>
        <w:t>.</w:t>
      </w:r>
      <w:r>
        <w:rPr>
          <w:rFonts w:ascii="Times New Roman" w:hAnsi="Times New Roman" w:cs="Times New Roman"/>
          <w:b/>
          <w:bCs/>
          <w:sz w:val="24"/>
          <w:szCs w:val="24"/>
        </w:rPr>
        <w:t xml:space="preserve"> </w:t>
      </w:r>
      <w:r w:rsidR="004104F7">
        <w:rPr>
          <w:rFonts w:ascii="Times New Roman" w:hAnsi="Times New Roman" w:cs="Times New Roman"/>
          <w:b/>
          <w:bCs/>
          <w:sz w:val="24"/>
          <w:szCs w:val="24"/>
        </w:rPr>
        <w:t xml:space="preserve"> </w:t>
      </w:r>
      <w:r w:rsidRPr="005C27C6">
        <w:rPr>
          <w:rFonts w:ascii="Times New Roman" w:hAnsi="Times New Roman" w:cs="Times New Roman"/>
          <w:sz w:val="24"/>
          <w:szCs w:val="24"/>
        </w:rPr>
        <w:t xml:space="preserve">An individual may register for the </w:t>
      </w:r>
      <w:hyperlink r:id="rId13" w:history="1">
        <w:r w:rsidRPr="009B62AB">
          <w:rPr>
            <w:rStyle w:val="Hyperlink"/>
            <w:rFonts w:ascii="Times New Roman" w:hAnsi="Times New Roman" w:cs="Times New Roman"/>
            <w:sz w:val="24"/>
            <w:szCs w:val="24"/>
          </w:rPr>
          <w:t xml:space="preserve">ACTFL </w:t>
        </w:r>
        <w:r w:rsidR="009B62AB" w:rsidRPr="009B62AB">
          <w:rPr>
            <w:rStyle w:val="Hyperlink"/>
            <w:rFonts w:ascii="Times New Roman" w:hAnsi="Times New Roman" w:cs="Times New Roman"/>
            <w:sz w:val="24"/>
            <w:szCs w:val="24"/>
          </w:rPr>
          <w:t>assessments</w:t>
        </w:r>
        <w:r w:rsidRPr="009B62AB">
          <w:rPr>
            <w:rStyle w:val="Hyperlink"/>
            <w:rFonts w:ascii="Times New Roman" w:hAnsi="Times New Roman" w:cs="Times New Roman"/>
            <w:sz w:val="24"/>
            <w:szCs w:val="24"/>
          </w:rPr>
          <w:t xml:space="preserve"> online</w:t>
        </w:r>
      </w:hyperlink>
      <w:r w:rsidRPr="005C27C6">
        <w:rPr>
          <w:rFonts w:ascii="Times New Roman" w:hAnsi="Times New Roman" w:cs="Times New Roman"/>
          <w:sz w:val="24"/>
          <w:szCs w:val="24"/>
        </w:rPr>
        <w:t>.</w:t>
      </w:r>
      <w:r>
        <w:rPr>
          <w:rFonts w:ascii="Times New Roman" w:hAnsi="Times New Roman" w:cs="Times New Roman"/>
          <w:b/>
          <w:bCs/>
          <w:sz w:val="24"/>
          <w:szCs w:val="24"/>
        </w:rPr>
        <w:t xml:space="preserve"> </w:t>
      </w:r>
      <w:r w:rsidRPr="00C87685">
        <w:rPr>
          <w:rFonts w:ascii="Times New Roman" w:hAnsi="Times New Roman" w:cs="Times New Roman"/>
          <w:bCs/>
          <w:sz w:val="24"/>
          <w:szCs w:val="24"/>
        </w:rPr>
        <w:t>If you have any questions, you may contact Language Testing International at 1-800-486-8444.</w:t>
      </w:r>
    </w:p>
    <w:p w14:paraId="2F91C053" w14:textId="77777777" w:rsidR="005C27C6" w:rsidRPr="00C87685" w:rsidRDefault="005C27C6" w:rsidP="005C27C6">
      <w:pPr>
        <w:pStyle w:val="ListParagraph"/>
        <w:tabs>
          <w:tab w:val="left" w:pos="1350"/>
          <w:tab w:val="left" w:pos="6390"/>
        </w:tabs>
        <w:spacing w:after="0" w:line="240" w:lineRule="auto"/>
        <w:ind w:left="1260"/>
        <w:rPr>
          <w:rFonts w:ascii="Times New Roman" w:hAnsi="Times New Roman" w:cs="Times New Roman"/>
          <w:bCs/>
          <w:sz w:val="24"/>
          <w:szCs w:val="24"/>
        </w:rPr>
      </w:pPr>
    </w:p>
    <w:p w14:paraId="6091DB35" w14:textId="250730B3" w:rsidR="005C27C6" w:rsidRDefault="005C27C6" w:rsidP="005C27C6">
      <w:pPr>
        <w:pStyle w:val="ListParagraph"/>
        <w:tabs>
          <w:tab w:val="left" w:pos="1350"/>
          <w:tab w:val="left" w:pos="6390"/>
        </w:tabs>
        <w:spacing w:after="0" w:line="240" w:lineRule="auto"/>
        <w:ind w:left="1260" w:hanging="360"/>
        <w:rPr>
          <w:rFonts w:ascii="Times New Roman" w:hAnsi="Times New Roman" w:cs="Times New Roman"/>
          <w:bCs/>
          <w:sz w:val="24"/>
          <w:szCs w:val="24"/>
        </w:rPr>
      </w:pPr>
      <w:r>
        <w:rPr>
          <w:rFonts w:ascii="Times New Roman" w:hAnsi="Times New Roman" w:cs="Times New Roman"/>
          <w:bCs/>
          <w:sz w:val="24"/>
          <w:szCs w:val="24"/>
        </w:rPr>
        <w:tab/>
      </w:r>
      <w:r w:rsidRPr="00C0701F">
        <w:rPr>
          <w:rFonts w:ascii="Times New Roman" w:hAnsi="Times New Roman" w:cs="Times New Roman"/>
          <w:bCs/>
          <w:sz w:val="24"/>
          <w:szCs w:val="24"/>
        </w:rPr>
        <w:t xml:space="preserve">Individuals may apply for an initial Virginia license by </w:t>
      </w:r>
      <w:r w:rsidR="009C2821">
        <w:rPr>
          <w:rFonts w:ascii="Times New Roman" w:hAnsi="Times New Roman" w:cs="Times New Roman"/>
          <w:bCs/>
          <w:sz w:val="24"/>
          <w:szCs w:val="24"/>
        </w:rPr>
        <w:t>passing</w:t>
      </w:r>
      <w:r w:rsidRPr="00C0701F">
        <w:rPr>
          <w:rFonts w:ascii="Times New Roman" w:hAnsi="Times New Roman" w:cs="Times New Roman"/>
          <w:bCs/>
          <w:sz w:val="24"/>
          <w:szCs w:val="24"/>
        </w:rPr>
        <w:t xml:space="preserve"> </w:t>
      </w:r>
      <w:r w:rsidR="009C2821">
        <w:rPr>
          <w:rFonts w:ascii="Times New Roman" w:hAnsi="Times New Roman" w:cs="Times New Roman"/>
          <w:bCs/>
          <w:sz w:val="24"/>
          <w:szCs w:val="24"/>
        </w:rPr>
        <w:t xml:space="preserve">the </w:t>
      </w:r>
      <w:r w:rsidRPr="00C0701F">
        <w:rPr>
          <w:rFonts w:ascii="Times New Roman" w:hAnsi="Times New Roman" w:cs="Times New Roman"/>
          <w:bCs/>
          <w:sz w:val="24"/>
          <w:szCs w:val="24"/>
        </w:rPr>
        <w:t>ACTFL</w:t>
      </w:r>
      <w:r w:rsidR="009C2821">
        <w:rPr>
          <w:rFonts w:ascii="Times New Roman" w:hAnsi="Times New Roman" w:cs="Times New Roman"/>
          <w:bCs/>
          <w:sz w:val="24"/>
          <w:szCs w:val="24"/>
        </w:rPr>
        <w:t xml:space="preserve"> assessments</w:t>
      </w:r>
      <w:r w:rsidRPr="00C0701F">
        <w:rPr>
          <w:rFonts w:ascii="Times New Roman" w:hAnsi="Times New Roman" w:cs="Times New Roman"/>
          <w:bCs/>
          <w:sz w:val="24"/>
          <w:szCs w:val="24"/>
        </w:rPr>
        <w:t xml:space="preserve"> </w:t>
      </w:r>
      <w:r w:rsidRPr="001768BA">
        <w:rPr>
          <w:rFonts w:ascii="Times New Roman" w:hAnsi="Times New Roman" w:cs="Times New Roman"/>
          <w:b/>
          <w:bCs/>
          <w:sz w:val="24"/>
          <w:szCs w:val="24"/>
        </w:rPr>
        <w:t>and</w:t>
      </w:r>
      <w:r>
        <w:rPr>
          <w:rFonts w:ascii="Times New Roman" w:hAnsi="Times New Roman" w:cs="Times New Roman"/>
          <w:b/>
          <w:bCs/>
          <w:sz w:val="24"/>
          <w:szCs w:val="24"/>
        </w:rPr>
        <w:t xml:space="preserve"> </w:t>
      </w:r>
      <w:r w:rsidR="009C2821" w:rsidRPr="009C2821">
        <w:rPr>
          <w:rFonts w:ascii="Times New Roman" w:hAnsi="Times New Roman" w:cs="Times New Roman"/>
          <w:sz w:val="24"/>
          <w:szCs w:val="24"/>
        </w:rPr>
        <w:t>completing</w:t>
      </w:r>
      <w:r w:rsidRPr="00C87685">
        <w:rPr>
          <w:rFonts w:ascii="Times New Roman" w:hAnsi="Times New Roman" w:cs="Times New Roman"/>
          <w:bCs/>
          <w:sz w:val="24"/>
          <w:szCs w:val="24"/>
        </w:rPr>
        <w:t xml:space="preserve"> </w:t>
      </w:r>
      <w:r w:rsidRPr="00C0701F">
        <w:rPr>
          <w:rFonts w:ascii="Times New Roman" w:hAnsi="Times New Roman" w:cs="Times New Roman"/>
          <w:bCs/>
          <w:sz w:val="24"/>
          <w:szCs w:val="24"/>
        </w:rPr>
        <w:t xml:space="preserve">3 semester hours of methods of teaching foreign languages at the elementary and secondary levels from a regionally accredited college or university in the United </w:t>
      </w:r>
      <w:proofErr w:type="gramStart"/>
      <w:r w:rsidRPr="00C0701F">
        <w:rPr>
          <w:rFonts w:ascii="Times New Roman" w:hAnsi="Times New Roman" w:cs="Times New Roman"/>
          <w:bCs/>
          <w:sz w:val="24"/>
          <w:szCs w:val="24"/>
        </w:rPr>
        <w:t>States</w:t>
      </w:r>
      <w:r w:rsidR="009C2821">
        <w:rPr>
          <w:rFonts w:ascii="Times New Roman" w:hAnsi="Times New Roman" w:cs="Times New Roman"/>
          <w:bCs/>
          <w:sz w:val="24"/>
          <w:szCs w:val="24"/>
        </w:rPr>
        <w:t>,</w:t>
      </w:r>
      <w:r w:rsidRPr="00C0701F">
        <w:rPr>
          <w:rFonts w:ascii="Times New Roman" w:hAnsi="Times New Roman" w:cs="Times New Roman"/>
          <w:bCs/>
          <w:sz w:val="24"/>
          <w:szCs w:val="24"/>
        </w:rPr>
        <w:t xml:space="preserve"> or</w:t>
      </w:r>
      <w:proofErr w:type="gramEnd"/>
      <w:r w:rsidRPr="00C0701F">
        <w:rPr>
          <w:rFonts w:ascii="Times New Roman" w:hAnsi="Times New Roman" w:cs="Times New Roman"/>
          <w:bCs/>
          <w:sz w:val="24"/>
          <w:szCs w:val="24"/>
        </w:rPr>
        <w:t xml:space="preserve"> obtain</w:t>
      </w:r>
      <w:r w:rsidR="009C2821">
        <w:rPr>
          <w:rFonts w:ascii="Times New Roman" w:hAnsi="Times New Roman" w:cs="Times New Roman"/>
          <w:bCs/>
          <w:sz w:val="24"/>
          <w:szCs w:val="24"/>
        </w:rPr>
        <w:t xml:space="preserve">ing a </w:t>
      </w:r>
      <w:r w:rsidRPr="00C0701F">
        <w:rPr>
          <w:rFonts w:ascii="Times New Roman" w:hAnsi="Times New Roman" w:cs="Times New Roman"/>
          <w:bCs/>
          <w:sz w:val="24"/>
          <w:szCs w:val="24"/>
        </w:rPr>
        <w:t xml:space="preserve">teacher certification in another country </w:t>
      </w:r>
      <w:r w:rsidR="009C2821">
        <w:rPr>
          <w:rFonts w:ascii="Times New Roman" w:hAnsi="Times New Roman" w:cs="Times New Roman"/>
          <w:bCs/>
          <w:sz w:val="24"/>
          <w:szCs w:val="24"/>
        </w:rPr>
        <w:t>and completing</w:t>
      </w:r>
      <w:r w:rsidRPr="00C0701F">
        <w:rPr>
          <w:rFonts w:ascii="Times New Roman" w:hAnsi="Times New Roman" w:cs="Times New Roman"/>
          <w:bCs/>
          <w:sz w:val="24"/>
          <w:szCs w:val="24"/>
        </w:rPr>
        <w:t xml:space="preserve"> at least 3 semester hours of methods of teaching foreign languages at the elementary and secondary levels at a foreign institution.</w:t>
      </w:r>
      <w:r>
        <w:rPr>
          <w:rFonts w:ascii="Times New Roman" w:hAnsi="Times New Roman" w:cs="Times New Roman"/>
          <w:bCs/>
          <w:sz w:val="24"/>
          <w:szCs w:val="24"/>
        </w:rPr>
        <w:t xml:space="preserve"> </w:t>
      </w:r>
    </w:p>
    <w:p w14:paraId="569375F7" w14:textId="77777777" w:rsidR="005C27C6" w:rsidRPr="001768BA" w:rsidRDefault="005C27C6" w:rsidP="005C27C6">
      <w:pPr>
        <w:pStyle w:val="ListParagraph"/>
        <w:tabs>
          <w:tab w:val="left" w:pos="1350"/>
          <w:tab w:val="left" w:pos="6390"/>
        </w:tabs>
        <w:spacing w:after="0" w:line="240" w:lineRule="auto"/>
        <w:ind w:left="1260" w:hanging="360"/>
        <w:rPr>
          <w:rFonts w:ascii="Times New Roman" w:hAnsi="Times New Roman" w:cs="Times New Roman"/>
          <w:bCs/>
          <w:sz w:val="24"/>
          <w:szCs w:val="24"/>
        </w:rPr>
      </w:pPr>
    </w:p>
    <w:p w14:paraId="72216C47" w14:textId="082273A8" w:rsidR="005C27C6" w:rsidRPr="005C27C6" w:rsidRDefault="005C27C6" w:rsidP="005C27C6">
      <w:pPr>
        <w:pStyle w:val="ListParagraph"/>
        <w:tabs>
          <w:tab w:val="left" w:pos="6390"/>
        </w:tabs>
        <w:spacing w:after="0" w:line="240" w:lineRule="auto"/>
        <w:ind w:left="1260" w:hanging="360"/>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
          <w:sz w:val="24"/>
          <w:szCs w:val="24"/>
        </w:rPr>
        <w:t>IMPORTANT NOTE</w:t>
      </w:r>
      <w:r w:rsidRPr="005C27C6">
        <w:rPr>
          <w:rFonts w:ascii="Times New Roman" w:hAnsi="Times New Roman" w:cs="Times New Roman"/>
          <w:b/>
          <w:sz w:val="24"/>
          <w:szCs w:val="24"/>
        </w:rPr>
        <w:t>:</w:t>
      </w:r>
      <w:r>
        <w:rPr>
          <w:rFonts w:ascii="Times New Roman" w:hAnsi="Times New Roman" w:cs="Times New Roman"/>
          <w:bCs/>
          <w:sz w:val="24"/>
          <w:szCs w:val="24"/>
        </w:rPr>
        <w:t xml:space="preserve"> Individuals who take ACTFL</w:t>
      </w:r>
      <w:r w:rsidRPr="00897DFD">
        <w:rPr>
          <w:rFonts w:ascii="Times New Roman" w:hAnsi="Times New Roman" w:cs="Times New Roman"/>
          <w:bCs/>
          <w:sz w:val="24"/>
          <w:szCs w:val="24"/>
        </w:rPr>
        <w:t xml:space="preserve"> Oral and Writing Proficiency Assessments</w:t>
      </w:r>
      <w:r w:rsidRPr="001768BA">
        <w:rPr>
          <w:rFonts w:ascii="Times New Roman" w:hAnsi="Times New Roman" w:cs="Times New Roman"/>
          <w:b/>
          <w:bCs/>
          <w:sz w:val="24"/>
          <w:szCs w:val="24"/>
        </w:rPr>
        <w:t xml:space="preserve"> </w:t>
      </w:r>
      <w:r w:rsidRPr="005C27C6">
        <w:rPr>
          <w:rFonts w:ascii="Times New Roman" w:hAnsi="Times New Roman" w:cs="Times New Roman"/>
          <w:sz w:val="24"/>
          <w:szCs w:val="24"/>
          <w:u w:val="single"/>
        </w:rPr>
        <w:t xml:space="preserve">must still satisfy the Praxis Subject Area assessment requirement </w:t>
      </w:r>
      <w:r>
        <w:rPr>
          <w:rFonts w:ascii="Times New Roman" w:hAnsi="Times New Roman" w:cs="Times New Roman"/>
          <w:sz w:val="24"/>
          <w:szCs w:val="24"/>
          <w:u w:val="single"/>
        </w:rPr>
        <w:t>for</w:t>
      </w:r>
      <w:r w:rsidRPr="005C27C6">
        <w:rPr>
          <w:rFonts w:ascii="Times New Roman" w:hAnsi="Times New Roman" w:cs="Times New Roman"/>
          <w:sz w:val="24"/>
          <w:szCs w:val="24"/>
          <w:u w:val="single"/>
        </w:rPr>
        <w:t xml:space="preserve"> the endorsement area in which the initial licens</w:t>
      </w:r>
      <w:r>
        <w:rPr>
          <w:rFonts w:ascii="Times New Roman" w:hAnsi="Times New Roman" w:cs="Times New Roman"/>
          <w:sz w:val="24"/>
          <w:szCs w:val="24"/>
          <w:u w:val="single"/>
        </w:rPr>
        <w:t>e</w:t>
      </w:r>
      <w:r w:rsidRPr="005C27C6">
        <w:rPr>
          <w:rFonts w:ascii="Times New Roman" w:hAnsi="Times New Roman" w:cs="Times New Roman"/>
          <w:sz w:val="24"/>
          <w:szCs w:val="24"/>
          <w:u w:val="single"/>
        </w:rPr>
        <w:t xml:space="preserve"> is granted if </w:t>
      </w:r>
      <w:r>
        <w:rPr>
          <w:rFonts w:ascii="Times New Roman" w:hAnsi="Times New Roman" w:cs="Times New Roman"/>
          <w:sz w:val="24"/>
          <w:szCs w:val="24"/>
          <w:u w:val="single"/>
        </w:rPr>
        <w:t>the</w:t>
      </w:r>
      <w:r w:rsidRPr="005C27C6">
        <w:rPr>
          <w:rFonts w:ascii="Times New Roman" w:hAnsi="Times New Roman" w:cs="Times New Roman"/>
          <w:sz w:val="24"/>
          <w:szCs w:val="24"/>
          <w:u w:val="single"/>
        </w:rPr>
        <w:t xml:space="preserve"> Board of Education has a prescribed Praxis subject area assessment</w:t>
      </w:r>
      <w:r w:rsidRPr="005C27C6">
        <w:rPr>
          <w:rFonts w:ascii="Times New Roman" w:hAnsi="Times New Roman" w:cs="Times New Roman"/>
          <w:sz w:val="24"/>
          <w:szCs w:val="24"/>
        </w:rPr>
        <w:t xml:space="preserve">. </w:t>
      </w:r>
      <w:r w:rsidRPr="00C0701F">
        <w:rPr>
          <w:rFonts w:ascii="Times New Roman" w:hAnsi="Times New Roman" w:cs="Times New Roman"/>
          <w:bCs/>
          <w:sz w:val="24"/>
          <w:szCs w:val="24"/>
        </w:rPr>
        <w:t xml:space="preserve">For a list of assessments </w:t>
      </w:r>
      <w:r w:rsidRPr="00C0701F">
        <w:rPr>
          <w:rFonts w:ascii="Times New Roman" w:hAnsi="Times New Roman" w:cs="Times New Roman"/>
          <w:sz w:val="24"/>
          <w:szCs w:val="24"/>
        </w:rPr>
        <w:t>prescribed by the Board of Education</w:t>
      </w:r>
      <w:r w:rsidRPr="00C0701F">
        <w:rPr>
          <w:rFonts w:ascii="Times New Roman" w:hAnsi="Times New Roman" w:cs="Times New Roman"/>
          <w:bCs/>
          <w:sz w:val="24"/>
          <w:szCs w:val="24"/>
        </w:rPr>
        <w:t xml:space="preserve"> refe</w:t>
      </w:r>
      <w:r>
        <w:rPr>
          <w:rFonts w:ascii="Times New Roman" w:hAnsi="Times New Roman" w:cs="Times New Roman"/>
          <w:bCs/>
          <w:sz w:val="24"/>
          <w:szCs w:val="24"/>
        </w:rPr>
        <w:t>r to the Professional Teacher’s Assessment Requirements document on the following website</w:t>
      </w:r>
      <w:r w:rsidRPr="00C0701F">
        <w:rPr>
          <w:rFonts w:ascii="Times New Roman" w:hAnsi="Times New Roman" w:cs="Times New Roman"/>
          <w:sz w:val="24"/>
          <w:szCs w:val="24"/>
        </w:rPr>
        <w:t>:</w:t>
      </w:r>
      <w:r>
        <w:rPr>
          <w:rFonts w:ascii="Times New Roman" w:hAnsi="Times New Roman" w:cs="Times New Roman"/>
          <w:sz w:val="24"/>
          <w:szCs w:val="24"/>
        </w:rPr>
        <w:t xml:space="preserve"> </w:t>
      </w:r>
      <w:hyperlink r:id="rId14" w:history="1">
        <w:r w:rsidRPr="005C27C6">
          <w:rPr>
            <w:rStyle w:val="Hyperlink"/>
            <w:rFonts w:ascii="Times New Roman" w:hAnsi="Times New Roman" w:cs="Times New Roman"/>
            <w:sz w:val="24"/>
            <w:szCs w:val="24"/>
          </w:rPr>
          <w:t>https://www.doe.virginia.gov/teaching-learning-assessment/teaching-in-virginia/teacher-licensure/licensing-forms-information</w:t>
        </w:r>
      </w:hyperlink>
      <w:r w:rsidRPr="005C27C6">
        <w:rPr>
          <w:rFonts w:ascii="Times New Roman" w:hAnsi="Times New Roman" w:cs="Times New Roman"/>
          <w:sz w:val="24"/>
          <w:szCs w:val="24"/>
        </w:rPr>
        <w:t xml:space="preserve">. </w:t>
      </w:r>
    </w:p>
    <w:p w14:paraId="493A1323" w14:textId="77777777" w:rsidR="00186FBC" w:rsidRDefault="00186FBC" w:rsidP="001E00CF">
      <w:pPr>
        <w:tabs>
          <w:tab w:val="left" w:pos="1350"/>
          <w:tab w:val="left" w:pos="6390"/>
        </w:tabs>
        <w:spacing w:after="0" w:line="240" w:lineRule="auto"/>
        <w:ind w:left="1260" w:hanging="360"/>
        <w:rPr>
          <w:rFonts w:ascii="Times New Roman" w:hAnsi="Times New Roman" w:cs="Times New Roman"/>
          <w:b/>
          <w:bCs/>
          <w:sz w:val="24"/>
          <w:szCs w:val="24"/>
        </w:rPr>
      </w:pPr>
    </w:p>
    <w:p w14:paraId="72F05ABD" w14:textId="751F34D0" w:rsidR="001E00CF" w:rsidRPr="001E00CF" w:rsidRDefault="005C27C6" w:rsidP="001E00CF">
      <w:pPr>
        <w:tabs>
          <w:tab w:val="left" w:pos="1350"/>
          <w:tab w:val="left" w:pos="6390"/>
        </w:tabs>
        <w:spacing w:after="0" w:line="240" w:lineRule="auto"/>
        <w:ind w:left="1260" w:hanging="360"/>
        <w:rPr>
          <w:rFonts w:ascii="Times New Roman" w:hAnsi="Times New Roman" w:cs="Times New Roman"/>
          <w:b/>
          <w:bCs/>
          <w:sz w:val="24"/>
          <w:szCs w:val="24"/>
        </w:rPr>
      </w:pPr>
      <w:r>
        <w:rPr>
          <w:rFonts w:ascii="Times New Roman" w:hAnsi="Times New Roman" w:cs="Times New Roman"/>
          <w:b/>
          <w:bCs/>
          <w:sz w:val="24"/>
          <w:szCs w:val="24"/>
        </w:rPr>
        <w:tab/>
      </w:r>
    </w:p>
    <w:tbl>
      <w:tblPr>
        <w:tblStyle w:val="TableGrid"/>
        <w:tblW w:w="0" w:type="auto"/>
        <w:tblLook w:val="04A0" w:firstRow="1" w:lastRow="0" w:firstColumn="1" w:lastColumn="0" w:noHBand="0" w:noVBand="1"/>
        <w:tblCaption w:val="Title Box"/>
        <w:tblDescription w:val="Individuals Applying for an Initial Virginia Teaching License who have Learned a Foreign Language without Formal Academic Credit in a Regionally Accredited College or University:"/>
      </w:tblPr>
      <w:tblGrid>
        <w:gridCol w:w="10790"/>
      </w:tblGrid>
      <w:tr w:rsidR="001768BA" w14:paraId="18764222" w14:textId="77777777" w:rsidTr="001768BA">
        <w:tc>
          <w:tcPr>
            <w:tcW w:w="10790" w:type="dxa"/>
          </w:tcPr>
          <w:p w14:paraId="518C8FD2" w14:textId="22719271" w:rsidR="001768BA" w:rsidRDefault="001768BA" w:rsidP="001768BA">
            <w:pPr>
              <w:tabs>
                <w:tab w:val="left" w:pos="6390"/>
              </w:tabs>
              <w:jc w:val="center"/>
              <w:rPr>
                <w:rFonts w:ascii="Times New Roman" w:eastAsia="Times New Roman" w:hAnsi="Times New Roman" w:cs="Times New Roman"/>
                <w:b/>
                <w:sz w:val="24"/>
                <w:szCs w:val="24"/>
                <w:u w:val="single"/>
              </w:rPr>
            </w:pPr>
            <w:r w:rsidRPr="001768BA">
              <w:rPr>
                <w:rFonts w:ascii="Times New Roman" w:eastAsia="Times New Roman" w:hAnsi="Times New Roman" w:cs="Times New Roman"/>
                <w:b/>
                <w:sz w:val="24"/>
                <w:szCs w:val="24"/>
              </w:rPr>
              <w:t>Individuals Applying for an Initial Virginia Teaching License who have Learned a Foreign Language without Formal Academic Credit in a Regionally Accredited College or University</w:t>
            </w:r>
          </w:p>
        </w:tc>
      </w:tr>
    </w:tbl>
    <w:p w14:paraId="77B2DB0F" w14:textId="77777777" w:rsidR="001768BA" w:rsidRPr="00C0701F" w:rsidRDefault="001768BA" w:rsidP="001768BA">
      <w:pPr>
        <w:tabs>
          <w:tab w:val="left" w:pos="6390"/>
        </w:tabs>
        <w:spacing w:after="0" w:line="240" w:lineRule="auto"/>
        <w:rPr>
          <w:rFonts w:ascii="Times New Roman" w:eastAsia="Times New Roman" w:hAnsi="Times New Roman" w:cs="Times New Roman"/>
          <w:b/>
          <w:sz w:val="24"/>
          <w:szCs w:val="24"/>
          <w:u w:val="single"/>
        </w:rPr>
      </w:pPr>
    </w:p>
    <w:p w14:paraId="31E9B189" w14:textId="3FE57363" w:rsidR="002C5890" w:rsidRDefault="002C5890" w:rsidP="001768BA">
      <w:pPr>
        <w:tabs>
          <w:tab w:val="left" w:pos="6390"/>
        </w:tabs>
        <w:spacing w:after="0" w:line="240" w:lineRule="auto"/>
        <w:rPr>
          <w:rFonts w:ascii="Times New Roman" w:hAnsi="Times New Roman" w:cs="Times New Roman"/>
          <w:sz w:val="24"/>
          <w:szCs w:val="24"/>
        </w:rPr>
      </w:pPr>
      <w:r w:rsidRPr="00C0701F">
        <w:rPr>
          <w:rFonts w:ascii="Times New Roman" w:hAnsi="Times New Roman" w:cs="Times New Roman"/>
          <w:sz w:val="24"/>
          <w:szCs w:val="24"/>
        </w:rPr>
        <w:t>If you are currently employed by a Virginia school division</w:t>
      </w:r>
      <w:r w:rsidR="00381732">
        <w:rPr>
          <w:rFonts w:ascii="Times New Roman" w:hAnsi="Times New Roman" w:cs="Times New Roman"/>
          <w:sz w:val="24"/>
          <w:szCs w:val="24"/>
        </w:rPr>
        <w:t>,</w:t>
      </w:r>
      <w:r w:rsidRPr="00C0701F">
        <w:rPr>
          <w:rFonts w:ascii="Times New Roman" w:hAnsi="Times New Roman" w:cs="Times New Roman"/>
          <w:sz w:val="24"/>
          <w:szCs w:val="24"/>
        </w:rPr>
        <w:t xml:space="preserve"> or accredited nonpublic school, your credentials must be submitted on your behalf by the employing educational agency.</w:t>
      </w:r>
      <w:r w:rsidR="001F19A7">
        <w:rPr>
          <w:rFonts w:ascii="Times New Roman" w:hAnsi="Times New Roman" w:cs="Times New Roman"/>
          <w:sz w:val="24"/>
          <w:szCs w:val="24"/>
        </w:rPr>
        <w:t xml:space="preserve"> </w:t>
      </w:r>
      <w:r w:rsidRPr="00C0701F">
        <w:rPr>
          <w:rFonts w:ascii="Times New Roman" w:hAnsi="Times New Roman" w:cs="Times New Roman"/>
          <w:sz w:val="24"/>
          <w:szCs w:val="24"/>
        </w:rPr>
        <w:t>Please contact your Human Res</w:t>
      </w:r>
      <w:r w:rsidR="00793A27">
        <w:rPr>
          <w:rFonts w:ascii="Times New Roman" w:hAnsi="Times New Roman" w:cs="Times New Roman"/>
          <w:sz w:val="24"/>
          <w:szCs w:val="24"/>
        </w:rPr>
        <w:t xml:space="preserve">ources Office to inquire who </w:t>
      </w:r>
      <w:r w:rsidRPr="00C0701F">
        <w:rPr>
          <w:rFonts w:ascii="Times New Roman" w:hAnsi="Times New Roman" w:cs="Times New Roman"/>
          <w:sz w:val="24"/>
          <w:szCs w:val="24"/>
        </w:rPr>
        <w:t>the lic</w:t>
      </w:r>
      <w:r w:rsidR="00022226" w:rsidRPr="00C0701F">
        <w:rPr>
          <w:rFonts w:ascii="Times New Roman" w:hAnsi="Times New Roman" w:cs="Times New Roman"/>
          <w:sz w:val="24"/>
          <w:szCs w:val="24"/>
        </w:rPr>
        <w:t xml:space="preserve">ensure contact </w:t>
      </w:r>
      <w:r w:rsidR="00793A27">
        <w:rPr>
          <w:rFonts w:ascii="Times New Roman" w:hAnsi="Times New Roman" w:cs="Times New Roman"/>
          <w:sz w:val="24"/>
          <w:szCs w:val="24"/>
        </w:rPr>
        <w:t xml:space="preserve">is </w:t>
      </w:r>
      <w:r w:rsidR="00022226" w:rsidRPr="00C0701F">
        <w:rPr>
          <w:rFonts w:ascii="Times New Roman" w:hAnsi="Times New Roman" w:cs="Times New Roman"/>
          <w:sz w:val="24"/>
          <w:szCs w:val="24"/>
        </w:rPr>
        <w:t xml:space="preserve">in your school division or </w:t>
      </w:r>
      <w:r w:rsidRPr="00C0701F">
        <w:rPr>
          <w:rFonts w:ascii="Times New Roman" w:hAnsi="Times New Roman" w:cs="Times New Roman"/>
          <w:sz w:val="24"/>
          <w:szCs w:val="24"/>
        </w:rPr>
        <w:t>nonpublic accredited school.</w:t>
      </w:r>
      <w:r w:rsidR="001F19A7">
        <w:rPr>
          <w:rFonts w:ascii="Times New Roman" w:hAnsi="Times New Roman" w:cs="Times New Roman"/>
          <w:sz w:val="24"/>
          <w:szCs w:val="24"/>
        </w:rPr>
        <w:t xml:space="preserve"> </w:t>
      </w:r>
    </w:p>
    <w:p w14:paraId="2840D40F" w14:textId="77777777" w:rsidR="00C0701F" w:rsidRPr="00C0701F" w:rsidRDefault="00C0701F" w:rsidP="001768BA">
      <w:pPr>
        <w:tabs>
          <w:tab w:val="left" w:pos="6390"/>
        </w:tabs>
        <w:spacing w:after="0" w:line="240" w:lineRule="auto"/>
        <w:rPr>
          <w:rFonts w:ascii="Times New Roman" w:hAnsi="Times New Roman" w:cs="Times New Roman"/>
          <w:sz w:val="24"/>
          <w:szCs w:val="24"/>
        </w:rPr>
      </w:pPr>
    </w:p>
    <w:p w14:paraId="140AB744" w14:textId="77777777" w:rsidR="001A0C0C" w:rsidRDefault="002C5890" w:rsidP="001768BA">
      <w:pPr>
        <w:tabs>
          <w:tab w:val="left" w:pos="6390"/>
        </w:tabs>
        <w:spacing w:after="0" w:line="240" w:lineRule="auto"/>
        <w:ind w:right="-180"/>
        <w:rPr>
          <w:rFonts w:ascii="Times New Roman" w:hAnsi="Times New Roman" w:cs="Times New Roman"/>
          <w:sz w:val="24"/>
          <w:szCs w:val="24"/>
        </w:rPr>
      </w:pPr>
      <w:r w:rsidRPr="00C0701F">
        <w:rPr>
          <w:rFonts w:ascii="Times New Roman" w:hAnsi="Times New Roman" w:cs="Times New Roman"/>
          <w:sz w:val="24"/>
          <w:szCs w:val="24"/>
        </w:rPr>
        <w:t>If you are not employed by a Virginia public school division</w:t>
      </w:r>
      <w:r w:rsidR="00381732">
        <w:rPr>
          <w:rFonts w:ascii="Times New Roman" w:hAnsi="Times New Roman" w:cs="Times New Roman"/>
          <w:sz w:val="24"/>
          <w:szCs w:val="24"/>
        </w:rPr>
        <w:t>,</w:t>
      </w:r>
      <w:r w:rsidRPr="00C0701F">
        <w:rPr>
          <w:rFonts w:ascii="Times New Roman" w:hAnsi="Times New Roman" w:cs="Times New Roman"/>
          <w:sz w:val="24"/>
          <w:szCs w:val="24"/>
        </w:rPr>
        <w:t xml:space="preserve"> or nonpublic accredited school</w:t>
      </w:r>
      <w:r w:rsidR="00381732">
        <w:rPr>
          <w:rFonts w:ascii="Times New Roman" w:hAnsi="Times New Roman" w:cs="Times New Roman"/>
          <w:sz w:val="24"/>
          <w:szCs w:val="24"/>
        </w:rPr>
        <w:t>,</w:t>
      </w:r>
      <w:r w:rsidRPr="00C0701F">
        <w:rPr>
          <w:rFonts w:ascii="Times New Roman" w:hAnsi="Times New Roman" w:cs="Times New Roman"/>
          <w:sz w:val="24"/>
          <w:szCs w:val="24"/>
        </w:rPr>
        <w:t xml:space="preserve"> and learned a foreign language without formal academic college or university </w:t>
      </w:r>
      <w:r w:rsidR="00793A27" w:rsidRPr="00C0701F">
        <w:rPr>
          <w:rFonts w:ascii="Times New Roman" w:hAnsi="Times New Roman" w:cs="Times New Roman"/>
          <w:sz w:val="24"/>
          <w:szCs w:val="24"/>
        </w:rPr>
        <w:t>credit,</w:t>
      </w:r>
      <w:r w:rsidRPr="00C0701F">
        <w:rPr>
          <w:rFonts w:ascii="Times New Roman" w:hAnsi="Times New Roman" w:cs="Times New Roman"/>
          <w:sz w:val="24"/>
          <w:szCs w:val="24"/>
        </w:rPr>
        <w:t xml:space="preserve"> you may</w:t>
      </w:r>
      <w:r w:rsidR="008F34FD" w:rsidRPr="00C0701F">
        <w:rPr>
          <w:rFonts w:ascii="Times New Roman" w:hAnsi="Times New Roman" w:cs="Times New Roman"/>
          <w:sz w:val="24"/>
          <w:szCs w:val="24"/>
        </w:rPr>
        <w:t xml:space="preserve"> apply for an initial</w:t>
      </w:r>
      <w:r w:rsidR="00265794" w:rsidRPr="00C0701F">
        <w:rPr>
          <w:rFonts w:ascii="Times New Roman" w:hAnsi="Times New Roman" w:cs="Times New Roman"/>
          <w:sz w:val="24"/>
          <w:szCs w:val="24"/>
        </w:rPr>
        <w:t xml:space="preserve"> Virginia</w:t>
      </w:r>
      <w:r w:rsidR="008F34FD" w:rsidRPr="00C0701F">
        <w:rPr>
          <w:rFonts w:ascii="Times New Roman" w:hAnsi="Times New Roman" w:cs="Times New Roman"/>
          <w:sz w:val="24"/>
          <w:szCs w:val="24"/>
        </w:rPr>
        <w:t xml:space="preserve"> teaching license</w:t>
      </w:r>
      <w:r w:rsidRPr="00C0701F">
        <w:rPr>
          <w:rFonts w:ascii="Times New Roman" w:hAnsi="Times New Roman" w:cs="Times New Roman"/>
          <w:sz w:val="24"/>
          <w:szCs w:val="24"/>
        </w:rPr>
        <w:t xml:space="preserve"> by</w:t>
      </w:r>
      <w:r w:rsidR="008F34FD" w:rsidRPr="00C0701F">
        <w:rPr>
          <w:rFonts w:ascii="Times New Roman" w:hAnsi="Times New Roman" w:cs="Times New Roman"/>
          <w:sz w:val="24"/>
          <w:szCs w:val="24"/>
        </w:rPr>
        <w:t xml:space="preserve"> </w:t>
      </w:r>
      <w:r w:rsidR="001A0C0C">
        <w:rPr>
          <w:rFonts w:ascii="Times New Roman" w:hAnsi="Times New Roman" w:cs="Times New Roman"/>
          <w:sz w:val="24"/>
          <w:szCs w:val="24"/>
        </w:rPr>
        <w:t xml:space="preserve">following the steps outlined in the Application for a Virginia License, which can be accessed on the Teacher Licensure webpage at </w:t>
      </w:r>
    </w:p>
    <w:p w14:paraId="64FA7960" w14:textId="21940572" w:rsidR="00A22DA1" w:rsidRPr="00C0701F" w:rsidRDefault="0025437A" w:rsidP="001E00CF">
      <w:pPr>
        <w:tabs>
          <w:tab w:val="left" w:pos="6390"/>
        </w:tabs>
        <w:spacing w:after="0" w:line="240" w:lineRule="auto"/>
        <w:ind w:right="-180"/>
        <w:rPr>
          <w:rFonts w:ascii="Times New Roman" w:eastAsia="Times New Roman" w:hAnsi="Times New Roman" w:cs="Times New Roman"/>
          <w:sz w:val="24"/>
          <w:szCs w:val="24"/>
        </w:rPr>
      </w:pPr>
      <w:hyperlink r:id="rId15" w:history="1">
        <w:r w:rsidR="001A0C0C" w:rsidRPr="00A652A6">
          <w:rPr>
            <w:rStyle w:val="Hyperlink"/>
            <w:rFonts w:ascii="Times New Roman" w:hAnsi="Times New Roman" w:cs="Times New Roman"/>
            <w:sz w:val="24"/>
            <w:szCs w:val="24"/>
          </w:rPr>
          <w:t>https://www.doe.virginia.gov/teaching-learning-assessment/teaching-in-virginia/licensure</w:t>
        </w:r>
      </w:hyperlink>
      <w:r w:rsidR="001A0C0C">
        <w:rPr>
          <w:rFonts w:ascii="Times New Roman" w:hAnsi="Times New Roman" w:cs="Times New Roman"/>
          <w:sz w:val="24"/>
          <w:szCs w:val="24"/>
        </w:rPr>
        <w:t xml:space="preserve">. </w:t>
      </w:r>
    </w:p>
    <w:sectPr w:rsidR="00A22DA1" w:rsidRPr="00C0701F" w:rsidSect="001E00CF">
      <w:headerReference w:type="default" r:id="rId16"/>
      <w:footerReference w:type="default" r:id="rId17"/>
      <w:pgSz w:w="12240" w:h="15840"/>
      <w:pgMar w:top="810"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5892" w14:textId="77777777" w:rsidR="00CE408E" w:rsidRDefault="00CE408E" w:rsidP="00C0701F">
      <w:pPr>
        <w:spacing w:after="0" w:line="240" w:lineRule="auto"/>
      </w:pPr>
      <w:r>
        <w:separator/>
      </w:r>
    </w:p>
  </w:endnote>
  <w:endnote w:type="continuationSeparator" w:id="0">
    <w:p w14:paraId="003BE29A" w14:textId="77777777" w:rsidR="00CE408E" w:rsidRDefault="00CE408E" w:rsidP="00C0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993027"/>
      <w:docPartObj>
        <w:docPartGallery w:val="Page Numbers (Bottom of Page)"/>
        <w:docPartUnique/>
      </w:docPartObj>
    </w:sdtPr>
    <w:sdtEndPr>
      <w:rPr>
        <w:rFonts w:ascii="Times New Roman" w:hAnsi="Times New Roman" w:cs="Times New Roman"/>
        <w:noProof/>
      </w:rPr>
    </w:sdtEndPr>
    <w:sdtContent>
      <w:p w14:paraId="430688A1" w14:textId="4FDC85C2" w:rsidR="001F19A7" w:rsidRPr="001F19A7" w:rsidRDefault="001F19A7">
        <w:pPr>
          <w:pStyle w:val="Footer"/>
          <w:jc w:val="right"/>
          <w:rPr>
            <w:rFonts w:ascii="Times New Roman" w:hAnsi="Times New Roman" w:cs="Times New Roman"/>
          </w:rPr>
        </w:pPr>
        <w:r w:rsidRPr="001F19A7">
          <w:rPr>
            <w:rFonts w:ascii="Times New Roman" w:hAnsi="Times New Roman" w:cs="Times New Roman"/>
          </w:rPr>
          <w:fldChar w:fldCharType="begin"/>
        </w:r>
        <w:r w:rsidRPr="001F19A7">
          <w:rPr>
            <w:rFonts w:ascii="Times New Roman" w:hAnsi="Times New Roman" w:cs="Times New Roman"/>
          </w:rPr>
          <w:instrText xml:space="preserve"> PAGE   \* MERGEFORMAT </w:instrText>
        </w:r>
        <w:r w:rsidRPr="001F19A7">
          <w:rPr>
            <w:rFonts w:ascii="Times New Roman" w:hAnsi="Times New Roman" w:cs="Times New Roman"/>
          </w:rPr>
          <w:fldChar w:fldCharType="separate"/>
        </w:r>
        <w:r w:rsidR="00480980">
          <w:rPr>
            <w:rFonts w:ascii="Times New Roman" w:hAnsi="Times New Roman" w:cs="Times New Roman"/>
            <w:noProof/>
          </w:rPr>
          <w:t>5</w:t>
        </w:r>
        <w:r w:rsidRPr="001F19A7">
          <w:rPr>
            <w:rFonts w:ascii="Times New Roman" w:hAnsi="Times New Roman" w:cs="Times New Roman"/>
            <w:noProof/>
          </w:rPr>
          <w:fldChar w:fldCharType="end"/>
        </w:r>
      </w:p>
    </w:sdtContent>
  </w:sdt>
  <w:p w14:paraId="6E392EB3" w14:textId="6E18A889" w:rsidR="00654B44" w:rsidRDefault="00654B44">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6FAC" w14:textId="77777777" w:rsidR="00CE408E" w:rsidRDefault="00CE408E" w:rsidP="00C0701F">
      <w:pPr>
        <w:spacing w:after="0" w:line="240" w:lineRule="auto"/>
      </w:pPr>
      <w:r>
        <w:separator/>
      </w:r>
    </w:p>
  </w:footnote>
  <w:footnote w:type="continuationSeparator" w:id="0">
    <w:p w14:paraId="41B4DBC3" w14:textId="77777777" w:rsidR="00CE408E" w:rsidRDefault="00CE408E" w:rsidP="00C07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45B9" w14:textId="2A57E5E4" w:rsidR="00654B44" w:rsidRPr="00186FBC" w:rsidRDefault="00A0037A" w:rsidP="00654B44">
    <w:pPr>
      <w:pStyle w:val="Header"/>
      <w:jc w:val="right"/>
      <w:rPr>
        <w:sz w:val="18"/>
        <w:szCs w:val="18"/>
      </w:rPr>
    </w:pPr>
    <w:r w:rsidRPr="00186FBC">
      <w:rPr>
        <w:rFonts w:ascii="Times New Roman" w:hAnsi="Times New Roman" w:cs="Times New Roman"/>
        <w:sz w:val="20"/>
        <w:szCs w:val="20"/>
      </w:rPr>
      <w:t>Updated 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87B"/>
    <w:multiLevelType w:val="hybridMultilevel"/>
    <w:tmpl w:val="3C76EF12"/>
    <w:lvl w:ilvl="0" w:tplc="26FE3B9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4D9D"/>
    <w:multiLevelType w:val="hybridMultilevel"/>
    <w:tmpl w:val="1CDED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63804"/>
    <w:multiLevelType w:val="hybridMultilevel"/>
    <w:tmpl w:val="B9FA5088"/>
    <w:lvl w:ilvl="0" w:tplc="829AC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62485"/>
    <w:multiLevelType w:val="hybridMultilevel"/>
    <w:tmpl w:val="D834F6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E401C"/>
    <w:multiLevelType w:val="hybridMultilevel"/>
    <w:tmpl w:val="98825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9616E"/>
    <w:multiLevelType w:val="hybridMultilevel"/>
    <w:tmpl w:val="1CDED6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52C84"/>
    <w:multiLevelType w:val="hybridMultilevel"/>
    <w:tmpl w:val="1CDED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D7248"/>
    <w:multiLevelType w:val="hybridMultilevel"/>
    <w:tmpl w:val="E988B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686AFB"/>
    <w:multiLevelType w:val="hybridMultilevel"/>
    <w:tmpl w:val="9EC684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6054F4"/>
    <w:multiLevelType w:val="hybridMultilevel"/>
    <w:tmpl w:val="C7AA71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C938F1"/>
    <w:multiLevelType w:val="hybridMultilevel"/>
    <w:tmpl w:val="440E370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1" w15:restartNumberingAfterBreak="0">
    <w:nsid w:val="7AA025C8"/>
    <w:multiLevelType w:val="hybridMultilevel"/>
    <w:tmpl w:val="9EC684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4000237">
    <w:abstractNumId w:val="3"/>
  </w:num>
  <w:num w:numId="2" w16cid:durableId="1540707367">
    <w:abstractNumId w:val="11"/>
  </w:num>
  <w:num w:numId="3" w16cid:durableId="1911112387">
    <w:abstractNumId w:val="9"/>
  </w:num>
  <w:num w:numId="4" w16cid:durableId="1165511693">
    <w:abstractNumId w:val="4"/>
  </w:num>
  <w:num w:numId="5" w16cid:durableId="1988121289">
    <w:abstractNumId w:val="2"/>
  </w:num>
  <w:num w:numId="6" w16cid:durableId="2012290808">
    <w:abstractNumId w:val="8"/>
  </w:num>
  <w:num w:numId="7" w16cid:durableId="1525628635">
    <w:abstractNumId w:val="6"/>
  </w:num>
  <w:num w:numId="8" w16cid:durableId="64574838">
    <w:abstractNumId w:val="10"/>
  </w:num>
  <w:num w:numId="9" w16cid:durableId="536435475">
    <w:abstractNumId w:val="1"/>
  </w:num>
  <w:num w:numId="10" w16cid:durableId="794713726">
    <w:abstractNumId w:val="5"/>
  </w:num>
  <w:num w:numId="11" w16cid:durableId="1272787760">
    <w:abstractNumId w:val="0"/>
  </w:num>
  <w:num w:numId="12" w16cid:durableId="4777660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7C"/>
    <w:rsid w:val="00022226"/>
    <w:rsid w:val="00064D26"/>
    <w:rsid w:val="00076785"/>
    <w:rsid w:val="000C162F"/>
    <w:rsid w:val="00101DC5"/>
    <w:rsid w:val="001564B3"/>
    <w:rsid w:val="001711C4"/>
    <w:rsid w:val="001768BA"/>
    <w:rsid w:val="00186FBC"/>
    <w:rsid w:val="00192AF4"/>
    <w:rsid w:val="00193F5A"/>
    <w:rsid w:val="001A0C0C"/>
    <w:rsid w:val="001C5904"/>
    <w:rsid w:val="001D79BA"/>
    <w:rsid w:val="001E00CF"/>
    <w:rsid w:val="001F19A7"/>
    <w:rsid w:val="001F2D86"/>
    <w:rsid w:val="002073A0"/>
    <w:rsid w:val="00215155"/>
    <w:rsid w:val="002163C6"/>
    <w:rsid w:val="0025437A"/>
    <w:rsid w:val="00265794"/>
    <w:rsid w:val="00285F27"/>
    <w:rsid w:val="002C3985"/>
    <w:rsid w:val="002C5890"/>
    <w:rsid w:val="002E1477"/>
    <w:rsid w:val="002E554C"/>
    <w:rsid w:val="002E69C0"/>
    <w:rsid w:val="00376D39"/>
    <w:rsid w:val="00381732"/>
    <w:rsid w:val="00410290"/>
    <w:rsid w:val="004104F7"/>
    <w:rsid w:val="0047251C"/>
    <w:rsid w:val="00480980"/>
    <w:rsid w:val="00517EC6"/>
    <w:rsid w:val="005520E3"/>
    <w:rsid w:val="0055270D"/>
    <w:rsid w:val="00563C4D"/>
    <w:rsid w:val="0058237C"/>
    <w:rsid w:val="005C27C6"/>
    <w:rsid w:val="00654B44"/>
    <w:rsid w:val="0069590D"/>
    <w:rsid w:val="006A0F36"/>
    <w:rsid w:val="006C76CB"/>
    <w:rsid w:val="0072499B"/>
    <w:rsid w:val="007277B9"/>
    <w:rsid w:val="00762817"/>
    <w:rsid w:val="00793A27"/>
    <w:rsid w:val="007D5EC2"/>
    <w:rsid w:val="007F795F"/>
    <w:rsid w:val="00833ADA"/>
    <w:rsid w:val="00850539"/>
    <w:rsid w:val="0088753E"/>
    <w:rsid w:val="00897DFD"/>
    <w:rsid w:val="008E39EB"/>
    <w:rsid w:val="008F34FD"/>
    <w:rsid w:val="00980A73"/>
    <w:rsid w:val="009B3A66"/>
    <w:rsid w:val="009B62AB"/>
    <w:rsid w:val="009C2821"/>
    <w:rsid w:val="00A0037A"/>
    <w:rsid w:val="00A01085"/>
    <w:rsid w:val="00A22DA1"/>
    <w:rsid w:val="00A341E0"/>
    <w:rsid w:val="00A44044"/>
    <w:rsid w:val="00A47E2D"/>
    <w:rsid w:val="00A77355"/>
    <w:rsid w:val="00A82DC0"/>
    <w:rsid w:val="00AF244C"/>
    <w:rsid w:val="00B35B48"/>
    <w:rsid w:val="00B518BA"/>
    <w:rsid w:val="00B71E32"/>
    <w:rsid w:val="00B84F60"/>
    <w:rsid w:val="00B91888"/>
    <w:rsid w:val="00B92BC4"/>
    <w:rsid w:val="00BD3BC1"/>
    <w:rsid w:val="00C0701F"/>
    <w:rsid w:val="00C22ADF"/>
    <w:rsid w:val="00C6241B"/>
    <w:rsid w:val="00C84F1C"/>
    <w:rsid w:val="00C87685"/>
    <w:rsid w:val="00CE408E"/>
    <w:rsid w:val="00CE5B84"/>
    <w:rsid w:val="00D329A8"/>
    <w:rsid w:val="00D5057F"/>
    <w:rsid w:val="00DA7976"/>
    <w:rsid w:val="00DB1F01"/>
    <w:rsid w:val="00DC5EE8"/>
    <w:rsid w:val="00DD3F50"/>
    <w:rsid w:val="00E158D3"/>
    <w:rsid w:val="00E97B67"/>
    <w:rsid w:val="00EC6136"/>
    <w:rsid w:val="00EE4923"/>
    <w:rsid w:val="00EF1F1B"/>
    <w:rsid w:val="00F179C1"/>
    <w:rsid w:val="00F2766D"/>
    <w:rsid w:val="00F330D1"/>
    <w:rsid w:val="00FC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E48B7"/>
  <w15:docId w15:val="{4ABDF1AB-B3B4-4C0D-ADB6-CD7EE87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39"/>
  </w:style>
  <w:style w:type="paragraph" w:styleId="Heading1">
    <w:name w:val="heading 1"/>
    <w:basedOn w:val="Normal"/>
    <w:next w:val="Normal"/>
    <w:link w:val="Heading1Char"/>
    <w:uiPriority w:val="9"/>
    <w:qFormat/>
    <w:rsid w:val="00DB1F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5155"/>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77355"/>
    <w:rPr>
      <w:color w:val="0000FF"/>
      <w:u w:val="single"/>
    </w:rPr>
  </w:style>
  <w:style w:type="paragraph" w:customStyle="1" w:styleId="Default">
    <w:name w:val="Default"/>
    <w:basedOn w:val="Normal"/>
    <w:rsid w:val="00A77355"/>
    <w:pPr>
      <w:autoSpaceDE w:val="0"/>
      <w:autoSpaceDN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55"/>
    <w:rPr>
      <w:rFonts w:ascii="Segoe UI" w:hAnsi="Segoe UI" w:cs="Segoe UI"/>
      <w:sz w:val="18"/>
      <w:szCs w:val="18"/>
    </w:rPr>
  </w:style>
  <w:style w:type="paragraph" w:customStyle="1" w:styleId="sectbi">
    <w:name w:val="sectbi"/>
    <w:basedOn w:val="Normal"/>
    <w:rsid w:val="00A77355"/>
    <w:pPr>
      <w:spacing w:after="192" w:line="240" w:lineRule="auto"/>
      <w:ind w:left="240"/>
    </w:pPr>
    <w:rPr>
      <w:rFonts w:ascii="Times New Roman" w:eastAsia="Times New Roman" w:hAnsi="Times New Roman" w:cs="Times New Roman"/>
      <w:sz w:val="24"/>
      <w:szCs w:val="24"/>
    </w:rPr>
  </w:style>
  <w:style w:type="paragraph" w:customStyle="1" w:styleId="sectind">
    <w:name w:val="sectind"/>
    <w:basedOn w:val="Normal"/>
    <w:rsid w:val="00A77355"/>
    <w:pPr>
      <w:spacing w:after="192" w:line="240" w:lineRule="auto"/>
    </w:pPr>
    <w:rPr>
      <w:rFonts w:ascii="Times New Roman" w:eastAsia="Times New Roman" w:hAnsi="Times New Roman" w:cs="Times New Roman"/>
      <w:sz w:val="24"/>
      <w:szCs w:val="24"/>
    </w:rPr>
  </w:style>
  <w:style w:type="paragraph" w:customStyle="1" w:styleId="sectbi2">
    <w:name w:val="sectbi2"/>
    <w:basedOn w:val="Normal"/>
    <w:rsid w:val="00A77355"/>
    <w:pPr>
      <w:spacing w:after="192"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2D86"/>
    <w:pPr>
      <w:ind w:left="720"/>
      <w:contextualSpacing/>
    </w:pPr>
  </w:style>
  <w:style w:type="character" w:styleId="FollowedHyperlink">
    <w:name w:val="FollowedHyperlink"/>
    <w:basedOn w:val="DefaultParagraphFont"/>
    <w:rsid w:val="001F2D86"/>
    <w:rPr>
      <w:color w:val="800080"/>
      <w:u w:val="single"/>
    </w:rPr>
  </w:style>
  <w:style w:type="table" w:styleId="TableGrid">
    <w:name w:val="Table Grid"/>
    <w:basedOn w:val="TableNormal"/>
    <w:uiPriority w:val="39"/>
    <w:rsid w:val="0051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C4D"/>
    <w:rPr>
      <w:sz w:val="16"/>
      <w:szCs w:val="16"/>
    </w:rPr>
  </w:style>
  <w:style w:type="paragraph" w:styleId="CommentText">
    <w:name w:val="annotation text"/>
    <w:basedOn w:val="Normal"/>
    <w:link w:val="CommentTextChar"/>
    <w:uiPriority w:val="99"/>
    <w:semiHidden/>
    <w:unhideWhenUsed/>
    <w:rsid w:val="00563C4D"/>
    <w:pPr>
      <w:spacing w:line="240" w:lineRule="auto"/>
    </w:pPr>
    <w:rPr>
      <w:sz w:val="20"/>
      <w:szCs w:val="20"/>
    </w:rPr>
  </w:style>
  <w:style w:type="character" w:customStyle="1" w:styleId="CommentTextChar">
    <w:name w:val="Comment Text Char"/>
    <w:basedOn w:val="DefaultParagraphFont"/>
    <w:link w:val="CommentText"/>
    <w:uiPriority w:val="99"/>
    <w:semiHidden/>
    <w:rsid w:val="00563C4D"/>
    <w:rPr>
      <w:sz w:val="20"/>
      <w:szCs w:val="20"/>
    </w:rPr>
  </w:style>
  <w:style w:type="paragraph" w:styleId="CommentSubject">
    <w:name w:val="annotation subject"/>
    <w:basedOn w:val="CommentText"/>
    <w:next w:val="CommentText"/>
    <w:link w:val="CommentSubjectChar"/>
    <w:uiPriority w:val="99"/>
    <w:semiHidden/>
    <w:unhideWhenUsed/>
    <w:rsid w:val="00563C4D"/>
    <w:rPr>
      <w:b/>
      <w:bCs/>
    </w:rPr>
  </w:style>
  <w:style w:type="character" w:customStyle="1" w:styleId="CommentSubjectChar">
    <w:name w:val="Comment Subject Char"/>
    <w:basedOn w:val="CommentTextChar"/>
    <w:link w:val="CommentSubject"/>
    <w:uiPriority w:val="99"/>
    <w:semiHidden/>
    <w:rsid w:val="00563C4D"/>
    <w:rPr>
      <w:b/>
      <w:bCs/>
      <w:sz w:val="20"/>
      <w:szCs w:val="20"/>
    </w:rPr>
  </w:style>
  <w:style w:type="paragraph" w:styleId="Revision">
    <w:name w:val="Revision"/>
    <w:hidden/>
    <w:uiPriority w:val="99"/>
    <w:semiHidden/>
    <w:rsid w:val="00064D26"/>
    <w:pPr>
      <w:spacing w:after="0" w:line="240" w:lineRule="auto"/>
    </w:pPr>
  </w:style>
  <w:style w:type="character" w:customStyle="1" w:styleId="Heading2Char">
    <w:name w:val="Heading 2 Char"/>
    <w:basedOn w:val="DefaultParagraphFont"/>
    <w:link w:val="Heading2"/>
    <w:rsid w:val="00215155"/>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DB1F0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07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01F"/>
  </w:style>
  <w:style w:type="paragraph" w:styleId="Footer">
    <w:name w:val="footer"/>
    <w:basedOn w:val="Normal"/>
    <w:link w:val="FooterChar"/>
    <w:uiPriority w:val="99"/>
    <w:unhideWhenUsed/>
    <w:rsid w:val="00C07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01F"/>
  </w:style>
  <w:style w:type="character" w:styleId="UnresolvedMention">
    <w:name w:val="Unresolved Mention"/>
    <w:basedOn w:val="DefaultParagraphFont"/>
    <w:uiPriority w:val="99"/>
    <w:semiHidden/>
    <w:unhideWhenUsed/>
    <w:rsid w:val="001A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10">
      <w:bodyDiv w:val="1"/>
      <w:marLeft w:val="0"/>
      <w:marRight w:val="0"/>
      <w:marTop w:val="0"/>
      <w:marBottom w:val="0"/>
      <w:divBdr>
        <w:top w:val="none" w:sz="0" w:space="0" w:color="auto"/>
        <w:left w:val="none" w:sz="0" w:space="0" w:color="auto"/>
        <w:bottom w:val="none" w:sz="0" w:space="0" w:color="auto"/>
        <w:right w:val="none" w:sz="0" w:space="0" w:color="auto"/>
      </w:divBdr>
      <w:divsChild>
        <w:div w:id="568227825">
          <w:marLeft w:val="0"/>
          <w:marRight w:val="0"/>
          <w:marTop w:val="0"/>
          <w:marBottom w:val="0"/>
          <w:divBdr>
            <w:top w:val="none" w:sz="0" w:space="0" w:color="auto"/>
            <w:left w:val="none" w:sz="0" w:space="0" w:color="auto"/>
            <w:bottom w:val="none" w:sz="0" w:space="0" w:color="auto"/>
            <w:right w:val="none" w:sz="0" w:space="0" w:color="auto"/>
          </w:divBdr>
          <w:divsChild>
            <w:div w:id="775179333">
              <w:marLeft w:val="0"/>
              <w:marRight w:val="0"/>
              <w:marTop w:val="0"/>
              <w:marBottom w:val="120"/>
              <w:divBdr>
                <w:top w:val="none" w:sz="0" w:space="0" w:color="auto"/>
                <w:left w:val="none" w:sz="0" w:space="0" w:color="auto"/>
                <w:bottom w:val="none" w:sz="0" w:space="0" w:color="auto"/>
                <w:right w:val="none" w:sz="0" w:space="0" w:color="auto"/>
              </w:divBdr>
              <w:divsChild>
                <w:div w:id="598102917">
                  <w:marLeft w:val="0"/>
                  <w:marRight w:val="0"/>
                  <w:marTop w:val="0"/>
                  <w:marBottom w:val="0"/>
                  <w:divBdr>
                    <w:top w:val="none" w:sz="0" w:space="0" w:color="auto"/>
                    <w:left w:val="none" w:sz="0" w:space="0" w:color="auto"/>
                    <w:bottom w:val="none" w:sz="0" w:space="0" w:color="auto"/>
                    <w:right w:val="none" w:sz="0" w:space="0" w:color="auto"/>
                  </w:divBdr>
                  <w:divsChild>
                    <w:div w:id="8303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797">
      <w:bodyDiv w:val="1"/>
      <w:marLeft w:val="0"/>
      <w:marRight w:val="0"/>
      <w:marTop w:val="0"/>
      <w:marBottom w:val="0"/>
      <w:divBdr>
        <w:top w:val="none" w:sz="0" w:space="0" w:color="auto"/>
        <w:left w:val="none" w:sz="0" w:space="0" w:color="auto"/>
        <w:bottom w:val="none" w:sz="0" w:space="0" w:color="auto"/>
        <w:right w:val="none" w:sz="0" w:space="0" w:color="auto"/>
      </w:divBdr>
    </w:div>
    <w:div w:id="579339628">
      <w:bodyDiv w:val="1"/>
      <w:marLeft w:val="0"/>
      <w:marRight w:val="0"/>
      <w:marTop w:val="0"/>
      <w:marBottom w:val="0"/>
      <w:divBdr>
        <w:top w:val="none" w:sz="0" w:space="0" w:color="auto"/>
        <w:left w:val="none" w:sz="0" w:space="0" w:color="auto"/>
        <w:bottom w:val="none" w:sz="0" w:space="0" w:color="auto"/>
        <w:right w:val="none" w:sz="0" w:space="0" w:color="auto"/>
      </w:divBdr>
      <w:divsChild>
        <w:div w:id="1199779831">
          <w:marLeft w:val="0"/>
          <w:marRight w:val="0"/>
          <w:marTop w:val="0"/>
          <w:marBottom w:val="0"/>
          <w:divBdr>
            <w:top w:val="none" w:sz="0" w:space="0" w:color="auto"/>
            <w:left w:val="none" w:sz="0" w:space="0" w:color="auto"/>
            <w:bottom w:val="none" w:sz="0" w:space="0" w:color="auto"/>
            <w:right w:val="none" w:sz="0" w:space="0" w:color="auto"/>
          </w:divBdr>
          <w:divsChild>
            <w:div w:id="2062169764">
              <w:marLeft w:val="0"/>
              <w:marRight w:val="0"/>
              <w:marTop w:val="0"/>
              <w:marBottom w:val="120"/>
              <w:divBdr>
                <w:top w:val="none" w:sz="0" w:space="0" w:color="auto"/>
                <w:left w:val="none" w:sz="0" w:space="0" w:color="auto"/>
                <w:bottom w:val="none" w:sz="0" w:space="0" w:color="auto"/>
                <w:right w:val="none" w:sz="0" w:space="0" w:color="auto"/>
              </w:divBdr>
              <w:divsChild>
                <w:div w:id="1428767682">
                  <w:marLeft w:val="0"/>
                  <w:marRight w:val="0"/>
                  <w:marTop w:val="0"/>
                  <w:marBottom w:val="0"/>
                  <w:divBdr>
                    <w:top w:val="none" w:sz="0" w:space="0" w:color="auto"/>
                    <w:left w:val="none" w:sz="0" w:space="0" w:color="auto"/>
                    <w:bottom w:val="none" w:sz="0" w:space="0" w:color="auto"/>
                    <w:right w:val="none" w:sz="0" w:space="0" w:color="auto"/>
                  </w:divBdr>
                  <w:divsChild>
                    <w:div w:id="8085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3234">
      <w:bodyDiv w:val="1"/>
      <w:marLeft w:val="0"/>
      <w:marRight w:val="0"/>
      <w:marTop w:val="0"/>
      <w:marBottom w:val="0"/>
      <w:divBdr>
        <w:top w:val="none" w:sz="0" w:space="0" w:color="auto"/>
        <w:left w:val="none" w:sz="0" w:space="0" w:color="auto"/>
        <w:bottom w:val="none" w:sz="0" w:space="0" w:color="auto"/>
        <w:right w:val="none" w:sz="0" w:space="0" w:color="auto"/>
      </w:divBdr>
      <w:divsChild>
        <w:div w:id="1927422309">
          <w:marLeft w:val="0"/>
          <w:marRight w:val="0"/>
          <w:marTop w:val="0"/>
          <w:marBottom w:val="0"/>
          <w:divBdr>
            <w:top w:val="none" w:sz="0" w:space="0" w:color="auto"/>
            <w:left w:val="none" w:sz="0" w:space="0" w:color="auto"/>
            <w:bottom w:val="none" w:sz="0" w:space="0" w:color="auto"/>
            <w:right w:val="none" w:sz="0" w:space="0" w:color="auto"/>
          </w:divBdr>
          <w:divsChild>
            <w:div w:id="328872740">
              <w:marLeft w:val="0"/>
              <w:marRight w:val="0"/>
              <w:marTop w:val="0"/>
              <w:marBottom w:val="120"/>
              <w:divBdr>
                <w:top w:val="none" w:sz="0" w:space="0" w:color="auto"/>
                <w:left w:val="none" w:sz="0" w:space="0" w:color="auto"/>
                <w:bottom w:val="none" w:sz="0" w:space="0" w:color="auto"/>
                <w:right w:val="none" w:sz="0" w:space="0" w:color="auto"/>
              </w:divBdr>
              <w:divsChild>
                <w:div w:id="289283011">
                  <w:marLeft w:val="0"/>
                  <w:marRight w:val="0"/>
                  <w:marTop w:val="0"/>
                  <w:marBottom w:val="0"/>
                  <w:divBdr>
                    <w:top w:val="none" w:sz="0" w:space="0" w:color="auto"/>
                    <w:left w:val="none" w:sz="0" w:space="0" w:color="auto"/>
                    <w:bottom w:val="none" w:sz="0" w:space="0" w:color="auto"/>
                    <w:right w:val="none" w:sz="0" w:space="0" w:color="auto"/>
                  </w:divBdr>
                  <w:divsChild>
                    <w:div w:id="4361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23/section360/" TargetMode="External"/><Relationship Id="rId13" Type="http://schemas.openxmlformats.org/officeDocument/2006/relationships/hyperlink" Target="https://www.actfl.org/assessments/postsecondary-assess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lis.virginia.gov/admincode/title8/agency20/chapter23/" TargetMode="External"/><Relationship Id="rId12" Type="http://schemas.openxmlformats.org/officeDocument/2006/relationships/hyperlink" Target="https://www.et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nesinc.com/" TargetMode="External"/><Relationship Id="rId5" Type="http://schemas.openxmlformats.org/officeDocument/2006/relationships/footnotes" Target="footnotes.xml"/><Relationship Id="rId15" Type="http://schemas.openxmlformats.org/officeDocument/2006/relationships/hyperlink" Target="https://www.doe.virginia.gov/teaching-learning-assessment/teaching-in-virginia/licensure" TargetMode="External"/><Relationship Id="rId10" Type="http://schemas.openxmlformats.org/officeDocument/2006/relationships/hyperlink" Target="https://www.doe.virginia.gov/teaching-learning-assessment/teaching-in-virginia/teacher-licensure/licensing-forms-inform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w.lis.virginia.gov/admincode/title8/agency20/chapter23/" TargetMode="External"/><Relationship Id="rId14" Type="http://schemas.openxmlformats.org/officeDocument/2006/relationships/hyperlink" Target="https://www.doe.virginia.gov/teaching-learning-assessment/teaching-in-virginia/teacher-licensure/licensing-form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Testing for Applicants wanting Forign Language</vt:lpstr>
    </vt:vector>
  </TitlesOfParts>
  <Company>Virginia IT Infrastructure Partnership</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for Applicants wanting Forign Language</dc:title>
  <dc:subject/>
  <dc:creator>Crump, Kendra (DOE)</dc:creator>
  <cp:keywords/>
  <dc:description/>
  <cp:lastModifiedBy>Geha, Andrew (DOE)</cp:lastModifiedBy>
  <cp:revision>2</cp:revision>
  <cp:lastPrinted>2020-01-14T22:26:00Z</cp:lastPrinted>
  <dcterms:created xsi:type="dcterms:W3CDTF">2023-10-03T13:22:00Z</dcterms:created>
  <dcterms:modified xsi:type="dcterms:W3CDTF">2023-10-03T13:22:00Z</dcterms:modified>
</cp:coreProperties>
</file>