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63BEB567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</w:t>
      </w:r>
      <w:r w:rsidR="002E027B">
        <w:t>3</w:t>
      </w:r>
      <w:r w:rsidR="00FD2088">
        <w:t>-202</w:t>
      </w:r>
      <w:r w:rsidR="002E027B">
        <w:t>4</w:t>
      </w:r>
      <w:r w:rsidR="00FD2088">
        <w:t>-</w:t>
      </w:r>
      <w:r w:rsidR="000C39E1">
        <w:t>01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226036F2" w:rsidR="00167950" w:rsidRPr="00A65EE6" w:rsidRDefault="00167950" w:rsidP="00167950">
      <w:r w:rsidRPr="00A65EE6">
        <w:t xml:space="preserve">DATE: </w:t>
      </w:r>
      <w:r w:rsidR="006434B5">
        <w:t>July 13,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4B36EB22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2E027B">
        <w:rPr>
          <w:sz w:val="31"/>
          <w:szCs w:val="31"/>
        </w:rPr>
        <w:t xml:space="preserve">School Nutrition Program </w:t>
      </w:r>
      <w:r w:rsidR="000D3280">
        <w:rPr>
          <w:sz w:val="31"/>
          <w:szCs w:val="31"/>
        </w:rPr>
        <w:t xml:space="preserve">and At-Risk Portion of the Child and Adult Care Food Program </w:t>
      </w:r>
      <w:r w:rsidR="002E027B" w:rsidRPr="00BF7EC9">
        <w:rPr>
          <w:sz w:val="31"/>
          <w:szCs w:val="31"/>
        </w:rPr>
        <w:t>Reimbursement Rates for School Year 202</w:t>
      </w:r>
      <w:r w:rsidR="002E027B">
        <w:rPr>
          <w:sz w:val="31"/>
          <w:szCs w:val="31"/>
        </w:rPr>
        <w:t>3–</w:t>
      </w:r>
      <w:r w:rsidR="002E027B" w:rsidRPr="00BF7EC9">
        <w:rPr>
          <w:sz w:val="31"/>
          <w:szCs w:val="31"/>
        </w:rPr>
        <w:t>202</w:t>
      </w:r>
      <w:r w:rsidR="002E027B">
        <w:rPr>
          <w:sz w:val="31"/>
          <w:szCs w:val="31"/>
        </w:rPr>
        <w:t>4</w:t>
      </w:r>
    </w:p>
    <w:p w14:paraId="627DD921" w14:textId="279251B8" w:rsidR="002E027B" w:rsidRDefault="00787807" w:rsidP="002E027B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On July 7, 2023, t</w:t>
      </w:r>
      <w:r w:rsidR="002E027B" w:rsidRPr="00BF7EC9">
        <w:rPr>
          <w:color w:val="000000"/>
          <w:sz w:val="23"/>
          <w:szCs w:val="23"/>
        </w:rPr>
        <w:t xml:space="preserve">he </w:t>
      </w:r>
      <w:r w:rsidR="006434B5">
        <w:rPr>
          <w:color w:val="000000"/>
          <w:sz w:val="23"/>
          <w:szCs w:val="23"/>
        </w:rPr>
        <w:t>U.S. Department of Agriculture announced</w:t>
      </w:r>
      <w:r w:rsidR="002E027B" w:rsidRPr="00BF7EC9">
        <w:rPr>
          <w:color w:val="000000"/>
          <w:sz w:val="23"/>
          <w:szCs w:val="23"/>
        </w:rPr>
        <w:t xml:space="preserve"> the </w:t>
      </w:r>
      <w:r w:rsidR="002E027B">
        <w:rPr>
          <w:color w:val="000000"/>
          <w:sz w:val="23"/>
          <w:szCs w:val="23"/>
        </w:rPr>
        <w:t>school year 2023</w:t>
      </w:r>
      <w:r w:rsidR="005620A8">
        <w:rPr>
          <w:color w:val="000000"/>
          <w:sz w:val="23"/>
          <w:szCs w:val="23"/>
        </w:rPr>
        <w:t>–</w:t>
      </w:r>
      <w:r w:rsidR="002E027B">
        <w:rPr>
          <w:color w:val="000000"/>
          <w:sz w:val="23"/>
          <w:szCs w:val="23"/>
        </w:rPr>
        <w:t>2024</w:t>
      </w:r>
      <w:r w:rsidR="002E027B" w:rsidRPr="00BF7EC9">
        <w:rPr>
          <w:color w:val="000000"/>
          <w:sz w:val="23"/>
          <w:szCs w:val="23"/>
        </w:rPr>
        <w:t xml:space="preserve"> reimbursement rates for the National School Lunch Program (NSLP), the School Breakfast Program (SBP), </w:t>
      </w:r>
      <w:r w:rsidR="002E027B">
        <w:rPr>
          <w:color w:val="000000"/>
          <w:sz w:val="23"/>
          <w:szCs w:val="23"/>
        </w:rPr>
        <w:t xml:space="preserve">the Afterschool Snack Program (ASP), </w:t>
      </w:r>
      <w:r w:rsidR="002E027B" w:rsidRPr="00BF7EC9">
        <w:rPr>
          <w:color w:val="000000"/>
          <w:sz w:val="23"/>
          <w:szCs w:val="23"/>
        </w:rPr>
        <w:t>the Special Milk Program (SMP)</w:t>
      </w:r>
      <w:r w:rsidR="000D3280">
        <w:rPr>
          <w:color w:val="000000"/>
          <w:sz w:val="23"/>
          <w:szCs w:val="23"/>
        </w:rPr>
        <w:t>, and the At-Risk Portion of the Child and Adult Care Food Program (CACFP)</w:t>
      </w:r>
      <w:r>
        <w:rPr>
          <w:color w:val="000000"/>
          <w:sz w:val="23"/>
          <w:szCs w:val="23"/>
        </w:rPr>
        <w:t xml:space="preserve">. </w:t>
      </w:r>
      <w:r w:rsidR="002E027B" w:rsidRPr="00BF7EC9">
        <w:rPr>
          <w:color w:val="000000"/>
          <w:sz w:val="23"/>
          <w:szCs w:val="23"/>
        </w:rPr>
        <w:t xml:space="preserve">The rates are </w:t>
      </w:r>
      <w:r w:rsidR="002E027B">
        <w:rPr>
          <w:color w:val="000000"/>
          <w:sz w:val="23"/>
          <w:szCs w:val="23"/>
        </w:rPr>
        <w:t>updated</w:t>
      </w:r>
      <w:r w:rsidR="002E027B" w:rsidRPr="00BF7EC9">
        <w:rPr>
          <w:color w:val="000000"/>
          <w:sz w:val="23"/>
          <w:szCs w:val="23"/>
        </w:rPr>
        <w:t xml:space="preserve"> on an annual basis and are effective July 1, 202</w:t>
      </w:r>
      <w:r w:rsidR="002E027B">
        <w:rPr>
          <w:color w:val="000000"/>
          <w:sz w:val="23"/>
          <w:szCs w:val="23"/>
        </w:rPr>
        <w:t>3</w:t>
      </w:r>
      <w:r w:rsidR="000C39E1">
        <w:rPr>
          <w:color w:val="000000"/>
          <w:sz w:val="23"/>
          <w:szCs w:val="23"/>
        </w:rPr>
        <w:t xml:space="preserve">, through </w:t>
      </w:r>
      <w:r w:rsidR="002E027B" w:rsidRPr="00BF7EC9">
        <w:rPr>
          <w:color w:val="000000"/>
          <w:sz w:val="23"/>
          <w:szCs w:val="23"/>
        </w:rPr>
        <w:t>June 30, 202</w:t>
      </w:r>
      <w:r w:rsidR="002E027B">
        <w:rPr>
          <w:color w:val="000000"/>
          <w:sz w:val="23"/>
          <w:szCs w:val="23"/>
        </w:rPr>
        <w:t>4</w:t>
      </w:r>
      <w:r w:rsidR="002E027B" w:rsidRPr="00BF7EC9">
        <w:rPr>
          <w:color w:val="000000"/>
          <w:sz w:val="23"/>
          <w:szCs w:val="23"/>
        </w:rPr>
        <w:t>.</w:t>
      </w:r>
    </w:p>
    <w:p w14:paraId="494AF2C0" w14:textId="4E533FD0" w:rsidR="005620A8" w:rsidRPr="001A793D" w:rsidRDefault="005620A8" w:rsidP="00A530FA">
      <w:pPr>
        <w:pStyle w:val="Heading3"/>
        <w:rPr>
          <w:szCs w:val="24"/>
        </w:rPr>
      </w:pPr>
      <w:r w:rsidRPr="00A530FA">
        <w:rPr>
          <w:sz w:val="24"/>
          <w:szCs w:val="24"/>
        </w:rPr>
        <w:t>School Year 2023–2024 School Nutrition Program Reimbursement Rates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NP Reimbursement Rates effective July 1, 2022 to June 30, 2022"/>
        <w:tblDescription w:val="SNP Reimbursement Rates effective July 1, 2022, to June 30, 2022"/>
      </w:tblPr>
      <w:tblGrid>
        <w:gridCol w:w="1480"/>
        <w:gridCol w:w="2115"/>
        <w:gridCol w:w="1060"/>
        <w:gridCol w:w="1420"/>
        <w:gridCol w:w="1420"/>
      </w:tblGrid>
      <w:tr w:rsidR="00AE4F93" w:rsidRPr="00767D2C" w14:paraId="75A0351C" w14:textId="5655FBA1" w:rsidTr="00A530FA">
        <w:trPr>
          <w:trHeight w:val="315"/>
          <w:tblHeader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9DBDE2" w14:textId="77777777" w:rsidR="00AE4F93" w:rsidRPr="00D56F0C" w:rsidRDefault="00AE4F93" w:rsidP="00A530FA">
            <w:pPr>
              <w:rPr>
                <w:b/>
                <w:color w:val="000000"/>
                <w:sz w:val="23"/>
                <w:szCs w:val="23"/>
              </w:rPr>
            </w:pPr>
            <w:r w:rsidRPr="00D56F0C">
              <w:rPr>
                <w:b/>
                <w:color w:val="000000"/>
                <w:sz w:val="23"/>
                <w:szCs w:val="23"/>
              </w:rPr>
              <w:t>Meal Type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8A5720" w14:textId="77777777" w:rsidR="00AE4F93" w:rsidRPr="00D56F0C" w:rsidRDefault="00AE4F93" w:rsidP="00A530FA">
            <w:pPr>
              <w:rPr>
                <w:b/>
                <w:color w:val="000000"/>
                <w:sz w:val="23"/>
                <w:szCs w:val="23"/>
              </w:rPr>
            </w:pPr>
            <w:r w:rsidRPr="00D56F0C">
              <w:rPr>
                <w:b/>
                <w:color w:val="000000"/>
                <w:sz w:val="23"/>
                <w:szCs w:val="23"/>
              </w:rPr>
              <w:t>Category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3D402B" w14:textId="77777777" w:rsidR="00AE4F93" w:rsidRPr="00D56F0C" w:rsidRDefault="00AE4F93" w:rsidP="00A530FA">
            <w:pPr>
              <w:rPr>
                <w:b/>
                <w:color w:val="000000"/>
                <w:sz w:val="23"/>
                <w:szCs w:val="23"/>
              </w:rPr>
            </w:pPr>
            <w:r w:rsidRPr="00D56F0C">
              <w:rPr>
                <w:b/>
                <w:color w:val="000000"/>
                <w:sz w:val="23"/>
                <w:szCs w:val="23"/>
              </w:rPr>
              <w:t>Free</w:t>
            </w:r>
          </w:p>
        </w:tc>
        <w:tc>
          <w:tcPr>
            <w:tcW w:w="1420" w:type="dxa"/>
            <w:shd w:val="clear" w:color="auto" w:fill="F2F2F2" w:themeFill="background1" w:themeFillShade="F2"/>
            <w:noWrap/>
            <w:vAlign w:val="center"/>
            <w:hideMark/>
          </w:tcPr>
          <w:p w14:paraId="0BD3676C" w14:textId="77777777" w:rsidR="00AE4F93" w:rsidRPr="00D56F0C" w:rsidRDefault="00AE4F93" w:rsidP="00A530FA">
            <w:pPr>
              <w:rPr>
                <w:b/>
                <w:color w:val="000000"/>
                <w:sz w:val="23"/>
                <w:szCs w:val="23"/>
              </w:rPr>
            </w:pPr>
            <w:r w:rsidRPr="00D56F0C">
              <w:rPr>
                <w:b/>
                <w:color w:val="000000"/>
                <w:sz w:val="23"/>
                <w:szCs w:val="23"/>
              </w:rPr>
              <w:t>Reduced-Price</w:t>
            </w:r>
          </w:p>
        </w:tc>
        <w:tc>
          <w:tcPr>
            <w:tcW w:w="1420" w:type="dxa"/>
            <w:shd w:val="clear" w:color="auto" w:fill="F2F2F2" w:themeFill="background1" w:themeFillShade="F2"/>
            <w:noWrap/>
            <w:vAlign w:val="center"/>
            <w:hideMark/>
          </w:tcPr>
          <w:p w14:paraId="48335DBF" w14:textId="77777777" w:rsidR="00AE4F93" w:rsidRPr="00D56F0C" w:rsidRDefault="00AE4F93" w:rsidP="00A530FA">
            <w:pPr>
              <w:rPr>
                <w:b/>
                <w:color w:val="000000"/>
                <w:sz w:val="23"/>
                <w:szCs w:val="23"/>
              </w:rPr>
            </w:pPr>
            <w:r w:rsidRPr="00D56F0C">
              <w:rPr>
                <w:b/>
                <w:color w:val="000000"/>
                <w:sz w:val="23"/>
                <w:szCs w:val="23"/>
              </w:rPr>
              <w:t>Paid</w:t>
            </w:r>
          </w:p>
        </w:tc>
      </w:tr>
      <w:tr w:rsidR="00AE4F93" w:rsidRPr="00767D2C" w14:paraId="61DC1C3F" w14:textId="7CA38217" w:rsidTr="00A530FA">
        <w:trPr>
          <w:trHeight w:val="315"/>
        </w:trPr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27360" w14:textId="77777777" w:rsidR="00AE4F93" w:rsidRPr="00767D2C" w:rsidRDefault="00AE4F93" w:rsidP="005620A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SBP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0FBA0" w14:textId="77777777" w:rsidR="00AE4F93" w:rsidRPr="00767D2C" w:rsidRDefault="00AE4F93" w:rsidP="005620A8">
            <w:pPr>
              <w:rPr>
                <w:color w:val="000000"/>
                <w:sz w:val="23"/>
                <w:szCs w:val="23"/>
              </w:rPr>
            </w:pPr>
            <w:r w:rsidRPr="00767D2C">
              <w:rPr>
                <w:color w:val="000000"/>
                <w:sz w:val="23"/>
                <w:szCs w:val="23"/>
              </w:rPr>
              <w:t>Severe Need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B1E31E" w14:textId="4EE5DDE4" w:rsidR="00AE4F93" w:rsidRPr="00767D2C" w:rsidRDefault="00AE4F93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Pr="00767D2C">
              <w:rPr>
                <w:color w:val="000000"/>
                <w:sz w:val="23"/>
                <w:szCs w:val="23"/>
              </w:rPr>
              <w:t>2.</w:t>
            </w:r>
            <w:r>
              <w:rPr>
                <w:color w:val="000000"/>
                <w:sz w:val="23"/>
                <w:szCs w:val="23"/>
              </w:rPr>
              <w:t>73</w:t>
            </w:r>
          </w:p>
        </w:tc>
        <w:tc>
          <w:tcPr>
            <w:tcW w:w="1420" w:type="dxa"/>
            <w:noWrap/>
            <w:vAlign w:val="center"/>
            <w:hideMark/>
          </w:tcPr>
          <w:p w14:paraId="5D62E65D" w14:textId="44D23C7A" w:rsidR="00AE4F93" w:rsidRPr="00767D2C" w:rsidRDefault="00AE4F93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Pr="00767D2C">
              <w:rPr>
                <w:color w:val="000000"/>
                <w:sz w:val="23"/>
                <w:szCs w:val="23"/>
              </w:rPr>
              <w:t>2.</w:t>
            </w:r>
            <w:r>
              <w:rPr>
                <w:color w:val="000000"/>
                <w:sz w:val="23"/>
                <w:szCs w:val="23"/>
              </w:rPr>
              <w:t>43</w:t>
            </w:r>
          </w:p>
        </w:tc>
        <w:tc>
          <w:tcPr>
            <w:tcW w:w="1420" w:type="dxa"/>
            <w:noWrap/>
            <w:vAlign w:val="center"/>
            <w:hideMark/>
          </w:tcPr>
          <w:p w14:paraId="362C7047" w14:textId="330A5550" w:rsidR="00AE4F93" w:rsidRPr="00767D2C" w:rsidRDefault="00AE4F93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Pr="00767D2C">
              <w:rPr>
                <w:color w:val="000000"/>
                <w:sz w:val="23"/>
                <w:szCs w:val="23"/>
              </w:rPr>
              <w:t>0.</w:t>
            </w:r>
            <w:r>
              <w:rPr>
                <w:color w:val="000000"/>
                <w:sz w:val="23"/>
                <w:szCs w:val="23"/>
              </w:rPr>
              <w:t>38</w:t>
            </w:r>
          </w:p>
        </w:tc>
      </w:tr>
      <w:tr w:rsidR="00AE4F93" w:rsidRPr="00767D2C" w14:paraId="61C5D91A" w14:textId="703514C8" w:rsidTr="00A530FA">
        <w:trPr>
          <w:trHeight w:val="422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48F87" w14:textId="76605D7D" w:rsidR="00AE4F93" w:rsidRPr="00767D2C" w:rsidRDefault="00AE4F93" w:rsidP="005620A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SBP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3046F" w14:textId="77777777" w:rsidR="00AE4F93" w:rsidRPr="00767D2C" w:rsidRDefault="00AE4F93" w:rsidP="005620A8">
            <w:pPr>
              <w:rPr>
                <w:color w:val="000000"/>
                <w:sz w:val="23"/>
                <w:szCs w:val="23"/>
              </w:rPr>
            </w:pPr>
            <w:r w:rsidRPr="00767D2C">
              <w:rPr>
                <w:color w:val="000000"/>
                <w:sz w:val="23"/>
                <w:szCs w:val="23"/>
              </w:rPr>
              <w:t>Non-Severe Need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7A7E00B8" w14:textId="7800E540" w:rsidR="00AE4F93" w:rsidRPr="00767D2C" w:rsidRDefault="00AE4F93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Pr="00767D2C">
              <w:rPr>
                <w:color w:val="000000"/>
                <w:sz w:val="23"/>
                <w:szCs w:val="23"/>
              </w:rPr>
              <w:t>2.2</w:t>
            </w: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420" w:type="dxa"/>
            <w:noWrap/>
            <w:vAlign w:val="center"/>
            <w:hideMark/>
          </w:tcPr>
          <w:p w14:paraId="4EEE9059" w14:textId="07A4B15C" w:rsidR="00AE4F93" w:rsidRPr="00767D2C" w:rsidRDefault="00AE4F93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Pr="00767D2C">
              <w:rPr>
                <w:color w:val="000000"/>
                <w:sz w:val="23"/>
                <w:szCs w:val="23"/>
              </w:rPr>
              <w:t>1.9</w:t>
            </w: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420" w:type="dxa"/>
            <w:noWrap/>
            <w:vAlign w:val="center"/>
            <w:hideMark/>
          </w:tcPr>
          <w:p w14:paraId="312489C3" w14:textId="6CCF2D4B" w:rsidR="00AE4F93" w:rsidRPr="00767D2C" w:rsidRDefault="00AE4F93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Pr="00767D2C">
              <w:rPr>
                <w:color w:val="000000"/>
                <w:sz w:val="23"/>
                <w:szCs w:val="23"/>
              </w:rPr>
              <w:t>0.</w:t>
            </w:r>
            <w:r>
              <w:rPr>
                <w:color w:val="000000"/>
                <w:sz w:val="23"/>
                <w:szCs w:val="23"/>
              </w:rPr>
              <w:t>38</w:t>
            </w:r>
          </w:p>
        </w:tc>
      </w:tr>
      <w:tr w:rsidR="00AE4F93" w:rsidRPr="00767D2C" w14:paraId="4F587AEA" w14:textId="1018F4F3" w:rsidTr="00A530FA">
        <w:trPr>
          <w:trHeight w:val="315"/>
        </w:trPr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69D6C" w14:textId="77777777" w:rsidR="00AE4F93" w:rsidRPr="00767D2C" w:rsidRDefault="00AE4F93" w:rsidP="005620A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NSLP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2366A" w14:textId="77777777" w:rsidR="00AE4F93" w:rsidRPr="00767D2C" w:rsidRDefault="00AE4F93" w:rsidP="005620A8">
            <w:pPr>
              <w:rPr>
                <w:color w:val="000000"/>
                <w:sz w:val="23"/>
                <w:szCs w:val="23"/>
              </w:rPr>
            </w:pPr>
            <w:r w:rsidRPr="00767D2C">
              <w:rPr>
                <w:color w:val="000000"/>
                <w:sz w:val="23"/>
                <w:szCs w:val="23"/>
              </w:rPr>
              <w:t>60% or more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9E55D9" w14:textId="5C3FAB51" w:rsidR="00AE4F93" w:rsidRPr="00767D2C" w:rsidRDefault="00AE4F93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$4.27</w:t>
            </w:r>
          </w:p>
        </w:tc>
        <w:tc>
          <w:tcPr>
            <w:tcW w:w="1420" w:type="dxa"/>
            <w:noWrap/>
            <w:vAlign w:val="center"/>
            <w:hideMark/>
          </w:tcPr>
          <w:p w14:paraId="275061C4" w14:textId="07D90F09" w:rsidR="00AE4F93" w:rsidRPr="00767D2C" w:rsidRDefault="00AE4F93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Pr="00767D2C">
              <w:rPr>
                <w:color w:val="000000"/>
                <w:sz w:val="23"/>
                <w:szCs w:val="23"/>
              </w:rPr>
              <w:t>3.</w:t>
            </w:r>
            <w:r>
              <w:rPr>
                <w:color w:val="000000"/>
                <w:sz w:val="23"/>
                <w:szCs w:val="23"/>
              </w:rPr>
              <w:t>87</w:t>
            </w:r>
          </w:p>
        </w:tc>
        <w:tc>
          <w:tcPr>
            <w:tcW w:w="1420" w:type="dxa"/>
            <w:noWrap/>
            <w:vAlign w:val="center"/>
            <w:hideMark/>
          </w:tcPr>
          <w:p w14:paraId="51C36076" w14:textId="74241B99" w:rsidR="00AE4F93" w:rsidRPr="00767D2C" w:rsidRDefault="00AE4F93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Pr="00767D2C">
              <w:rPr>
                <w:color w:val="000000"/>
                <w:sz w:val="23"/>
                <w:szCs w:val="23"/>
              </w:rPr>
              <w:t>0.</w:t>
            </w:r>
            <w:r>
              <w:rPr>
                <w:color w:val="000000"/>
                <w:sz w:val="23"/>
                <w:szCs w:val="23"/>
              </w:rPr>
              <w:t>42</w:t>
            </w:r>
          </w:p>
        </w:tc>
      </w:tr>
      <w:tr w:rsidR="00AE4F93" w:rsidRPr="00767D2C" w14:paraId="3743B775" w14:textId="64A2DCE9" w:rsidTr="00A530FA">
        <w:trPr>
          <w:trHeight w:val="467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03A01" w14:textId="69EF6D15" w:rsidR="00AE4F93" w:rsidRPr="00767D2C" w:rsidRDefault="00AE4F93" w:rsidP="005620A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NSLP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DE76B" w14:textId="77777777" w:rsidR="00AE4F93" w:rsidRPr="00767D2C" w:rsidRDefault="00AE4F93" w:rsidP="005620A8">
            <w:pPr>
              <w:rPr>
                <w:color w:val="000000"/>
                <w:sz w:val="23"/>
                <w:szCs w:val="23"/>
              </w:rPr>
            </w:pPr>
            <w:r w:rsidRPr="00767D2C">
              <w:rPr>
                <w:color w:val="000000"/>
                <w:sz w:val="23"/>
                <w:szCs w:val="23"/>
              </w:rPr>
              <w:t>Less than 60%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5F53D068" w14:textId="0F240AFC" w:rsidR="00AE4F93" w:rsidRPr="00767D2C" w:rsidRDefault="00AE4F93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Pr="00767D2C">
              <w:rPr>
                <w:color w:val="000000"/>
                <w:sz w:val="23"/>
                <w:szCs w:val="23"/>
              </w:rPr>
              <w:t>4.</w:t>
            </w: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420" w:type="dxa"/>
            <w:noWrap/>
            <w:vAlign w:val="center"/>
            <w:hideMark/>
          </w:tcPr>
          <w:p w14:paraId="2D6F0C22" w14:textId="7FC0D441" w:rsidR="00AE4F93" w:rsidRPr="00767D2C" w:rsidRDefault="00AE4F93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Pr="00767D2C">
              <w:rPr>
                <w:color w:val="000000"/>
                <w:sz w:val="23"/>
                <w:szCs w:val="23"/>
              </w:rPr>
              <w:t>3.</w:t>
            </w:r>
            <w:r>
              <w:rPr>
                <w:color w:val="000000"/>
                <w:sz w:val="23"/>
                <w:szCs w:val="23"/>
              </w:rPr>
              <w:t>85</w:t>
            </w:r>
          </w:p>
        </w:tc>
        <w:tc>
          <w:tcPr>
            <w:tcW w:w="1420" w:type="dxa"/>
            <w:noWrap/>
            <w:vAlign w:val="center"/>
            <w:hideMark/>
          </w:tcPr>
          <w:p w14:paraId="183152D7" w14:textId="3FC99FDD" w:rsidR="00AE4F93" w:rsidRPr="00767D2C" w:rsidRDefault="00AE4F93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Pr="00767D2C">
              <w:rPr>
                <w:color w:val="000000"/>
                <w:sz w:val="23"/>
                <w:szCs w:val="23"/>
              </w:rPr>
              <w:t>0.</w:t>
            </w:r>
            <w:r>
              <w:rPr>
                <w:color w:val="000000"/>
                <w:sz w:val="23"/>
                <w:szCs w:val="23"/>
              </w:rPr>
              <w:t>40</w:t>
            </w:r>
          </w:p>
        </w:tc>
      </w:tr>
      <w:tr w:rsidR="00AE4F93" w:rsidRPr="00767D2C" w14:paraId="5B061197" w14:textId="77777777" w:rsidTr="00A530FA">
        <w:trPr>
          <w:trHeight w:val="467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9E821" w14:textId="77777777" w:rsidR="00AE4F93" w:rsidRDefault="00AE4F93" w:rsidP="005620A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AE751" w14:textId="64FF1D64" w:rsidR="00AE4F93" w:rsidRPr="00767D2C" w:rsidRDefault="00AE4F93" w:rsidP="005620A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Federal Performance Based Reimbursement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4F390A82" w14:textId="7755CBEE" w:rsidR="00AE4F93" w:rsidRDefault="00AE4F93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$0.08</w:t>
            </w:r>
          </w:p>
        </w:tc>
        <w:tc>
          <w:tcPr>
            <w:tcW w:w="1420" w:type="dxa"/>
            <w:noWrap/>
            <w:vAlign w:val="center"/>
          </w:tcPr>
          <w:p w14:paraId="5A54EF46" w14:textId="311809DB" w:rsidR="00AE4F93" w:rsidRDefault="00AE4F93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$0.08</w:t>
            </w:r>
          </w:p>
        </w:tc>
        <w:tc>
          <w:tcPr>
            <w:tcW w:w="1420" w:type="dxa"/>
            <w:noWrap/>
            <w:vAlign w:val="center"/>
          </w:tcPr>
          <w:p w14:paraId="076C264D" w14:textId="023ED2A8" w:rsidR="00AE4F93" w:rsidRDefault="00AE4F93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$0.08</w:t>
            </w:r>
          </w:p>
        </w:tc>
      </w:tr>
      <w:tr w:rsidR="00AE4F93" w:rsidRPr="00767D2C" w14:paraId="2C6897A9" w14:textId="77DC2B35" w:rsidTr="00A530FA">
        <w:trPr>
          <w:trHeight w:val="315"/>
        </w:trPr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1C391" w14:textId="77777777" w:rsidR="00AE4F93" w:rsidRPr="00767D2C" w:rsidRDefault="00AE4F93" w:rsidP="005620A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ASP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87721" w14:textId="77777777" w:rsidR="00AE4F93" w:rsidRPr="00767D2C" w:rsidRDefault="00AE4F93" w:rsidP="005620A8">
            <w:pPr>
              <w:rPr>
                <w:color w:val="000000"/>
                <w:sz w:val="23"/>
                <w:szCs w:val="23"/>
              </w:rPr>
            </w:pPr>
            <w:r w:rsidRPr="00767D2C">
              <w:rPr>
                <w:color w:val="000000"/>
                <w:sz w:val="23"/>
                <w:szCs w:val="23"/>
              </w:rPr>
              <w:t xml:space="preserve">Area Eligible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9F0494" w14:textId="4D0FCB79" w:rsidR="00AE4F93" w:rsidRPr="00767D2C" w:rsidRDefault="00AE4F93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Pr="00767D2C">
              <w:rPr>
                <w:color w:val="000000"/>
                <w:sz w:val="23"/>
                <w:szCs w:val="23"/>
              </w:rPr>
              <w:t>1.</w:t>
            </w:r>
            <w:r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1420" w:type="dxa"/>
            <w:noWrap/>
            <w:vAlign w:val="center"/>
            <w:hideMark/>
          </w:tcPr>
          <w:p w14:paraId="177F8892" w14:textId="77777777" w:rsidR="00AE4F93" w:rsidRPr="00767D2C" w:rsidRDefault="00AE4F93" w:rsidP="00A530FA">
            <w:pPr>
              <w:rPr>
                <w:color w:val="000000"/>
                <w:sz w:val="23"/>
                <w:szCs w:val="23"/>
              </w:rPr>
            </w:pPr>
            <w:r w:rsidRPr="00767D2C">
              <w:rPr>
                <w:color w:val="000000"/>
                <w:sz w:val="23"/>
                <w:szCs w:val="23"/>
              </w:rPr>
              <w:t>N/A</w:t>
            </w:r>
          </w:p>
        </w:tc>
        <w:tc>
          <w:tcPr>
            <w:tcW w:w="1420" w:type="dxa"/>
            <w:noWrap/>
            <w:vAlign w:val="center"/>
            <w:hideMark/>
          </w:tcPr>
          <w:p w14:paraId="12A7049C" w14:textId="77777777" w:rsidR="00AE4F93" w:rsidRPr="00767D2C" w:rsidRDefault="00AE4F93" w:rsidP="00A530FA">
            <w:pPr>
              <w:rPr>
                <w:color w:val="000000"/>
                <w:sz w:val="23"/>
                <w:szCs w:val="23"/>
              </w:rPr>
            </w:pPr>
            <w:r w:rsidRPr="00767D2C">
              <w:rPr>
                <w:color w:val="000000"/>
                <w:sz w:val="23"/>
                <w:szCs w:val="23"/>
              </w:rPr>
              <w:t>N/A</w:t>
            </w:r>
          </w:p>
        </w:tc>
      </w:tr>
      <w:tr w:rsidR="00AE4F93" w:rsidRPr="00767D2C" w14:paraId="7A2C9400" w14:textId="46D27038" w:rsidTr="00A530FA">
        <w:trPr>
          <w:trHeight w:val="395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EF0B5" w14:textId="2138B564" w:rsidR="00AE4F93" w:rsidRPr="00767D2C" w:rsidRDefault="00AE4F93" w:rsidP="005620A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ASP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52013" w14:textId="77777777" w:rsidR="00AE4F93" w:rsidRPr="00767D2C" w:rsidRDefault="00AE4F93" w:rsidP="005620A8">
            <w:pPr>
              <w:rPr>
                <w:color w:val="000000"/>
                <w:sz w:val="23"/>
                <w:szCs w:val="23"/>
              </w:rPr>
            </w:pPr>
            <w:r w:rsidRPr="00767D2C">
              <w:rPr>
                <w:color w:val="000000"/>
                <w:sz w:val="23"/>
                <w:szCs w:val="23"/>
              </w:rPr>
              <w:t>Regular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089C6E52" w14:textId="50D8595D" w:rsidR="00AE4F93" w:rsidRPr="00767D2C" w:rsidRDefault="00AE4F93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Pr="00767D2C">
              <w:rPr>
                <w:color w:val="000000"/>
                <w:sz w:val="23"/>
                <w:szCs w:val="23"/>
              </w:rPr>
              <w:t>1.</w:t>
            </w:r>
            <w:r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1420" w:type="dxa"/>
            <w:noWrap/>
            <w:vAlign w:val="center"/>
            <w:hideMark/>
          </w:tcPr>
          <w:p w14:paraId="7440E51A" w14:textId="4A2F0F0C" w:rsidR="00AE4F93" w:rsidRPr="00767D2C" w:rsidRDefault="00AE4F93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Pr="00767D2C">
              <w:rPr>
                <w:color w:val="000000"/>
                <w:sz w:val="23"/>
                <w:szCs w:val="23"/>
              </w:rPr>
              <w:t>0.5</w:t>
            </w: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420" w:type="dxa"/>
            <w:noWrap/>
            <w:vAlign w:val="center"/>
            <w:hideMark/>
          </w:tcPr>
          <w:p w14:paraId="78A201D0" w14:textId="65CC26AF" w:rsidR="00AE4F93" w:rsidRPr="00767D2C" w:rsidRDefault="00AE4F93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Pr="00767D2C">
              <w:rPr>
                <w:color w:val="000000"/>
                <w:sz w:val="23"/>
                <w:szCs w:val="23"/>
              </w:rPr>
              <w:t>0.</w:t>
            </w:r>
            <w:r>
              <w:rPr>
                <w:color w:val="000000"/>
                <w:sz w:val="23"/>
                <w:szCs w:val="23"/>
              </w:rPr>
              <w:t>10</w:t>
            </w:r>
          </w:p>
        </w:tc>
      </w:tr>
    </w:tbl>
    <w:p w14:paraId="108558E8" w14:textId="77777777" w:rsidR="00340E2E" w:rsidRDefault="00340E2E" w:rsidP="00340E2E">
      <w:pPr>
        <w:pStyle w:val="Heading3"/>
        <w:spacing w:before="240" w:after="240"/>
        <w:rPr>
          <w:sz w:val="24"/>
          <w:szCs w:val="24"/>
        </w:rPr>
      </w:pPr>
    </w:p>
    <w:p w14:paraId="19493C53" w14:textId="77777777" w:rsidR="00340E2E" w:rsidRDefault="00340E2E">
      <w:pPr>
        <w:rPr>
          <w:b/>
          <w:szCs w:val="24"/>
        </w:rPr>
      </w:pPr>
      <w:r>
        <w:rPr>
          <w:szCs w:val="24"/>
        </w:rPr>
        <w:br w:type="page"/>
      </w:r>
    </w:p>
    <w:p w14:paraId="3F9BA828" w14:textId="66B06CC2" w:rsidR="00340E2E" w:rsidRDefault="00340E2E" w:rsidP="00340E2E">
      <w:pPr>
        <w:pStyle w:val="Heading3"/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School Year 2023–2024 Special Milk Program Reimbursement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438"/>
        <w:gridCol w:w="2250"/>
        <w:gridCol w:w="1530"/>
      </w:tblGrid>
      <w:tr w:rsidR="00340E2E" w14:paraId="72CE15E2" w14:textId="77777777" w:rsidTr="00A530FA">
        <w:trPr>
          <w:tblHeader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732EF082" w14:textId="68FFC039" w:rsidR="00340E2E" w:rsidRPr="00A530FA" w:rsidRDefault="00340E2E" w:rsidP="00340E2E">
            <w:pPr>
              <w:rPr>
                <w:b/>
                <w:bCs/>
              </w:rPr>
            </w:pPr>
            <w:r w:rsidRPr="00A530FA">
              <w:rPr>
                <w:b/>
                <w:bCs/>
              </w:rPr>
              <w:t>Category</w:t>
            </w:r>
          </w:p>
        </w:tc>
        <w:tc>
          <w:tcPr>
            <w:tcW w:w="1438" w:type="dxa"/>
            <w:shd w:val="clear" w:color="auto" w:fill="F2F2F2" w:themeFill="background1" w:themeFillShade="F2"/>
            <w:vAlign w:val="center"/>
          </w:tcPr>
          <w:p w14:paraId="6ACDAE20" w14:textId="455CEE83" w:rsidR="00340E2E" w:rsidRPr="00A530FA" w:rsidRDefault="00340E2E" w:rsidP="00340E2E">
            <w:pPr>
              <w:rPr>
                <w:b/>
                <w:bCs/>
              </w:rPr>
            </w:pPr>
            <w:r w:rsidRPr="00A530FA">
              <w:rPr>
                <w:b/>
                <w:bCs/>
              </w:rPr>
              <w:t>All Milk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6F9DE80D" w14:textId="4F92BD40" w:rsidR="00340E2E" w:rsidRPr="00A530FA" w:rsidRDefault="00340E2E" w:rsidP="00340E2E">
            <w:pPr>
              <w:rPr>
                <w:b/>
                <w:bCs/>
              </w:rPr>
            </w:pPr>
            <w:r w:rsidRPr="00A530FA">
              <w:rPr>
                <w:b/>
                <w:bCs/>
              </w:rPr>
              <w:t>Free Milk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7DC2041" w14:textId="4D2D8EA6" w:rsidR="00340E2E" w:rsidRPr="00A530FA" w:rsidRDefault="00340E2E" w:rsidP="00340E2E">
            <w:pPr>
              <w:rPr>
                <w:b/>
                <w:bCs/>
              </w:rPr>
            </w:pPr>
            <w:r w:rsidRPr="00A530FA">
              <w:rPr>
                <w:b/>
                <w:bCs/>
              </w:rPr>
              <w:t>Paid Milk</w:t>
            </w:r>
          </w:p>
        </w:tc>
      </w:tr>
      <w:tr w:rsidR="00340E2E" w14:paraId="0F7A05B8" w14:textId="77777777" w:rsidTr="00A530FA">
        <w:tc>
          <w:tcPr>
            <w:tcW w:w="2337" w:type="dxa"/>
            <w:vAlign w:val="center"/>
          </w:tcPr>
          <w:p w14:paraId="672A68C0" w14:textId="7F176105" w:rsidR="00340E2E" w:rsidRDefault="00340E2E" w:rsidP="00340E2E">
            <w:r>
              <w:rPr>
                <w:color w:val="000000"/>
                <w:sz w:val="23"/>
                <w:szCs w:val="23"/>
              </w:rPr>
              <w:t>Pricing Program without Free Option</w:t>
            </w:r>
          </w:p>
        </w:tc>
        <w:tc>
          <w:tcPr>
            <w:tcW w:w="1438" w:type="dxa"/>
            <w:vAlign w:val="center"/>
          </w:tcPr>
          <w:p w14:paraId="61016C15" w14:textId="3EF20A82" w:rsidR="00340E2E" w:rsidRDefault="00340E2E" w:rsidP="00340E2E">
            <w:r>
              <w:rPr>
                <w:color w:val="000000"/>
                <w:sz w:val="23"/>
                <w:szCs w:val="23"/>
              </w:rPr>
              <w:t>$</w:t>
            </w:r>
            <w:r w:rsidRPr="00767D2C">
              <w:rPr>
                <w:color w:val="000000"/>
                <w:sz w:val="23"/>
                <w:szCs w:val="23"/>
              </w:rPr>
              <w:t>0.</w:t>
            </w:r>
            <w:r>
              <w:rPr>
                <w:color w:val="000000"/>
                <w:sz w:val="23"/>
                <w:szCs w:val="23"/>
              </w:rPr>
              <w:t>2625</w:t>
            </w:r>
          </w:p>
        </w:tc>
        <w:tc>
          <w:tcPr>
            <w:tcW w:w="2250" w:type="dxa"/>
            <w:vAlign w:val="center"/>
          </w:tcPr>
          <w:p w14:paraId="0E9C55C5" w14:textId="6689E348" w:rsidR="00340E2E" w:rsidRDefault="00340E2E" w:rsidP="00340E2E">
            <w:r>
              <w:rPr>
                <w:color w:val="000000"/>
                <w:sz w:val="23"/>
                <w:szCs w:val="23"/>
              </w:rPr>
              <w:t>N/A</w:t>
            </w:r>
          </w:p>
        </w:tc>
        <w:tc>
          <w:tcPr>
            <w:tcW w:w="1530" w:type="dxa"/>
            <w:vAlign w:val="center"/>
          </w:tcPr>
          <w:p w14:paraId="1E932EE0" w14:textId="52E13AFD" w:rsidR="00340E2E" w:rsidRDefault="00340E2E" w:rsidP="00340E2E">
            <w:r>
              <w:rPr>
                <w:color w:val="000000"/>
                <w:sz w:val="23"/>
                <w:szCs w:val="23"/>
              </w:rPr>
              <w:t>N/A</w:t>
            </w:r>
          </w:p>
        </w:tc>
      </w:tr>
      <w:tr w:rsidR="00340E2E" w14:paraId="219C0E22" w14:textId="77777777" w:rsidTr="00A530FA">
        <w:tc>
          <w:tcPr>
            <w:tcW w:w="2337" w:type="dxa"/>
            <w:vAlign w:val="center"/>
          </w:tcPr>
          <w:p w14:paraId="573A1C1D" w14:textId="25A0E317" w:rsidR="00340E2E" w:rsidRDefault="00340E2E" w:rsidP="00340E2E">
            <w:r>
              <w:rPr>
                <w:color w:val="000000"/>
                <w:sz w:val="23"/>
                <w:szCs w:val="23"/>
              </w:rPr>
              <w:t>Pricing Program with Free Option</w:t>
            </w:r>
          </w:p>
        </w:tc>
        <w:tc>
          <w:tcPr>
            <w:tcW w:w="1438" w:type="dxa"/>
            <w:vAlign w:val="center"/>
          </w:tcPr>
          <w:p w14:paraId="6B556E2F" w14:textId="2834A167" w:rsidR="00340E2E" w:rsidRDefault="00340E2E" w:rsidP="00340E2E">
            <w:r>
              <w:rPr>
                <w:color w:val="000000"/>
                <w:sz w:val="23"/>
                <w:szCs w:val="23"/>
              </w:rPr>
              <w:t>N/A</w:t>
            </w:r>
          </w:p>
        </w:tc>
        <w:tc>
          <w:tcPr>
            <w:tcW w:w="2250" w:type="dxa"/>
            <w:vAlign w:val="center"/>
          </w:tcPr>
          <w:p w14:paraId="4770DF42" w14:textId="0620C12A" w:rsidR="00340E2E" w:rsidRDefault="00340E2E" w:rsidP="00340E2E">
            <w:r>
              <w:rPr>
                <w:color w:val="000000"/>
                <w:sz w:val="23"/>
                <w:szCs w:val="23"/>
              </w:rPr>
              <w:t>Average Cost of ½ Pint of Milk</w:t>
            </w:r>
          </w:p>
        </w:tc>
        <w:tc>
          <w:tcPr>
            <w:tcW w:w="1530" w:type="dxa"/>
            <w:vAlign w:val="center"/>
          </w:tcPr>
          <w:p w14:paraId="5031CD41" w14:textId="319F2C72" w:rsidR="00340E2E" w:rsidRDefault="00340E2E" w:rsidP="00340E2E">
            <w:r>
              <w:rPr>
                <w:color w:val="000000"/>
                <w:sz w:val="23"/>
                <w:szCs w:val="23"/>
              </w:rPr>
              <w:t>$0.2625</w:t>
            </w:r>
          </w:p>
        </w:tc>
      </w:tr>
      <w:tr w:rsidR="00340E2E" w14:paraId="51EF1A13" w14:textId="77777777" w:rsidTr="00A530FA">
        <w:tc>
          <w:tcPr>
            <w:tcW w:w="2337" w:type="dxa"/>
            <w:vAlign w:val="center"/>
          </w:tcPr>
          <w:p w14:paraId="7AD6E7D1" w14:textId="4278D021" w:rsidR="00340E2E" w:rsidRDefault="00340E2E" w:rsidP="00340E2E">
            <w:r>
              <w:rPr>
                <w:color w:val="000000"/>
                <w:sz w:val="23"/>
                <w:szCs w:val="23"/>
              </w:rPr>
              <w:t>Non-pricing Program</w:t>
            </w:r>
          </w:p>
        </w:tc>
        <w:tc>
          <w:tcPr>
            <w:tcW w:w="1438" w:type="dxa"/>
            <w:vAlign w:val="center"/>
          </w:tcPr>
          <w:p w14:paraId="21884958" w14:textId="2FD55D1A" w:rsidR="00340E2E" w:rsidRDefault="00340E2E" w:rsidP="00340E2E">
            <w:r>
              <w:rPr>
                <w:color w:val="000000"/>
                <w:sz w:val="23"/>
                <w:szCs w:val="23"/>
              </w:rPr>
              <w:t>$0.2625</w:t>
            </w:r>
          </w:p>
        </w:tc>
        <w:tc>
          <w:tcPr>
            <w:tcW w:w="2250" w:type="dxa"/>
            <w:vAlign w:val="center"/>
          </w:tcPr>
          <w:p w14:paraId="047277BC" w14:textId="2761837E" w:rsidR="00340E2E" w:rsidRDefault="00340E2E" w:rsidP="00340E2E">
            <w:r>
              <w:rPr>
                <w:color w:val="000000"/>
                <w:sz w:val="23"/>
                <w:szCs w:val="23"/>
              </w:rPr>
              <w:t>N/A</w:t>
            </w:r>
          </w:p>
        </w:tc>
        <w:tc>
          <w:tcPr>
            <w:tcW w:w="1530" w:type="dxa"/>
            <w:vAlign w:val="center"/>
          </w:tcPr>
          <w:p w14:paraId="366814B4" w14:textId="62FE3277" w:rsidR="00340E2E" w:rsidRDefault="00340E2E" w:rsidP="00340E2E">
            <w:r>
              <w:rPr>
                <w:color w:val="000000"/>
                <w:sz w:val="23"/>
                <w:szCs w:val="23"/>
              </w:rPr>
              <w:t>N/A</w:t>
            </w:r>
          </w:p>
        </w:tc>
      </w:tr>
    </w:tbl>
    <w:p w14:paraId="1D2F0522" w14:textId="1AB57D7B" w:rsidR="000D3280" w:rsidRPr="001A793D" w:rsidRDefault="005620A8" w:rsidP="00A530FA">
      <w:pPr>
        <w:pStyle w:val="Heading3"/>
        <w:spacing w:before="240" w:after="240"/>
        <w:rPr>
          <w:szCs w:val="24"/>
        </w:rPr>
      </w:pPr>
      <w:r w:rsidRPr="00A530FA">
        <w:rPr>
          <w:sz w:val="24"/>
          <w:szCs w:val="24"/>
        </w:rPr>
        <w:t>School Year 2023–2024 CACFP At-Risk Reimbursement Rates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ACFP Meal Reimbursement Rates "/>
        <w:tblDescription w:val="CACFP Meal Reimbursement Rates effective July 1, 2022, to June 30, 2023. "/>
      </w:tblPr>
      <w:tblGrid>
        <w:gridCol w:w="2337"/>
        <w:gridCol w:w="5218"/>
      </w:tblGrid>
      <w:tr w:rsidR="000D3280" w14:paraId="7E22B18B" w14:textId="77777777" w:rsidTr="00A530FA">
        <w:trPr>
          <w:tblHeader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065FC063" w14:textId="77777777" w:rsidR="000D3280" w:rsidRPr="000021CD" w:rsidRDefault="000D3280" w:rsidP="00A530FA">
            <w:pPr>
              <w:rPr>
                <w:b/>
                <w:color w:val="000000"/>
                <w:szCs w:val="24"/>
              </w:rPr>
            </w:pPr>
            <w:r w:rsidRPr="000021CD">
              <w:rPr>
                <w:b/>
                <w:color w:val="000000"/>
                <w:szCs w:val="24"/>
              </w:rPr>
              <w:t>Meal Type</w:t>
            </w:r>
          </w:p>
        </w:tc>
        <w:tc>
          <w:tcPr>
            <w:tcW w:w="5218" w:type="dxa"/>
            <w:shd w:val="clear" w:color="auto" w:fill="F2F2F2" w:themeFill="background1" w:themeFillShade="F2"/>
            <w:vAlign w:val="center"/>
          </w:tcPr>
          <w:p w14:paraId="22645522" w14:textId="77777777" w:rsidR="000D3280" w:rsidRPr="000021CD" w:rsidRDefault="000D3280" w:rsidP="00A530FA">
            <w:pPr>
              <w:rPr>
                <w:b/>
                <w:color w:val="000000"/>
                <w:szCs w:val="24"/>
              </w:rPr>
            </w:pPr>
            <w:r w:rsidRPr="000021CD">
              <w:rPr>
                <w:b/>
                <w:color w:val="000000"/>
                <w:szCs w:val="24"/>
              </w:rPr>
              <w:t>Reimbursement Rate</w:t>
            </w:r>
          </w:p>
        </w:tc>
      </w:tr>
      <w:tr w:rsidR="000D3280" w14:paraId="1666D863" w14:textId="77777777" w:rsidTr="00A530FA">
        <w:tc>
          <w:tcPr>
            <w:tcW w:w="2337" w:type="dxa"/>
            <w:vAlign w:val="center"/>
          </w:tcPr>
          <w:p w14:paraId="14022A8B" w14:textId="77777777" w:rsidR="000D3280" w:rsidRPr="000021CD" w:rsidRDefault="000D3280" w:rsidP="005620A8">
            <w:pPr>
              <w:rPr>
                <w:color w:val="000000"/>
                <w:szCs w:val="24"/>
              </w:rPr>
            </w:pPr>
            <w:r w:rsidRPr="000021CD">
              <w:rPr>
                <w:color w:val="000000"/>
                <w:szCs w:val="24"/>
              </w:rPr>
              <w:t>Breakfast</w:t>
            </w:r>
          </w:p>
        </w:tc>
        <w:tc>
          <w:tcPr>
            <w:tcW w:w="5218" w:type="dxa"/>
            <w:vAlign w:val="center"/>
          </w:tcPr>
          <w:p w14:paraId="3226D284" w14:textId="77777777" w:rsidR="000D3280" w:rsidRPr="000021CD" w:rsidRDefault="000D3280" w:rsidP="00A530FA">
            <w:pPr>
              <w:rPr>
                <w:color w:val="000000"/>
                <w:szCs w:val="24"/>
              </w:rPr>
            </w:pPr>
            <w:r w:rsidRPr="000021CD">
              <w:rPr>
                <w:color w:val="000000"/>
                <w:szCs w:val="24"/>
              </w:rPr>
              <w:t>$2.2</w:t>
            </w:r>
            <w:r>
              <w:rPr>
                <w:color w:val="000000"/>
                <w:szCs w:val="24"/>
              </w:rPr>
              <w:t>8</w:t>
            </w:r>
          </w:p>
        </w:tc>
      </w:tr>
      <w:tr w:rsidR="000D3280" w14:paraId="34824A0D" w14:textId="77777777" w:rsidTr="00A530FA">
        <w:tc>
          <w:tcPr>
            <w:tcW w:w="2337" w:type="dxa"/>
            <w:vAlign w:val="center"/>
          </w:tcPr>
          <w:p w14:paraId="02881DEB" w14:textId="77777777" w:rsidR="000D3280" w:rsidRPr="000021CD" w:rsidRDefault="000D3280" w:rsidP="005620A8">
            <w:pPr>
              <w:rPr>
                <w:color w:val="000000"/>
                <w:szCs w:val="24"/>
              </w:rPr>
            </w:pPr>
            <w:r w:rsidRPr="000021CD">
              <w:rPr>
                <w:color w:val="000000"/>
                <w:szCs w:val="24"/>
              </w:rPr>
              <w:t>Lunch/Supper</w:t>
            </w:r>
          </w:p>
        </w:tc>
        <w:tc>
          <w:tcPr>
            <w:tcW w:w="5218" w:type="dxa"/>
            <w:vAlign w:val="center"/>
          </w:tcPr>
          <w:p w14:paraId="3AF06C94" w14:textId="77777777" w:rsidR="000D3280" w:rsidRPr="000021CD" w:rsidRDefault="000D3280" w:rsidP="00A530FA">
            <w:pPr>
              <w:rPr>
                <w:color w:val="000000"/>
                <w:szCs w:val="24"/>
              </w:rPr>
            </w:pPr>
            <w:r w:rsidRPr="000021CD">
              <w:rPr>
                <w:color w:val="000000"/>
                <w:szCs w:val="24"/>
              </w:rPr>
              <w:t>$4.</w:t>
            </w:r>
            <w:r>
              <w:rPr>
                <w:color w:val="000000"/>
                <w:szCs w:val="24"/>
              </w:rPr>
              <w:t>25</w:t>
            </w:r>
          </w:p>
        </w:tc>
      </w:tr>
      <w:tr w:rsidR="000D3280" w14:paraId="785E937F" w14:textId="77777777" w:rsidTr="00A530FA">
        <w:tc>
          <w:tcPr>
            <w:tcW w:w="2337" w:type="dxa"/>
            <w:vAlign w:val="center"/>
          </w:tcPr>
          <w:p w14:paraId="055FAEDE" w14:textId="77777777" w:rsidR="000D3280" w:rsidRPr="000021CD" w:rsidRDefault="000D3280" w:rsidP="005620A8">
            <w:pPr>
              <w:rPr>
                <w:color w:val="000000"/>
                <w:szCs w:val="24"/>
              </w:rPr>
            </w:pPr>
            <w:r w:rsidRPr="000021CD">
              <w:rPr>
                <w:color w:val="000000"/>
                <w:szCs w:val="24"/>
              </w:rPr>
              <w:t>Supplement</w:t>
            </w:r>
          </w:p>
        </w:tc>
        <w:tc>
          <w:tcPr>
            <w:tcW w:w="5218" w:type="dxa"/>
            <w:vAlign w:val="center"/>
          </w:tcPr>
          <w:p w14:paraId="42C41B78" w14:textId="77777777" w:rsidR="000D3280" w:rsidRPr="000021CD" w:rsidRDefault="000D3280" w:rsidP="00A530FA">
            <w:pPr>
              <w:rPr>
                <w:color w:val="000000"/>
                <w:szCs w:val="24"/>
              </w:rPr>
            </w:pPr>
            <w:r w:rsidRPr="000021CD">
              <w:rPr>
                <w:color w:val="000000"/>
                <w:szCs w:val="24"/>
              </w:rPr>
              <w:t>$1.1</w:t>
            </w:r>
            <w:r>
              <w:rPr>
                <w:color w:val="000000"/>
                <w:szCs w:val="24"/>
              </w:rPr>
              <w:t>7</w:t>
            </w:r>
          </w:p>
        </w:tc>
      </w:tr>
    </w:tbl>
    <w:p w14:paraId="11F757D4" w14:textId="2A1281F8" w:rsidR="000D3280" w:rsidRDefault="000D3280" w:rsidP="00A530FA">
      <w:pPr>
        <w:spacing w:before="240" w:after="240"/>
      </w:pPr>
      <w:r>
        <w:t xml:space="preserve">Please note that the Cash in Lieu </w:t>
      </w:r>
      <w:r w:rsidR="006246F7">
        <w:t xml:space="preserve">portion </w:t>
      </w:r>
      <w:r>
        <w:t xml:space="preserve">of </w:t>
      </w:r>
      <w:r w:rsidR="006246F7">
        <w:t xml:space="preserve">the </w:t>
      </w:r>
      <w:r>
        <w:t>USDA Foods reimbursement rate has not</w:t>
      </w:r>
      <w:r w:rsidR="006246F7">
        <w:t xml:space="preserve"> yet</w:t>
      </w:r>
      <w:r>
        <w:t xml:space="preserve"> been publishe</w:t>
      </w:r>
      <w:r w:rsidR="00D25F61">
        <w:t>d</w:t>
      </w:r>
      <w:r w:rsidR="001C582F">
        <w:t xml:space="preserve">. </w:t>
      </w:r>
      <w:r>
        <w:t>T</w:t>
      </w:r>
      <w:r w:rsidR="00082849">
        <w:t>his information will be provided when it is</w:t>
      </w:r>
      <w:r>
        <w:t xml:space="preserve"> </w:t>
      </w:r>
      <w:r w:rsidR="00082849">
        <w:t>made available</w:t>
      </w:r>
      <w:r w:rsidR="00D25F61">
        <w:t xml:space="preserve"> from </w:t>
      </w:r>
      <w:r>
        <w:t xml:space="preserve"> </w:t>
      </w:r>
      <w:r w:rsidR="00D25F61">
        <w:t>the Federal Register.</w:t>
      </w:r>
    </w:p>
    <w:p w14:paraId="4018FCE2" w14:textId="7D03B302" w:rsidR="00314F1F" w:rsidRDefault="00314F1F" w:rsidP="00314F1F">
      <w:r>
        <w:t xml:space="preserve">For more information, please </w:t>
      </w:r>
      <w:r>
        <w:rPr>
          <w:color w:val="222222"/>
          <w:highlight w:val="white"/>
        </w:rPr>
        <w:t xml:space="preserve">contact your assigned </w:t>
      </w:r>
      <w:r w:rsidR="008D4AC8">
        <w:rPr>
          <w:color w:val="222222"/>
          <w:highlight w:val="white"/>
        </w:rPr>
        <w:t>School N</w:t>
      </w:r>
      <w:r>
        <w:rPr>
          <w:color w:val="222222"/>
          <w:highlight w:val="white"/>
        </w:rPr>
        <w:t xml:space="preserve">utrition </w:t>
      </w:r>
      <w:r w:rsidR="008D4AC8">
        <w:rPr>
          <w:color w:val="222222"/>
          <w:highlight w:val="white"/>
        </w:rPr>
        <w:t>P</w:t>
      </w:r>
      <w:r>
        <w:rPr>
          <w:color w:val="222222"/>
          <w:highlight w:val="white"/>
        </w:rPr>
        <w:t xml:space="preserve">rograms regional specialist or the SNP policy mailbox via email at </w:t>
      </w:r>
      <w:hyperlink r:id="rId10">
        <w:r>
          <w:rPr>
            <w:color w:val="0000FF"/>
            <w:highlight w:val="white"/>
            <w:u w:val="single"/>
          </w:rPr>
          <w:t>SNPpolicy@doe.virginia.gov</w:t>
        </w:r>
      </w:hyperlink>
      <w:r>
        <w:rPr>
          <w:color w:val="222222"/>
          <w:highlight w:val="white"/>
        </w:rPr>
        <w:t xml:space="preserve">. </w:t>
      </w:r>
    </w:p>
    <w:p w14:paraId="34D7BC65" w14:textId="2D19EE44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6434B5">
        <w:rPr>
          <w:color w:val="000000"/>
          <w:sz w:val="23"/>
          <w:szCs w:val="23"/>
        </w:rPr>
        <w:t>CEJ/cc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9062" w14:textId="77777777" w:rsidR="004F340D" w:rsidRDefault="004F340D" w:rsidP="00B25322">
      <w:pPr>
        <w:spacing w:after="0" w:line="240" w:lineRule="auto"/>
      </w:pPr>
      <w:r>
        <w:separator/>
      </w:r>
    </w:p>
  </w:endnote>
  <w:endnote w:type="continuationSeparator" w:id="0">
    <w:p w14:paraId="1D585B9E" w14:textId="77777777" w:rsidR="004F340D" w:rsidRDefault="004F340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1D7D" w14:textId="77777777" w:rsidR="004F340D" w:rsidRDefault="004F340D" w:rsidP="00B25322">
      <w:pPr>
        <w:spacing w:after="0" w:line="240" w:lineRule="auto"/>
      </w:pPr>
      <w:r>
        <w:separator/>
      </w:r>
    </w:p>
  </w:footnote>
  <w:footnote w:type="continuationSeparator" w:id="0">
    <w:p w14:paraId="7F464DC5" w14:textId="77777777" w:rsidR="004F340D" w:rsidRDefault="004F340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89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82849"/>
    <w:rsid w:val="00091C87"/>
    <w:rsid w:val="000C39E1"/>
    <w:rsid w:val="000D3280"/>
    <w:rsid w:val="000E2D83"/>
    <w:rsid w:val="000F6B21"/>
    <w:rsid w:val="00113781"/>
    <w:rsid w:val="00167950"/>
    <w:rsid w:val="001A793D"/>
    <w:rsid w:val="001C51CB"/>
    <w:rsid w:val="001C582F"/>
    <w:rsid w:val="001F5BEF"/>
    <w:rsid w:val="00223595"/>
    <w:rsid w:val="00227B1E"/>
    <w:rsid w:val="00245B88"/>
    <w:rsid w:val="002505BC"/>
    <w:rsid w:val="0027145D"/>
    <w:rsid w:val="002A6350"/>
    <w:rsid w:val="002B418B"/>
    <w:rsid w:val="002D0EFA"/>
    <w:rsid w:val="002E027B"/>
    <w:rsid w:val="002E0B52"/>
    <w:rsid w:val="002F2DAF"/>
    <w:rsid w:val="00310C56"/>
    <w:rsid w:val="0031177E"/>
    <w:rsid w:val="00314F1F"/>
    <w:rsid w:val="003238EA"/>
    <w:rsid w:val="00340E2E"/>
    <w:rsid w:val="003649B6"/>
    <w:rsid w:val="003C2EFA"/>
    <w:rsid w:val="003C4B37"/>
    <w:rsid w:val="003D79AA"/>
    <w:rsid w:val="00406FF4"/>
    <w:rsid w:val="004125ED"/>
    <w:rsid w:val="00436535"/>
    <w:rsid w:val="00480879"/>
    <w:rsid w:val="004829E4"/>
    <w:rsid w:val="00485E6E"/>
    <w:rsid w:val="0049697A"/>
    <w:rsid w:val="004F340D"/>
    <w:rsid w:val="004F6547"/>
    <w:rsid w:val="00544584"/>
    <w:rsid w:val="0055372F"/>
    <w:rsid w:val="005620A8"/>
    <w:rsid w:val="005E06EF"/>
    <w:rsid w:val="005E1117"/>
    <w:rsid w:val="005F66C6"/>
    <w:rsid w:val="006246F7"/>
    <w:rsid w:val="00625A9B"/>
    <w:rsid w:val="00635BB8"/>
    <w:rsid w:val="006434B5"/>
    <w:rsid w:val="00653DCC"/>
    <w:rsid w:val="00703884"/>
    <w:rsid w:val="0073236D"/>
    <w:rsid w:val="00777B8E"/>
    <w:rsid w:val="00787807"/>
    <w:rsid w:val="00793593"/>
    <w:rsid w:val="007A73B4"/>
    <w:rsid w:val="007C0B3F"/>
    <w:rsid w:val="007C3E67"/>
    <w:rsid w:val="00846B0C"/>
    <w:rsid w:val="00851C0B"/>
    <w:rsid w:val="008631A7"/>
    <w:rsid w:val="008B1AAE"/>
    <w:rsid w:val="008C4A46"/>
    <w:rsid w:val="008D4AC8"/>
    <w:rsid w:val="0090147A"/>
    <w:rsid w:val="0093786B"/>
    <w:rsid w:val="00977AFA"/>
    <w:rsid w:val="009B51FA"/>
    <w:rsid w:val="009C5E00"/>
    <w:rsid w:val="009C7253"/>
    <w:rsid w:val="00A001FE"/>
    <w:rsid w:val="00A26586"/>
    <w:rsid w:val="00A30BC9"/>
    <w:rsid w:val="00A31259"/>
    <w:rsid w:val="00A3144F"/>
    <w:rsid w:val="00A530FA"/>
    <w:rsid w:val="00A65EE6"/>
    <w:rsid w:val="00A67B2F"/>
    <w:rsid w:val="00AD228F"/>
    <w:rsid w:val="00AD3A80"/>
    <w:rsid w:val="00AE4F93"/>
    <w:rsid w:val="00AE65FD"/>
    <w:rsid w:val="00B01E92"/>
    <w:rsid w:val="00B17BA8"/>
    <w:rsid w:val="00B25322"/>
    <w:rsid w:val="00B83C04"/>
    <w:rsid w:val="00BC1A9C"/>
    <w:rsid w:val="00BC7894"/>
    <w:rsid w:val="00BE00E6"/>
    <w:rsid w:val="00C07DFE"/>
    <w:rsid w:val="00C23584"/>
    <w:rsid w:val="00C24D60"/>
    <w:rsid w:val="00C25FA1"/>
    <w:rsid w:val="00CA70A4"/>
    <w:rsid w:val="00CB4CB0"/>
    <w:rsid w:val="00CF0233"/>
    <w:rsid w:val="00D2218A"/>
    <w:rsid w:val="00D25F61"/>
    <w:rsid w:val="00D319DC"/>
    <w:rsid w:val="00D534B4"/>
    <w:rsid w:val="00D55B56"/>
    <w:rsid w:val="00D72E53"/>
    <w:rsid w:val="00DA14B1"/>
    <w:rsid w:val="00DD368F"/>
    <w:rsid w:val="00DE36A1"/>
    <w:rsid w:val="00E12E2F"/>
    <w:rsid w:val="00E17D35"/>
    <w:rsid w:val="00E4085F"/>
    <w:rsid w:val="00E75FCE"/>
    <w:rsid w:val="00E760E6"/>
    <w:rsid w:val="00EB2F6A"/>
    <w:rsid w:val="00ED79E7"/>
    <w:rsid w:val="00F41943"/>
    <w:rsid w:val="00F73FAA"/>
    <w:rsid w:val="00F81813"/>
    <w:rsid w:val="00F9160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620A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Ppolicy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2023-2024-XX, School Nutrition Program and At-Risk Portion of the Child and Adult Care Food Program Reimbursement Rates for School Year 2023–2024</vt:lpstr>
    </vt:vector>
  </TitlesOfParts>
  <Manager/>
  <Company/>
  <LinksUpToDate>false</LinksUpToDate>
  <CharactersWithSpaces>1981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#2023-2024-01, School Nutrition Program and At-Risk Portion of the Child and Adult Care Food Program Reimbursement Rates for School Year 2023–2024</dc:title>
  <dc:subject/>
  <dc:creator/>
  <cp:keywords/>
  <dc:description/>
  <cp:lastModifiedBy/>
  <cp:revision>1</cp:revision>
  <dcterms:created xsi:type="dcterms:W3CDTF">2023-07-10T17:34:00Z</dcterms:created>
  <dcterms:modified xsi:type="dcterms:W3CDTF">2023-07-10T17:34:00Z</dcterms:modified>
  <cp:category/>
</cp:coreProperties>
</file>