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0E7F" w14:textId="77777777" w:rsidR="00073759" w:rsidRPr="00073759" w:rsidRDefault="00D44B0D" w:rsidP="00073759">
      <w:pPr>
        <w:pStyle w:val="ListParagraph"/>
        <w:kinsoku w:val="0"/>
        <w:overflowPunct w:val="0"/>
        <w:rPr>
          <w:rFonts w:ascii="Times New Roman" w:hAnsi="Times New Roman" w:cs="Times New Roman"/>
          <w:sz w:val="14"/>
          <w:szCs w:val="14"/>
        </w:rPr>
      </w:pPr>
      <w:r w:rsidRPr="00B353CD">
        <w:rPr>
          <w:rFonts w:ascii="Times New Roman" w:hAnsi="Times New Roman" w:cs="Times New Roman"/>
          <w:b/>
          <w:bCs/>
        </w:rPr>
        <w:t xml:space="preserve"> </w:t>
      </w:r>
    </w:p>
    <w:p w14:paraId="77BAFAD2" w14:textId="76D97F79" w:rsidR="00073759" w:rsidRPr="00073759" w:rsidRDefault="00073759" w:rsidP="00073759">
      <w:pPr>
        <w:kinsoku w:val="0"/>
        <w:overflowPunct w:val="0"/>
        <w:autoSpaceDE w:val="0"/>
        <w:autoSpaceDN w:val="0"/>
        <w:adjustRightInd w:val="0"/>
        <w:spacing w:after="0" w:line="240" w:lineRule="auto"/>
        <w:jc w:val="center"/>
        <w:rPr>
          <w:rFonts w:ascii="Times New Roman" w:hAnsi="Times New Roman" w:cs="Times New Roman"/>
          <w:sz w:val="20"/>
          <w:szCs w:val="20"/>
        </w:rPr>
      </w:pPr>
      <w:r w:rsidRPr="00073759">
        <w:rPr>
          <w:rFonts w:ascii="Times New Roman" w:hAnsi="Times New Roman" w:cs="Times New Roman"/>
          <w:noProof/>
          <w:sz w:val="20"/>
          <w:szCs w:val="20"/>
        </w:rPr>
        <w:drawing>
          <wp:inline distT="0" distB="0" distL="0" distR="0" wp14:anchorId="2165C602" wp14:editId="7DA430CC">
            <wp:extent cx="2120900" cy="1377811"/>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906" cy="1388859"/>
                    </a:xfrm>
                    <a:prstGeom prst="rect">
                      <a:avLst/>
                    </a:prstGeom>
                    <a:noFill/>
                    <a:ln>
                      <a:noFill/>
                    </a:ln>
                  </pic:spPr>
                </pic:pic>
              </a:graphicData>
            </a:graphic>
          </wp:inline>
        </w:drawing>
      </w:r>
    </w:p>
    <w:p w14:paraId="3C81D6F5" w14:textId="5B353E94" w:rsidR="00CB4FBD" w:rsidRPr="00B353CD" w:rsidRDefault="00CB4FBD" w:rsidP="00696C92">
      <w:pPr>
        <w:spacing w:after="120" w:line="240" w:lineRule="auto"/>
        <w:jc w:val="center"/>
        <w:rPr>
          <w:rFonts w:ascii="Times New Roman" w:hAnsi="Times New Roman" w:cs="Times New Roman"/>
        </w:rPr>
      </w:pPr>
    </w:p>
    <w:p w14:paraId="5C205B0E" w14:textId="77777777" w:rsidR="00CB4FBD" w:rsidRPr="00B353CD" w:rsidRDefault="00CB4FBD" w:rsidP="00696C92">
      <w:pPr>
        <w:spacing w:after="120" w:line="240" w:lineRule="auto"/>
        <w:rPr>
          <w:rFonts w:ascii="Times New Roman" w:hAnsi="Times New Roman" w:cs="Times New Roman"/>
          <w:sz w:val="24"/>
          <w:szCs w:val="24"/>
        </w:rPr>
      </w:pPr>
    </w:p>
    <w:p w14:paraId="24553F05" w14:textId="77777777" w:rsidR="00741E80" w:rsidRPr="00B353CD" w:rsidRDefault="00741E80" w:rsidP="00696C92">
      <w:pPr>
        <w:spacing w:after="120"/>
        <w:rPr>
          <w:rFonts w:ascii="Times New Roman" w:hAnsi="Times New Roman" w:cs="Times New Roman"/>
        </w:rPr>
      </w:pPr>
    </w:p>
    <w:p w14:paraId="160696DF" w14:textId="72A94BD8" w:rsidR="00CB4FBD" w:rsidRPr="00B353CD" w:rsidRDefault="00CB4FBD" w:rsidP="00696C92">
      <w:pPr>
        <w:pStyle w:val="Title"/>
        <w:spacing w:after="120"/>
        <w:jc w:val="right"/>
        <w:rPr>
          <w:rFonts w:ascii="Times New Roman" w:hAnsi="Times New Roman" w:cs="Times New Roman"/>
          <w:color w:val="auto"/>
        </w:rPr>
      </w:pPr>
      <w:r w:rsidRPr="00B353CD">
        <w:rPr>
          <w:rFonts w:ascii="Times New Roman" w:hAnsi="Times New Roman" w:cs="Times New Roman"/>
          <w:color w:val="auto"/>
        </w:rPr>
        <w:t>END-O</w:t>
      </w:r>
      <w:r w:rsidR="004713F8" w:rsidRPr="00B353CD">
        <w:rPr>
          <w:rFonts w:ascii="Times New Roman" w:hAnsi="Times New Roman" w:cs="Times New Roman"/>
          <w:color w:val="auto"/>
        </w:rPr>
        <w:t>F</w:t>
      </w:r>
      <w:r w:rsidRPr="00B353CD">
        <w:rPr>
          <w:rFonts w:ascii="Times New Roman" w:hAnsi="Times New Roman" w:cs="Times New Roman"/>
          <w:color w:val="auto"/>
        </w:rPr>
        <w:t>-YEAR DATA ENTRY GUIDANCE F</w:t>
      </w:r>
      <w:r w:rsidR="00187C8B" w:rsidRPr="00B353CD">
        <w:rPr>
          <w:rFonts w:ascii="Times New Roman" w:hAnsi="Times New Roman" w:cs="Times New Roman"/>
          <w:color w:val="auto"/>
        </w:rPr>
        <w:t xml:space="preserve">OR ADULT EDUCATION GRANTEES </w:t>
      </w:r>
      <w:r w:rsidR="00C05F0F">
        <w:rPr>
          <w:rFonts w:ascii="Times New Roman" w:hAnsi="Times New Roman" w:cs="Times New Roman"/>
          <w:color w:val="auto"/>
        </w:rPr>
        <w:t>2022-2023</w:t>
      </w:r>
    </w:p>
    <w:p w14:paraId="4AF045A3" w14:textId="77777777" w:rsidR="00CB4FBD" w:rsidRPr="00B353CD" w:rsidRDefault="00CB4FBD" w:rsidP="00696C92">
      <w:pPr>
        <w:spacing w:before="720" w:after="120" w:line="240" w:lineRule="auto"/>
        <w:contextualSpacing/>
        <w:jc w:val="center"/>
        <w:rPr>
          <w:rFonts w:ascii="Times New Roman" w:hAnsi="Times New Roman" w:cs="Times New Roman"/>
          <w:b/>
          <w:noProof/>
          <w:sz w:val="24"/>
          <w:szCs w:val="24"/>
        </w:rPr>
      </w:pPr>
      <w:r w:rsidRPr="00B353CD">
        <w:rPr>
          <w:rFonts w:ascii="Times New Roman" w:hAnsi="Times New Roman" w:cs="Times New Roman"/>
          <w:b/>
          <w:noProof/>
          <w:sz w:val="24"/>
          <w:szCs w:val="24"/>
        </w:rPr>
        <w:t>Virginia Department of Education</w:t>
      </w:r>
    </w:p>
    <w:p w14:paraId="7EAC556E" w14:textId="77777777" w:rsidR="00CB4FBD" w:rsidRPr="00B353CD" w:rsidRDefault="00CB4FBD" w:rsidP="00696C92">
      <w:pPr>
        <w:spacing w:after="120" w:line="240" w:lineRule="auto"/>
        <w:contextualSpacing/>
        <w:jc w:val="center"/>
        <w:rPr>
          <w:rFonts w:ascii="Times New Roman" w:hAnsi="Times New Roman" w:cs="Times New Roman"/>
          <w:b/>
          <w:noProof/>
          <w:sz w:val="24"/>
          <w:szCs w:val="24"/>
        </w:rPr>
      </w:pPr>
      <w:r w:rsidRPr="00B353CD">
        <w:rPr>
          <w:rFonts w:ascii="Times New Roman" w:hAnsi="Times New Roman" w:cs="Times New Roman"/>
          <w:b/>
          <w:noProof/>
          <w:sz w:val="24"/>
          <w:szCs w:val="24"/>
        </w:rPr>
        <w:t>Office of Career, Technical, and Adult Education</w:t>
      </w:r>
    </w:p>
    <w:p w14:paraId="34564749" w14:textId="77777777" w:rsidR="00CB4FBD" w:rsidRPr="00B353CD" w:rsidRDefault="007C679A" w:rsidP="00696C92">
      <w:pPr>
        <w:spacing w:after="120" w:line="240" w:lineRule="auto"/>
        <w:contextualSpacing/>
        <w:jc w:val="center"/>
        <w:rPr>
          <w:rFonts w:ascii="Times New Roman" w:hAnsi="Times New Roman" w:cs="Times New Roman"/>
          <w:b/>
          <w:noProof/>
          <w:sz w:val="24"/>
          <w:szCs w:val="24"/>
        </w:rPr>
      </w:pPr>
      <w:hyperlink r:id="rId9" w:history="1">
        <w:r w:rsidR="00CB4FBD" w:rsidRPr="00B353CD">
          <w:rPr>
            <w:rStyle w:val="Hyperlink"/>
            <w:rFonts w:ascii="Times New Roman" w:hAnsi="Times New Roman" w:cs="Times New Roman"/>
            <w:b/>
            <w:noProof/>
            <w:sz w:val="24"/>
            <w:szCs w:val="24"/>
          </w:rPr>
          <w:t>OAEL@doe.virginia.gov</w:t>
        </w:r>
      </w:hyperlink>
      <w:r w:rsidR="00CB4FBD" w:rsidRPr="00B353CD">
        <w:rPr>
          <w:rFonts w:ascii="Times New Roman" w:hAnsi="Times New Roman" w:cs="Times New Roman"/>
          <w:b/>
          <w:noProof/>
          <w:sz w:val="24"/>
          <w:szCs w:val="24"/>
        </w:rPr>
        <w:t xml:space="preserve"> </w:t>
      </w:r>
    </w:p>
    <w:p w14:paraId="0506226A" w14:textId="3D76A8DE" w:rsidR="00696C92" w:rsidRPr="00B353CD" w:rsidRDefault="00CB4FBD" w:rsidP="00696C92">
      <w:pPr>
        <w:spacing w:after="120" w:line="240" w:lineRule="auto"/>
        <w:jc w:val="center"/>
        <w:rPr>
          <w:rFonts w:ascii="Times New Roman" w:hAnsi="Times New Roman" w:cs="Times New Roman"/>
          <w:b/>
          <w:sz w:val="24"/>
          <w:szCs w:val="24"/>
        </w:rPr>
      </w:pPr>
      <w:r w:rsidRPr="00B353CD">
        <w:rPr>
          <w:rFonts w:ascii="Times New Roman" w:hAnsi="Times New Roman" w:cs="Times New Roman"/>
          <w:b/>
          <w:sz w:val="24"/>
          <w:szCs w:val="24"/>
        </w:rPr>
        <w:t>(804) 786-3347</w:t>
      </w:r>
      <w:r w:rsidR="00696C92" w:rsidRPr="00B353CD">
        <w:rPr>
          <w:rFonts w:ascii="Times New Roman" w:hAnsi="Times New Roman" w:cs="Times New Roman"/>
          <w:b/>
          <w:sz w:val="24"/>
          <w:szCs w:val="24"/>
        </w:rPr>
        <w:br w:type="page"/>
      </w:r>
    </w:p>
    <w:sdt>
      <w:sdtPr>
        <w:rPr>
          <w:rFonts w:ascii="Times New Roman" w:eastAsiaTheme="minorEastAsia" w:hAnsi="Times New Roman" w:cs="Times New Roman"/>
          <w:b w:val="0"/>
          <w:bCs w:val="0"/>
          <w:color w:val="auto"/>
          <w:sz w:val="22"/>
          <w:szCs w:val="22"/>
          <w:lang w:eastAsia="en-US"/>
        </w:rPr>
        <w:id w:val="1683247538"/>
        <w:docPartObj>
          <w:docPartGallery w:val="Table of Contents"/>
          <w:docPartUnique/>
        </w:docPartObj>
      </w:sdtPr>
      <w:sdtEndPr>
        <w:rPr>
          <w:noProof/>
        </w:rPr>
      </w:sdtEndPr>
      <w:sdtContent>
        <w:p w14:paraId="3CB2D20F" w14:textId="68918866" w:rsidR="00CA419D" w:rsidRPr="00B353CD" w:rsidRDefault="00CA419D">
          <w:pPr>
            <w:pStyle w:val="TOCHeading"/>
            <w:rPr>
              <w:rFonts w:ascii="Times New Roman" w:hAnsi="Times New Roman" w:cs="Times New Roman"/>
              <w:color w:val="auto"/>
            </w:rPr>
          </w:pPr>
          <w:r w:rsidRPr="00B353CD">
            <w:rPr>
              <w:rFonts w:ascii="Times New Roman" w:hAnsi="Times New Roman" w:cs="Times New Roman"/>
              <w:color w:val="auto"/>
            </w:rPr>
            <w:t>Contents</w:t>
          </w:r>
        </w:p>
        <w:p w14:paraId="278E9A64" w14:textId="76372551" w:rsidR="006650FF" w:rsidRDefault="00CA419D">
          <w:pPr>
            <w:pStyle w:val="TOC1"/>
            <w:rPr>
              <w:rFonts w:asciiTheme="minorHAnsi" w:hAnsiTheme="minorHAnsi" w:cstheme="minorBidi"/>
              <w:sz w:val="22"/>
              <w:szCs w:val="22"/>
            </w:rPr>
          </w:pPr>
          <w:r w:rsidRPr="00E7147A">
            <w:rPr>
              <w:noProof w:val="0"/>
            </w:rPr>
            <w:fldChar w:fldCharType="begin"/>
          </w:r>
          <w:r w:rsidRPr="00E7147A">
            <w:instrText xml:space="preserve"> TOC \o "1-3" \h \z \u </w:instrText>
          </w:r>
          <w:r w:rsidRPr="00E7147A">
            <w:rPr>
              <w:noProof w:val="0"/>
            </w:rPr>
            <w:fldChar w:fldCharType="separate"/>
          </w:r>
          <w:hyperlink w:anchor="_Toc105689110" w:history="1">
            <w:r w:rsidR="00C05F0F">
              <w:rPr>
                <w:rStyle w:val="Hyperlink"/>
              </w:rPr>
              <w:t>2022-2023</w:t>
            </w:r>
            <w:r w:rsidR="006650FF" w:rsidRPr="00D32A0A">
              <w:rPr>
                <w:rStyle w:val="Hyperlink"/>
              </w:rPr>
              <w:t xml:space="preserve"> Close-out Information</w:t>
            </w:r>
            <w:r w:rsidR="006650FF">
              <w:rPr>
                <w:webHidden/>
              </w:rPr>
              <w:tab/>
            </w:r>
            <w:r w:rsidR="006650FF">
              <w:rPr>
                <w:webHidden/>
              </w:rPr>
              <w:fldChar w:fldCharType="begin"/>
            </w:r>
            <w:r w:rsidR="006650FF">
              <w:rPr>
                <w:webHidden/>
              </w:rPr>
              <w:instrText xml:space="preserve"> PAGEREF _Toc105689110 \h </w:instrText>
            </w:r>
            <w:r w:rsidR="006650FF">
              <w:rPr>
                <w:webHidden/>
              </w:rPr>
            </w:r>
            <w:r w:rsidR="006650FF">
              <w:rPr>
                <w:webHidden/>
              </w:rPr>
              <w:fldChar w:fldCharType="separate"/>
            </w:r>
            <w:r w:rsidR="00D7177C">
              <w:rPr>
                <w:webHidden/>
              </w:rPr>
              <w:t>3</w:t>
            </w:r>
            <w:r w:rsidR="006650FF">
              <w:rPr>
                <w:webHidden/>
              </w:rPr>
              <w:fldChar w:fldCharType="end"/>
            </w:r>
          </w:hyperlink>
        </w:p>
        <w:p w14:paraId="24C5B224" w14:textId="6E542DF8" w:rsidR="006650FF" w:rsidRDefault="007C679A">
          <w:pPr>
            <w:pStyle w:val="TOC2"/>
            <w:rPr>
              <w:rFonts w:asciiTheme="minorHAnsi" w:hAnsiTheme="minorHAnsi" w:cstheme="minorBidi"/>
            </w:rPr>
          </w:pPr>
          <w:hyperlink w:anchor="_Toc105689111" w:history="1">
            <w:r w:rsidR="006650FF" w:rsidRPr="00D32A0A">
              <w:rPr>
                <w:rStyle w:val="Hyperlink"/>
              </w:rPr>
              <w:t>1.</w:t>
            </w:r>
            <w:r w:rsidR="006650FF">
              <w:rPr>
                <w:rFonts w:asciiTheme="minorHAnsi" w:hAnsiTheme="minorHAnsi" w:cstheme="minorBidi"/>
              </w:rPr>
              <w:tab/>
            </w:r>
            <w:r w:rsidR="006650FF" w:rsidRPr="00D32A0A">
              <w:rPr>
                <w:rStyle w:val="Hyperlink"/>
              </w:rPr>
              <w:t>General Data Entry Reminders</w:t>
            </w:r>
            <w:r w:rsidR="006650FF">
              <w:rPr>
                <w:webHidden/>
              </w:rPr>
              <w:tab/>
            </w:r>
            <w:r w:rsidR="006650FF">
              <w:rPr>
                <w:webHidden/>
              </w:rPr>
              <w:fldChar w:fldCharType="begin"/>
            </w:r>
            <w:r w:rsidR="006650FF">
              <w:rPr>
                <w:webHidden/>
              </w:rPr>
              <w:instrText xml:space="preserve"> PAGEREF _Toc105689111 \h </w:instrText>
            </w:r>
            <w:r w:rsidR="006650FF">
              <w:rPr>
                <w:webHidden/>
              </w:rPr>
            </w:r>
            <w:r w:rsidR="006650FF">
              <w:rPr>
                <w:webHidden/>
              </w:rPr>
              <w:fldChar w:fldCharType="separate"/>
            </w:r>
            <w:r w:rsidR="00D7177C">
              <w:rPr>
                <w:webHidden/>
              </w:rPr>
              <w:t>3</w:t>
            </w:r>
            <w:r w:rsidR="006650FF">
              <w:rPr>
                <w:webHidden/>
              </w:rPr>
              <w:fldChar w:fldCharType="end"/>
            </w:r>
          </w:hyperlink>
        </w:p>
        <w:p w14:paraId="4F4FD150" w14:textId="32897F75" w:rsidR="006650FF" w:rsidRDefault="007C679A">
          <w:pPr>
            <w:pStyle w:val="TOC2"/>
            <w:rPr>
              <w:rFonts w:asciiTheme="minorHAnsi" w:hAnsiTheme="minorHAnsi" w:cstheme="minorBidi"/>
            </w:rPr>
          </w:pPr>
          <w:hyperlink w:anchor="_Toc105689112" w:history="1">
            <w:r w:rsidR="006650FF" w:rsidRPr="00D32A0A">
              <w:rPr>
                <w:rStyle w:val="Hyperlink"/>
              </w:rPr>
              <w:t>2.</w:t>
            </w:r>
            <w:r w:rsidR="006650FF">
              <w:rPr>
                <w:rFonts w:asciiTheme="minorHAnsi" w:hAnsiTheme="minorHAnsi" w:cstheme="minorBidi"/>
              </w:rPr>
              <w:tab/>
            </w:r>
            <w:r w:rsidR="006650FF" w:rsidRPr="00D32A0A">
              <w:rPr>
                <w:rStyle w:val="Hyperlink"/>
              </w:rPr>
              <w:t>Student Demographics</w:t>
            </w:r>
            <w:r w:rsidR="006650FF">
              <w:rPr>
                <w:webHidden/>
              </w:rPr>
              <w:tab/>
            </w:r>
            <w:r w:rsidR="006650FF">
              <w:rPr>
                <w:webHidden/>
              </w:rPr>
              <w:fldChar w:fldCharType="begin"/>
            </w:r>
            <w:r w:rsidR="006650FF">
              <w:rPr>
                <w:webHidden/>
              </w:rPr>
              <w:instrText xml:space="preserve"> PAGEREF _Toc105689112 \h </w:instrText>
            </w:r>
            <w:r w:rsidR="006650FF">
              <w:rPr>
                <w:webHidden/>
              </w:rPr>
            </w:r>
            <w:r w:rsidR="006650FF">
              <w:rPr>
                <w:webHidden/>
              </w:rPr>
              <w:fldChar w:fldCharType="separate"/>
            </w:r>
            <w:r w:rsidR="00D7177C">
              <w:rPr>
                <w:webHidden/>
              </w:rPr>
              <w:t>3</w:t>
            </w:r>
            <w:r w:rsidR="006650FF">
              <w:rPr>
                <w:webHidden/>
              </w:rPr>
              <w:fldChar w:fldCharType="end"/>
            </w:r>
          </w:hyperlink>
        </w:p>
        <w:p w14:paraId="441DD9C8" w14:textId="4800BED6" w:rsidR="006650FF" w:rsidRDefault="007C679A">
          <w:pPr>
            <w:pStyle w:val="TOC2"/>
            <w:rPr>
              <w:rFonts w:asciiTheme="minorHAnsi" w:hAnsiTheme="minorHAnsi" w:cstheme="minorBidi"/>
            </w:rPr>
          </w:pPr>
          <w:hyperlink w:anchor="_Toc105689113" w:history="1">
            <w:r w:rsidR="006650FF" w:rsidRPr="00D32A0A">
              <w:rPr>
                <w:rStyle w:val="Hyperlink"/>
              </w:rPr>
              <w:t>3.</w:t>
            </w:r>
            <w:r w:rsidR="006650FF">
              <w:rPr>
                <w:rFonts w:asciiTheme="minorHAnsi" w:hAnsiTheme="minorHAnsi" w:cstheme="minorBidi"/>
              </w:rPr>
              <w:tab/>
            </w:r>
            <w:r w:rsidR="006650FF" w:rsidRPr="00D32A0A">
              <w:rPr>
                <w:rStyle w:val="Hyperlink"/>
              </w:rPr>
              <w:t>Student Tests</w:t>
            </w:r>
            <w:r w:rsidR="006650FF">
              <w:rPr>
                <w:webHidden/>
              </w:rPr>
              <w:tab/>
            </w:r>
            <w:r w:rsidR="006650FF">
              <w:rPr>
                <w:webHidden/>
              </w:rPr>
              <w:fldChar w:fldCharType="begin"/>
            </w:r>
            <w:r w:rsidR="006650FF">
              <w:rPr>
                <w:webHidden/>
              </w:rPr>
              <w:instrText xml:space="preserve"> PAGEREF _Toc105689113 \h </w:instrText>
            </w:r>
            <w:r w:rsidR="006650FF">
              <w:rPr>
                <w:webHidden/>
              </w:rPr>
            </w:r>
            <w:r w:rsidR="006650FF">
              <w:rPr>
                <w:webHidden/>
              </w:rPr>
              <w:fldChar w:fldCharType="separate"/>
            </w:r>
            <w:r w:rsidR="00D7177C">
              <w:rPr>
                <w:webHidden/>
              </w:rPr>
              <w:t>6</w:t>
            </w:r>
            <w:r w:rsidR="006650FF">
              <w:rPr>
                <w:webHidden/>
              </w:rPr>
              <w:fldChar w:fldCharType="end"/>
            </w:r>
          </w:hyperlink>
        </w:p>
        <w:p w14:paraId="4838A0D4" w14:textId="7AFAA477" w:rsidR="006650FF" w:rsidRDefault="007C679A">
          <w:pPr>
            <w:pStyle w:val="TOC2"/>
            <w:rPr>
              <w:rFonts w:asciiTheme="minorHAnsi" w:hAnsiTheme="minorHAnsi" w:cstheme="minorBidi"/>
            </w:rPr>
          </w:pPr>
          <w:hyperlink w:anchor="_Toc105689114" w:history="1">
            <w:r w:rsidR="006650FF" w:rsidRPr="00D32A0A">
              <w:rPr>
                <w:rStyle w:val="Hyperlink"/>
              </w:rPr>
              <w:t>4.</w:t>
            </w:r>
            <w:r w:rsidR="006650FF">
              <w:rPr>
                <w:rFonts w:asciiTheme="minorHAnsi" w:hAnsiTheme="minorHAnsi" w:cstheme="minorBidi"/>
              </w:rPr>
              <w:tab/>
            </w:r>
            <w:r w:rsidR="006650FF" w:rsidRPr="00D32A0A">
              <w:rPr>
                <w:rStyle w:val="Hyperlink"/>
              </w:rPr>
              <w:t>GED</w:t>
            </w:r>
            <w:r w:rsidR="006650FF" w:rsidRPr="00D32A0A">
              <w:rPr>
                <w:rStyle w:val="Hyperlink"/>
                <w:vertAlign w:val="superscript"/>
              </w:rPr>
              <w:t>®</w:t>
            </w:r>
            <w:r w:rsidR="006650FF" w:rsidRPr="00D32A0A">
              <w:rPr>
                <w:rStyle w:val="Hyperlink"/>
              </w:rPr>
              <w:t xml:space="preserve"> Test Information</w:t>
            </w:r>
            <w:r w:rsidR="006650FF">
              <w:rPr>
                <w:webHidden/>
              </w:rPr>
              <w:tab/>
            </w:r>
            <w:r w:rsidR="006650FF">
              <w:rPr>
                <w:webHidden/>
              </w:rPr>
              <w:fldChar w:fldCharType="begin"/>
            </w:r>
            <w:r w:rsidR="006650FF">
              <w:rPr>
                <w:webHidden/>
              </w:rPr>
              <w:instrText xml:space="preserve"> PAGEREF _Toc105689114 \h </w:instrText>
            </w:r>
            <w:r w:rsidR="006650FF">
              <w:rPr>
                <w:webHidden/>
              </w:rPr>
            </w:r>
            <w:r w:rsidR="006650FF">
              <w:rPr>
                <w:webHidden/>
              </w:rPr>
              <w:fldChar w:fldCharType="separate"/>
            </w:r>
            <w:r w:rsidR="00D7177C">
              <w:rPr>
                <w:webHidden/>
              </w:rPr>
              <w:t>7</w:t>
            </w:r>
            <w:r w:rsidR="006650FF">
              <w:rPr>
                <w:webHidden/>
              </w:rPr>
              <w:fldChar w:fldCharType="end"/>
            </w:r>
          </w:hyperlink>
        </w:p>
        <w:p w14:paraId="3F7EB052" w14:textId="1AD569BB" w:rsidR="006650FF" w:rsidRDefault="007C679A">
          <w:pPr>
            <w:pStyle w:val="TOC2"/>
            <w:rPr>
              <w:rFonts w:asciiTheme="minorHAnsi" w:hAnsiTheme="minorHAnsi" w:cstheme="minorBidi"/>
            </w:rPr>
          </w:pPr>
          <w:hyperlink w:anchor="_Toc105689115" w:history="1">
            <w:r w:rsidR="006650FF" w:rsidRPr="00D32A0A">
              <w:rPr>
                <w:rStyle w:val="Hyperlink"/>
              </w:rPr>
              <w:t>5.</w:t>
            </w:r>
            <w:r w:rsidR="006650FF">
              <w:rPr>
                <w:rFonts w:asciiTheme="minorHAnsi" w:hAnsiTheme="minorHAnsi" w:cstheme="minorBidi"/>
              </w:rPr>
              <w:tab/>
            </w:r>
            <w:r w:rsidR="006650FF" w:rsidRPr="00D32A0A">
              <w:rPr>
                <w:rStyle w:val="Hyperlink"/>
              </w:rPr>
              <w:t>Diploma Program Enrollment</w:t>
            </w:r>
            <w:r w:rsidR="006650FF">
              <w:rPr>
                <w:webHidden/>
              </w:rPr>
              <w:tab/>
            </w:r>
            <w:r w:rsidR="006650FF">
              <w:rPr>
                <w:webHidden/>
              </w:rPr>
              <w:fldChar w:fldCharType="begin"/>
            </w:r>
            <w:r w:rsidR="006650FF">
              <w:rPr>
                <w:webHidden/>
              </w:rPr>
              <w:instrText xml:space="preserve"> PAGEREF _Toc105689115 \h </w:instrText>
            </w:r>
            <w:r w:rsidR="006650FF">
              <w:rPr>
                <w:webHidden/>
              </w:rPr>
            </w:r>
            <w:r w:rsidR="006650FF">
              <w:rPr>
                <w:webHidden/>
              </w:rPr>
              <w:fldChar w:fldCharType="separate"/>
            </w:r>
            <w:r w:rsidR="00D7177C">
              <w:rPr>
                <w:webHidden/>
              </w:rPr>
              <w:t>7</w:t>
            </w:r>
            <w:r w:rsidR="006650FF">
              <w:rPr>
                <w:webHidden/>
              </w:rPr>
              <w:fldChar w:fldCharType="end"/>
            </w:r>
          </w:hyperlink>
        </w:p>
        <w:p w14:paraId="7A3F0251" w14:textId="60BE4B85" w:rsidR="006650FF" w:rsidRDefault="007C679A">
          <w:pPr>
            <w:pStyle w:val="TOC2"/>
            <w:rPr>
              <w:rFonts w:asciiTheme="minorHAnsi" w:hAnsiTheme="minorHAnsi" w:cstheme="minorBidi"/>
            </w:rPr>
          </w:pPr>
          <w:hyperlink w:anchor="_Toc105689116" w:history="1">
            <w:r w:rsidR="006650FF" w:rsidRPr="00D32A0A">
              <w:rPr>
                <w:rStyle w:val="Hyperlink"/>
              </w:rPr>
              <w:t>6.</w:t>
            </w:r>
            <w:r w:rsidR="006650FF">
              <w:rPr>
                <w:rFonts w:asciiTheme="minorHAnsi" w:hAnsiTheme="minorHAnsi" w:cstheme="minorBidi"/>
              </w:rPr>
              <w:tab/>
            </w:r>
            <w:r w:rsidR="006650FF" w:rsidRPr="00D32A0A">
              <w:rPr>
                <w:rStyle w:val="Hyperlink"/>
              </w:rPr>
              <w:t>Postsecondary Education/Training Program Enrollment and Certification</w:t>
            </w:r>
            <w:r w:rsidR="006650FF">
              <w:rPr>
                <w:webHidden/>
              </w:rPr>
              <w:tab/>
            </w:r>
            <w:r w:rsidR="006650FF">
              <w:rPr>
                <w:webHidden/>
              </w:rPr>
              <w:fldChar w:fldCharType="begin"/>
            </w:r>
            <w:r w:rsidR="006650FF">
              <w:rPr>
                <w:webHidden/>
              </w:rPr>
              <w:instrText xml:space="preserve"> PAGEREF _Toc105689116 \h </w:instrText>
            </w:r>
            <w:r w:rsidR="006650FF">
              <w:rPr>
                <w:webHidden/>
              </w:rPr>
            </w:r>
            <w:r w:rsidR="006650FF">
              <w:rPr>
                <w:webHidden/>
              </w:rPr>
              <w:fldChar w:fldCharType="separate"/>
            </w:r>
            <w:r w:rsidR="00D7177C">
              <w:rPr>
                <w:webHidden/>
              </w:rPr>
              <w:t>8</w:t>
            </w:r>
            <w:r w:rsidR="006650FF">
              <w:rPr>
                <w:webHidden/>
              </w:rPr>
              <w:fldChar w:fldCharType="end"/>
            </w:r>
          </w:hyperlink>
        </w:p>
        <w:p w14:paraId="5E48D708" w14:textId="791A79AA" w:rsidR="006650FF" w:rsidRDefault="007C679A">
          <w:pPr>
            <w:pStyle w:val="TOC2"/>
            <w:rPr>
              <w:rFonts w:asciiTheme="minorHAnsi" w:hAnsiTheme="minorHAnsi" w:cstheme="minorBidi"/>
            </w:rPr>
          </w:pPr>
          <w:hyperlink w:anchor="_Toc105689117" w:history="1">
            <w:r w:rsidR="006650FF" w:rsidRPr="00D32A0A">
              <w:rPr>
                <w:rStyle w:val="Hyperlink"/>
              </w:rPr>
              <w:t>7.</w:t>
            </w:r>
            <w:r w:rsidR="006650FF">
              <w:rPr>
                <w:rFonts w:asciiTheme="minorHAnsi" w:hAnsiTheme="minorHAnsi" w:cstheme="minorBidi"/>
              </w:rPr>
              <w:tab/>
            </w:r>
            <w:r w:rsidR="006650FF" w:rsidRPr="00D32A0A">
              <w:rPr>
                <w:rStyle w:val="Hyperlink"/>
              </w:rPr>
              <w:t>Student Goals</w:t>
            </w:r>
            <w:r w:rsidR="006650FF">
              <w:rPr>
                <w:webHidden/>
              </w:rPr>
              <w:tab/>
            </w:r>
            <w:r w:rsidR="006650FF">
              <w:rPr>
                <w:webHidden/>
              </w:rPr>
              <w:fldChar w:fldCharType="begin"/>
            </w:r>
            <w:r w:rsidR="006650FF">
              <w:rPr>
                <w:webHidden/>
              </w:rPr>
              <w:instrText xml:space="preserve"> PAGEREF _Toc105689117 \h </w:instrText>
            </w:r>
            <w:r w:rsidR="006650FF">
              <w:rPr>
                <w:webHidden/>
              </w:rPr>
            </w:r>
            <w:r w:rsidR="006650FF">
              <w:rPr>
                <w:webHidden/>
              </w:rPr>
              <w:fldChar w:fldCharType="separate"/>
            </w:r>
            <w:r w:rsidR="00D7177C">
              <w:rPr>
                <w:webHidden/>
              </w:rPr>
              <w:t>9</w:t>
            </w:r>
            <w:r w:rsidR="006650FF">
              <w:rPr>
                <w:webHidden/>
              </w:rPr>
              <w:fldChar w:fldCharType="end"/>
            </w:r>
          </w:hyperlink>
        </w:p>
        <w:p w14:paraId="2B6E469E" w14:textId="797FAF43" w:rsidR="006650FF" w:rsidRDefault="007C679A">
          <w:pPr>
            <w:pStyle w:val="TOC2"/>
            <w:rPr>
              <w:rFonts w:asciiTheme="minorHAnsi" w:hAnsiTheme="minorHAnsi" w:cstheme="minorBidi"/>
            </w:rPr>
          </w:pPr>
          <w:hyperlink w:anchor="_Toc105689118" w:history="1">
            <w:r w:rsidR="006650FF" w:rsidRPr="00D32A0A">
              <w:rPr>
                <w:rStyle w:val="Hyperlink"/>
              </w:rPr>
              <w:t>8.</w:t>
            </w:r>
            <w:r w:rsidR="006650FF">
              <w:rPr>
                <w:rFonts w:asciiTheme="minorHAnsi" w:hAnsiTheme="minorHAnsi" w:cstheme="minorBidi"/>
              </w:rPr>
              <w:tab/>
            </w:r>
            <w:r w:rsidR="006650FF" w:rsidRPr="00D32A0A">
              <w:rPr>
                <w:rStyle w:val="Hyperlink"/>
              </w:rPr>
              <w:t>Follow-up Outcome Eligibility</w:t>
            </w:r>
            <w:r w:rsidR="006650FF">
              <w:rPr>
                <w:webHidden/>
              </w:rPr>
              <w:tab/>
            </w:r>
            <w:r w:rsidR="006650FF">
              <w:rPr>
                <w:webHidden/>
              </w:rPr>
              <w:fldChar w:fldCharType="begin"/>
            </w:r>
            <w:r w:rsidR="006650FF">
              <w:rPr>
                <w:webHidden/>
              </w:rPr>
              <w:instrText xml:space="preserve"> PAGEREF _Toc105689118 \h </w:instrText>
            </w:r>
            <w:r w:rsidR="006650FF">
              <w:rPr>
                <w:webHidden/>
              </w:rPr>
            </w:r>
            <w:r w:rsidR="006650FF">
              <w:rPr>
                <w:webHidden/>
              </w:rPr>
              <w:fldChar w:fldCharType="separate"/>
            </w:r>
            <w:r w:rsidR="00D7177C">
              <w:rPr>
                <w:webHidden/>
              </w:rPr>
              <w:t>9</w:t>
            </w:r>
            <w:r w:rsidR="006650FF">
              <w:rPr>
                <w:webHidden/>
              </w:rPr>
              <w:fldChar w:fldCharType="end"/>
            </w:r>
          </w:hyperlink>
        </w:p>
        <w:p w14:paraId="4097E6C7" w14:textId="30FBEE4B" w:rsidR="006650FF" w:rsidRDefault="007C679A">
          <w:pPr>
            <w:pStyle w:val="TOC2"/>
            <w:rPr>
              <w:rFonts w:asciiTheme="minorHAnsi" w:hAnsiTheme="minorHAnsi" w:cstheme="minorBidi"/>
            </w:rPr>
          </w:pPr>
          <w:hyperlink w:anchor="_Toc105689119" w:history="1">
            <w:r w:rsidR="006650FF" w:rsidRPr="00D32A0A">
              <w:rPr>
                <w:rStyle w:val="Hyperlink"/>
              </w:rPr>
              <w:t>9.</w:t>
            </w:r>
            <w:r w:rsidR="006650FF">
              <w:rPr>
                <w:rFonts w:asciiTheme="minorHAnsi" w:hAnsiTheme="minorHAnsi" w:cstheme="minorBidi"/>
              </w:rPr>
              <w:tab/>
            </w:r>
            <w:r w:rsidR="006650FF" w:rsidRPr="00D32A0A">
              <w:rPr>
                <w:rStyle w:val="Hyperlink"/>
              </w:rPr>
              <w:t>MSG Eligibility</w:t>
            </w:r>
            <w:r w:rsidR="006650FF">
              <w:rPr>
                <w:webHidden/>
              </w:rPr>
              <w:tab/>
            </w:r>
            <w:r w:rsidR="006650FF">
              <w:rPr>
                <w:webHidden/>
              </w:rPr>
              <w:fldChar w:fldCharType="begin"/>
            </w:r>
            <w:r w:rsidR="006650FF">
              <w:rPr>
                <w:webHidden/>
              </w:rPr>
              <w:instrText xml:space="preserve"> PAGEREF _Toc105689119 \h </w:instrText>
            </w:r>
            <w:r w:rsidR="006650FF">
              <w:rPr>
                <w:webHidden/>
              </w:rPr>
            </w:r>
            <w:r w:rsidR="006650FF">
              <w:rPr>
                <w:webHidden/>
              </w:rPr>
              <w:fldChar w:fldCharType="separate"/>
            </w:r>
            <w:r w:rsidR="00D7177C">
              <w:rPr>
                <w:webHidden/>
              </w:rPr>
              <w:t>10</w:t>
            </w:r>
            <w:r w:rsidR="006650FF">
              <w:rPr>
                <w:webHidden/>
              </w:rPr>
              <w:fldChar w:fldCharType="end"/>
            </w:r>
          </w:hyperlink>
        </w:p>
        <w:p w14:paraId="1E7D2FCB" w14:textId="6C69D656" w:rsidR="006650FF" w:rsidRDefault="007C679A">
          <w:pPr>
            <w:pStyle w:val="TOC2"/>
            <w:rPr>
              <w:rFonts w:asciiTheme="minorHAnsi" w:hAnsiTheme="minorHAnsi" w:cstheme="minorBidi"/>
            </w:rPr>
          </w:pPr>
          <w:hyperlink w:anchor="_Toc105689120" w:history="1">
            <w:r w:rsidR="006650FF" w:rsidRPr="00D32A0A">
              <w:rPr>
                <w:rStyle w:val="Hyperlink"/>
              </w:rPr>
              <w:t>10.</w:t>
            </w:r>
            <w:r w:rsidR="006650FF">
              <w:rPr>
                <w:rFonts w:asciiTheme="minorHAnsi" w:hAnsiTheme="minorHAnsi" w:cstheme="minorBidi"/>
              </w:rPr>
              <w:tab/>
            </w:r>
            <w:r w:rsidR="006650FF" w:rsidRPr="00D32A0A">
              <w:rPr>
                <w:rStyle w:val="Hyperlink"/>
              </w:rPr>
              <w:t>Checking Data Displayed in NRS Tables</w:t>
            </w:r>
            <w:r w:rsidR="006650FF">
              <w:rPr>
                <w:webHidden/>
              </w:rPr>
              <w:tab/>
            </w:r>
            <w:r w:rsidR="006650FF">
              <w:rPr>
                <w:webHidden/>
              </w:rPr>
              <w:fldChar w:fldCharType="begin"/>
            </w:r>
            <w:r w:rsidR="006650FF">
              <w:rPr>
                <w:webHidden/>
              </w:rPr>
              <w:instrText xml:space="preserve"> PAGEREF _Toc105689120 \h </w:instrText>
            </w:r>
            <w:r w:rsidR="006650FF">
              <w:rPr>
                <w:webHidden/>
              </w:rPr>
            </w:r>
            <w:r w:rsidR="006650FF">
              <w:rPr>
                <w:webHidden/>
              </w:rPr>
              <w:fldChar w:fldCharType="separate"/>
            </w:r>
            <w:r w:rsidR="00D7177C">
              <w:rPr>
                <w:webHidden/>
              </w:rPr>
              <w:t>14</w:t>
            </w:r>
            <w:r w:rsidR="006650FF">
              <w:rPr>
                <w:webHidden/>
              </w:rPr>
              <w:fldChar w:fldCharType="end"/>
            </w:r>
          </w:hyperlink>
        </w:p>
        <w:p w14:paraId="33316011" w14:textId="0504E33F" w:rsidR="00CA419D" w:rsidRPr="00B353CD" w:rsidRDefault="00CA419D">
          <w:pPr>
            <w:rPr>
              <w:rFonts w:ascii="Times New Roman" w:hAnsi="Times New Roman" w:cs="Times New Roman"/>
            </w:rPr>
          </w:pPr>
          <w:r w:rsidRPr="00E7147A">
            <w:rPr>
              <w:rFonts w:ascii="Times New Roman" w:hAnsi="Times New Roman" w:cs="Times New Roman"/>
              <w:b/>
              <w:bCs/>
              <w:noProof/>
              <w:sz w:val="24"/>
              <w:szCs w:val="24"/>
            </w:rPr>
            <w:fldChar w:fldCharType="end"/>
          </w:r>
        </w:p>
      </w:sdtContent>
    </w:sdt>
    <w:p w14:paraId="1F5EF83C" w14:textId="77777777" w:rsidR="00696C92" w:rsidRPr="00B353CD" w:rsidRDefault="00696C92" w:rsidP="00696C92">
      <w:pPr>
        <w:pStyle w:val="Default"/>
        <w:spacing w:after="120"/>
        <w:ind w:firstLine="720"/>
      </w:pPr>
      <w:r w:rsidRPr="00B353CD">
        <w:br w:type="page"/>
      </w:r>
    </w:p>
    <w:p w14:paraId="5A8D519B" w14:textId="53E2EC10" w:rsidR="007E126C" w:rsidRPr="00B353CD" w:rsidRDefault="007E126C" w:rsidP="00696C92">
      <w:pPr>
        <w:pStyle w:val="Default"/>
        <w:spacing w:after="120"/>
        <w:ind w:firstLine="720"/>
      </w:pPr>
      <w:r w:rsidRPr="00B353CD">
        <w:lastRenderedPageBreak/>
        <w:t>This guidance provides the information necessary for adult education grant recipients to finalize their data</w:t>
      </w:r>
      <w:r w:rsidR="00AF012F" w:rsidRPr="00B353CD">
        <w:t xml:space="preserve"> for fiscal year (FY)</w:t>
      </w:r>
      <w:r w:rsidR="004E0015">
        <w:t xml:space="preserve"> </w:t>
      </w:r>
      <w:r w:rsidR="00C05F0F">
        <w:t>2022-2023</w:t>
      </w:r>
      <w:r w:rsidR="00C12557">
        <w:t>.</w:t>
      </w:r>
      <w:r w:rsidRPr="00B353CD">
        <w:t xml:space="preserve"> If you have questions, do not hesitate to contact the Office of Career, Technical, and Adult Education by email at </w:t>
      </w:r>
      <w:hyperlink r:id="rId10" w:history="1">
        <w:r w:rsidRPr="00B353CD">
          <w:rPr>
            <w:rStyle w:val="Hyperlink"/>
          </w:rPr>
          <w:t>OAEL@doe.virginia.gov</w:t>
        </w:r>
      </w:hyperlink>
      <w:r w:rsidRPr="00B353CD">
        <w:t xml:space="preserve"> or by telephone at (804) 786-3347.</w:t>
      </w:r>
      <w:r w:rsidR="00BC1F7F" w:rsidRPr="00B353CD">
        <w:t xml:space="preserve"> Terms and acronyms may be found in the </w:t>
      </w:r>
      <w:hyperlink r:id="rId11" w:history="1">
        <w:r w:rsidR="00BC1F7F" w:rsidRPr="00B353CD">
          <w:rPr>
            <w:rStyle w:val="Hyperlink"/>
          </w:rPr>
          <w:t>Adult Education Data Dictionary</w:t>
        </w:r>
      </w:hyperlink>
      <w:r w:rsidR="00BC1F7F" w:rsidRPr="00B353CD">
        <w:t xml:space="preserve">. </w:t>
      </w:r>
    </w:p>
    <w:p w14:paraId="061A8882" w14:textId="7C2F9D65" w:rsidR="007E126C" w:rsidRPr="00B353CD" w:rsidRDefault="00C05F0F" w:rsidP="00696C92">
      <w:pPr>
        <w:pStyle w:val="Heading1"/>
        <w:spacing w:before="360" w:after="120" w:line="240" w:lineRule="auto"/>
        <w:jc w:val="center"/>
        <w:rPr>
          <w:rFonts w:ascii="Times New Roman" w:hAnsi="Times New Roman" w:cs="Times New Roman"/>
          <w:color w:val="auto"/>
          <w:szCs w:val="24"/>
        </w:rPr>
      </w:pPr>
      <w:bookmarkStart w:id="0" w:name="_Toc105689110"/>
      <w:r>
        <w:rPr>
          <w:rFonts w:ascii="Times New Roman" w:hAnsi="Times New Roman" w:cs="Times New Roman"/>
          <w:color w:val="auto"/>
          <w:szCs w:val="24"/>
        </w:rPr>
        <w:t>2022-2023</w:t>
      </w:r>
      <w:r w:rsidR="007E126C" w:rsidRPr="00B353CD">
        <w:rPr>
          <w:rFonts w:ascii="Times New Roman" w:hAnsi="Times New Roman" w:cs="Times New Roman"/>
          <w:color w:val="auto"/>
          <w:szCs w:val="24"/>
        </w:rPr>
        <w:t xml:space="preserve"> Close-out Information</w:t>
      </w:r>
      <w:bookmarkEnd w:id="0"/>
    </w:p>
    <w:p w14:paraId="42F383E5" w14:textId="776F1349" w:rsidR="007E126C" w:rsidRPr="00B353CD" w:rsidRDefault="007E126C" w:rsidP="00094246">
      <w:pPr>
        <w:spacing w:after="120" w:line="240" w:lineRule="auto"/>
        <w:ind w:firstLine="720"/>
        <w:rPr>
          <w:rFonts w:ascii="Times New Roman" w:hAnsi="Times New Roman" w:cs="Times New Roman"/>
          <w:sz w:val="24"/>
          <w:szCs w:val="24"/>
        </w:rPr>
      </w:pPr>
      <w:r w:rsidRPr="00B353CD">
        <w:rPr>
          <w:rFonts w:ascii="Times New Roman" w:hAnsi="Times New Roman" w:cs="Times New Roman"/>
          <w:sz w:val="24"/>
          <w:szCs w:val="24"/>
        </w:rPr>
        <w:t>This section provides adult education programs with information for finalizing their adult education program records for FY</w:t>
      </w:r>
      <w:r w:rsidR="004E0015">
        <w:rPr>
          <w:rFonts w:ascii="Times New Roman" w:hAnsi="Times New Roman" w:cs="Times New Roman"/>
          <w:sz w:val="24"/>
          <w:szCs w:val="24"/>
        </w:rPr>
        <w:t xml:space="preserve"> </w:t>
      </w:r>
      <w:r w:rsidR="00C05F0F">
        <w:rPr>
          <w:rFonts w:ascii="Times New Roman" w:hAnsi="Times New Roman" w:cs="Times New Roman"/>
          <w:sz w:val="24"/>
          <w:szCs w:val="24"/>
        </w:rPr>
        <w:t>2022-2023</w:t>
      </w:r>
      <w:r w:rsidR="00C12557">
        <w:rPr>
          <w:rFonts w:ascii="Times New Roman" w:hAnsi="Times New Roman" w:cs="Times New Roman"/>
          <w:sz w:val="24"/>
          <w:szCs w:val="24"/>
        </w:rPr>
        <w:t>.</w:t>
      </w:r>
      <w:r w:rsidRPr="00B353CD">
        <w:rPr>
          <w:rFonts w:ascii="Times New Roman" w:hAnsi="Times New Roman" w:cs="Times New Roman"/>
          <w:sz w:val="24"/>
          <w:szCs w:val="24"/>
        </w:rPr>
        <w:t xml:space="preserve"> The deadline for finalizing</w:t>
      </w:r>
      <w:r w:rsidR="004E0015">
        <w:rPr>
          <w:rFonts w:ascii="Times New Roman" w:hAnsi="Times New Roman" w:cs="Times New Roman"/>
          <w:sz w:val="24"/>
          <w:szCs w:val="24"/>
        </w:rPr>
        <w:t xml:space="preserve"> </w:t>
      </w:r>
      <w:r w:rsidR="00C05F0F">
        <w:rPr>
          <w:rFonts w:ascii="Times New Roman" w:hAnsi="Times New Roman" w:cs="Times New Roman"/>
          <w:sz w:val="24"/>
          <w:szCs w:val="24"/>
        </w:rPr>
        <w:t>2022-2023</w:t>
      </w:r>
      <w:r w:rsidR="00C12557">
        <w:rPr>
          <w:rFonts w:ascii="Times New Roman" w:hAnsi="Times New Roman" w:cs="Times New Roman"/>
          <w:sz w:val="24"/>
          <w:szCs w:val="24"/>
        </w:rPr>
        <w:t xml:space="preserve"> </w:t>
      </w:r>
      <w:r w:rsidRPr="00B353CD">
        <w:rPr>
          <w:rFonts w:ascii="Times New Roman" w:hAnsi="Times New Roman" w:cs="Times New Roman"/>
          <w:sz w:val="24"/>
          <w:szCs w:val="24"/>
        </w:rPr>
        <w:t xml:space="preserve">adult education data is </w:t>
      </w:r>
      <w:r w:rsidR="00060A81" w:rsidRPr="00B353CD">
        <w:rPr>
          <w:rFonts w:ascii="Times New Roman" w:hAnsi="Times New Roman" w:cs="Times New Roman"/>
          <w:b/>
          <w:sz w:val="24"/>
          <w:szCs w:val="24"/>
        </w:rPr>
        <w:t>11:59 p.m.</w:t>
      </w:r>
      <w:r w:rsidR="002A478A" w:rsidRPr="00B353CD">
        <w:rPr>
          <w:rFonts w:ascii="Times New Roman" w:hAnsi="Times New Roman" w:cs="Times New Roman"/>
          <w:b/>
          <w:sz w:val="24"/>
          <w:szCs w:val="24"/>
        </w:rPr>
        <w:t xml:space="preserve">, Friday, </w:t>
      </w:r>
      <w:r w:rsidR="00C12557">
        <w:rPr>
          <w:rFonts w:ascii="Times New Roman" w:hAnsi="Times New Roman" w:cs="Times New Roman"/>
          <w:b/>
          <w:sz w:val="24"/>
          <w:szCs w:val="24"/>
        </w:rPr>
        <w:t>J</w:t>
      </w:r>
      <w:r w:rsidR="004E0015">
        <w:rPr>
          <w:rFonts w:ascii="Times New Roman" w:hAnsi="Times New Roman" w:cs="Times New Roman"/>
          <w:b/>
          <w:sz w:val="24"/>
          <w:szCs w:val="24"/>
        </w:rPr>
        <w:t>uly 2</w:t>
      </w:r>
      <w:r w:rsidR="00070736">
        <w:rPr>
          <w:rFonts w:ascii="Times New Roman" w:hAnsi="Times New Roman" w:cs="Times New Roman"/>
          <w:b/>
          <w:sz w:val="24"/>
          <w:szCs w:val="24"/>
        </w:rPr>
        <w:t>8</w:t>
      </w:r>
      <w:r w:rsidR="004E0015">
        <w:rPr>
          <w:rFonts w:ascii="Times New Roman" w:hAnsi="Times New Roman" w:cs="Times New Roman"/>
          <w:b/>
          <w:sz w:val="24"/>
          <w:szCs w:val="24"/>
        </w:rPr>
        <w:t>, 2</w:t>
      </w:r>
      <w:r w:rsidR="004E0015" w:rsidRPr="00D7177C">
        <w:rPr>
          <w:rFonts w:ascii="Times New Roman" w:hAnsi="Times New Roman" w:cs="Times New Roman"/>
          <w:b/>
          <w:sz w:val="24"/>
          <w:szCs w:val="24"/>
        </w:rPr>
        <w:t>02</w:t>
      </w:r>
      <w:r w:rsidR="004518B0" w:rsidRPr="00D7177C">
        <w:rPr>
          <w:rFonts w:ascii="Times New Roman" w:hAnsi="Times New Roman" w:cs="Times New Roman"/>
          <w:b/>
          <w:sz w:val="24"/>
          <w:szCs w:val="24"/>
        </w:rPr>
        <w:t>3</w:t>
      </w:r>
      <w:r w:rsidRPr="00B353CD">
        <w:rPr>
          <w:rFonts w:ascii="Times New Roman" w:hAnsi="Times New Roman" w:cs="Times New Roman"/>
          <w:sz w:val="24"/>
          <w:szCs w:val="24"/>
        </w:rPr>
        <w:t>.</w:t>
      </w:r>
    </w:p>
    <w:p w14:paraId="699EF6AE" w14:textId="77777777" w:rsidR="00D03E13" w:rsidRPr="00B353CD" w:rsidRDefault="00D03E13" w:rsidP="00D03E13">
      <w:pPr>
        <w:pStyle w:val="Default"/>
        <w:ind w:firstLine="720"/>
        <w:rPr>
          <w:color w:val="auto"/>
        </w:rPr>
      </w:pPr>
    </w:p>
    <w:p w14:paraId="430E3BED" w14:textId="797E815B" w:rsidR="007E126C" w:rsidRPr="00B353CD" w:rsidRDefault="007E126C" w:rsidP="00B353CD">
      <w:pPr>
        <w:pStyle w:val="Heading2"/>
        <w:numPr>
          <w:ilvl w:val="0"/>
          <w:numId w:val="12"/>
        </w:numPr>
        <w:spacing w:before="0" w:after="120" w:line="240" w:lineRule="auto"/>
        <w:rPr>
          <w:rFonts w:ascii="Times New Roman" w:hAnsi="Times New Roman" w:cs="Times New Roman"/>
          <w:color w:val="auto"/>
        </w:rPr>
      </w:pPr>
      <w:bookmarkStart w:id="1" w:name="_Toc105689111"/>
      <w:r w:rsidRPr="00B353CD">
        <w:rPr>
          <w:rFonts w:ascii="Times New Roman" w:hAnsi="Times New Roman" w:cs="Times New Roman"/>
          <w:color w:val="auto"/>
        </w:rPr>
        <w:t>General Data Entry Reminders</w:t>
      </w:r>
      <w:bookmarkEnd w:id="1"/>
      <w:r w:rsidR="00AF012F" w:rsidRPr="00B353CD">
        <w:rPr>
          <w:rFonts w:ascii="Times New Roman" w:hAnsi="Times New Roman" w:cs="Times New Roman"/>
          <w:color w:val="auto"/>
        </w:rPr>
        <w:t xml:space="preserve"> </w:t>
      </w:r>
    </w:p>
    <w:p w14:paraId="510E21CD" w14:textId="7B43C4C3" w:rsidR="00BC1F7F" w:rsidRPr="00B353CD" w:rsidRDefault="007E126C" w:rsidP="00B353CD">
      <w:pPr>
        <w:pStyle w:val="ListParagraph"/>
        <w:numPr>
          <w:ilvl w:val="1"/>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SSWS Closing Date – The</w:t>
      </w:r>
      <w:r w:rsidR="004E0015">
        <w:rPr>
          <w:rFonts w:ascii="Times New Roman" w:hAnsi="Times New Roman" w:cs="Times New Roman"/>
          <w:sz w:val="24"/>
          <w:szCs w:val="24"/>
        </w:rPr>
        <w:t xml:space="preserve"> </w:t>
      </w:r>
      <w:r w:rsidR="00C05F0F">
        <w:rPr>
          <w:rFonts w:ascii="Times New Roman" w:hAnsi="Times New Roman" w:cs="Times New Roman"/>
          <w:sz w:val="24"/>
          <w:szCs w:val="24"/>
        </w:rPr>
        <w:t>2022-2023</w:t>
      </w:r>
      <w:r w:rsidR="00C12557">
        <w:rPr>
          <w:rFonts w:ascii="Times New Roman" w:hAnsi="Times New Roman" w:cs="Times New Roman"/>
          <w:sz w:val="24"/>
          <w:szCs w:val="24"/>
        </w:rPr>
        <w:t xml:space="preserve"> </w:t>
      </w:r>
      <w:r w:rsidRPr="00B353CD">
        <w:rPr>
          <w:rFonts w:ascii="Times New Roman" w:hAnsi="Times New Roman" w:cs="Times New Roman"/>
          <w:sz w:val="24"/>
          <w:szCs w:val="24"/>
        </w:rPr>
        <w:t>SSWS adult education collection window is sched</w:t>
      </w:r>
      <w:r w:rsidR="002A478A" w:rsidRPr="00B353CD">
        <w:rPr>
          <w:rFonts w:ascii="Times New Roman" w:hAnsi="Times New Roman" w:cs="Times New Roman"/>
          <w:sz w:val="24"/>
          <w:szCs w:val="24"/>
        </w:rPr>
        <w:t xml:space="preserve">uled to close </w:t>
      </w:r>
      <w:r w:rsidR="00F400F1">
        <w:rPr>
          <w:rFonts w:ascii="Times New Roman" w:hAnsi="Times New Roman" w:cs="Times New Roman"/>
          <w:sz w:val="24"/>
          <w:szCs w:val="24"/>
        </w:rPr>
        <w:t>at 11:59 p.m.</w:t>
      </w:r>
      <w:r w:rsidR="002A478A" w:rsidRPr="00B353CD">
        <w:rPr>
          <w:rFonts w:ascii="Times New Roman" w:hAnsi="Times New Roman" w:cs="Times New Roman"/>
          <w:sz w:val="24"/>
          <w:szCs w:val="24"/>
        </w:rPr>
        <w:t xml:space="preserve">, </w:t>
      </w:r>
      <w:r w:rsidR="00C12557">
        <w:rPr>
          <w:rFonts w:ascii="Times New Roman" w:hAnsi="Times New Roman" w:cs="Times New Roman"/>
          <w:sz w:val="24"/>
          <w:szCs w:val="24"/>
        </w:rPr>
        <w:t>J</w:t>
      </w:r>
      <w:r w:rsidR="00F400F1">
        <w:rPr>
          <w:rFonts w:ascii="Times New Roman" w:hAnsi="Times New Roman" w:cs="Times New Roman"/>
          <w:sz w:val="24"/>
          <w:szCs w:val="24"/>
        </w:rPr>
        <w:t>uly 2</w:t>
      </w:r>
      <w:r w:rsidR="00070736">
        <w:rPr>
          <w:rFonts w:ascii="Times New Roman" w:hAnsi="Times New Roman" w:cs="Times New Roman"/>
          <w:sz w:val="24"/>
          <w:szCs w:val="24"/>
        </w:rPr>
        <w:t>8</w:t>
      </w:r>
      <w:r w:rsidR="00C351E2">
        <w:rPr>
          <w:rFonts w:ascii="Times New Roman" w:hAnsi="Times New Roman" w:cs="Times New Roman"/>
          <w:sz w:val="24"/>
          <w:szCs w:val="24"/>
        </w:rPr>
        <w:t>,</w:t>
      </w:r>
      <w:r w:rsidR="004E0015">
        <w:rPr>
          <w:rFonts w:ascii="Times New Roman" w:hAnsi="Times New Roman" w:cs="Times New Roman"/>
          <w:sz w:val="24"/>
          <w:szCs w:val="24"/>
        </w:rPr>
        <w:t xml:space="preserve"> 202</w:t>
      </w:r>
      <w:r w:rsidR="00070736">
        <w:rPr>
          <w:rFonts w:ascii="Times New Roman" w:hAnsi="Times New Roman" w:cs="Times New Roman"/>
          <w:sz w:val="24"/>
          <w:szCs w:val="24"/>
        </w:rPr>
        <w:t>3</w:t>
      </w:r>
      <w:r w:rsidRPr="00B353CD">
        <w:rPr>
          <w:rFonts w:ascii="Times New Roman" w:hAnsi="Times New Roman" w:cs="Times New Roman"/>
          <w:sz w:val="24"/>
          <w:szCs w:val="24"/>
        </w:rPr>
        <w:t xml:space="preserve">. In SSWS, the </w:t>
      </w:r>
      <w:r w:rsidR="004E0015">
        <w:rPr>
          <w:rFonts w:ascii="Times New Roman" w:hAnsi="Times New Roman" w:cs="Times New Roman"/>
          <w:sz w:val="24"/>
          <w:szCs w:val="24"/>
        </w:rPr>
        <w:t xml:space="preserve">close date appears as “July </w:t>
      </w:r>
      <w:r w:rsidR="00070736">
        <w:rPr>
          <w:rFonts w:ascii="Times New Roman" w:hAnsi="Times New Roman" w:cs="Times New Roman"/>
          <w:sz w:val="24"/>
          <w:szCs w:val="24"/>
        </w:rPr>
        <w:t>29</w:t>
      </w:r>
      <w:r w:rsidRPr="0060022C">
        <w:rPr>
          <w:rFonts w:ascii="Times New Roman" w:hAnsi="Times New Roman" w:cs="Times New Roman"/>
          <w:sz w:val="24"/>
          <w:szCs w:val="24"/>
        </w:rPr>
        <w:t>, 20</w:t>
      </w:r>
      <w:r w:rsidR="004E0015">
        <w:rPr>
          <w:rFonts w:ascii="Times New Roman" w:hAnsi="Times New Roman" w:cs="Times New Roman"/>
          <w:sz w:val="24"/>
          <w:szCs w:val="24"/>
        </w:rPr>
        <w:t>2</w:t>
      </w:r>
      <w:r w:rsidR="004518B0">
        <w:rPr>
          <w:rFonts w:ascii="Times New Roman" w:hAnsi="Times New Roman" w:cs="Times New Roman"/>
          <w:sz w:val="24"/>
          <w:szCs w:val="24"/>
        </w:rPr>
        <w:t>3</w:t>
      </w:r>
      <w:r w:rsidRPr="0060022C">
        <w:rPr>
          <w:rFonts w:ascii="Times New Roman" w:hAnsi="Times New Roman" w:cs="Times New Roman"/>
          <w:sz w:val="24"/>
          <w:szCs w:val="24"/>
        </w:rPr>
        <w:t>.”</w:t>
      </w:r>
    </w:p>
    <w:p w14:paraId="57C753CA" w14:textId="589F269E" w:rsidR="007E126C" w:rsidRPr="00B353CD" w:rsidRDefault="007E126C" w:rsidP="00B353CD">
      <w:pPr>
        <w:pStyle w:val="ListParagraph"/>
        <w:numPr>
          <w:ilvl w:val="1"/>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Student Information – Documentation for student information entered in SSWS should be kept in each student’s folder</w:t>
      </w:r>
      <w:r w:rsidR="00AF012F" w:rsidRPr="00B353CD">
        <w:rPr>
          <w:rFonts w:ascii="Times New Roman" w:hAnsi="Times New Roman" w:cs="Times New Roman"/>
          <w:sz w:val="24"/>
          <w:szCs w:val="24"/>
        </w:rPr>
        <w:t xml:space="preserve">. </w:t>
      </w:r>
      <w:r w:rsidRPr="00B353CD">
        <w:rPr>
          <w:rFonts w:ascii="Times New Roman" w:hAnsi="Times New Roman" w:cs="Times New Roman"/>
          <w:sz w:val="24"/>
          <w:szCs w:val="24"/>
        </w:rPr>
        <w:t>This includes all required demographic information, student assessment results, and any evidence of postsecondary program enrollment</w:t>
      </w:r>
      <w:r w:rsidR="00D07316">
        <w:rPr>
          <w:rFonts w:ascii="Times New Roman" w:hAnsi="Times New Roman" w:cs="Times New Roman"/>
          <w:sz w:val="24"/>
          <w:szCs w:val="24"/>
        </w:rPr>
        <w:t>, exit,</w:t>
      </w:r>
      <w:r w:rsidRPr="00B353CD">
        <w:rPr>
          <w:rFonts w:ascii="Times New Roman" w:hAnsi="Times New Roman" w:cs="Times New Roman"/>
          <w:sz w:val="24"/>
          <w:szCs w:val="24"/>
        </w:rPr>
        <w:t xml:space="preserve"> and/or attainment of a recognized postsecondary credential</w:t>
      </w:r>
      <w:r w:rsidR="00AF012F" w:rsidRPr="00B353CD">
        <w:rPr>
          <w:rFonts w:ascii="Times New Roman" w:hAnsi="Times New Roman" w:cs="Times New Roman"/>
          <w:sz w:val="24"/>
          <w:szCs w:val="24"/>
        </w:rPr>
        <w:t xml:space="preserve">. </w:t>
      </w:r>
      <w:r w:rsidR="00070736">
        <w:rPr>
          <w:rFonts w:ascii="Times New Roman" w:hAnsi="Times New Roman" w:cs="Times New Roman"/>
          <w:sz w:val="24"/>
          <w:szCs w:val="24"/>
        </w:rPr>
        <w:t>A</w:t>
      </w:r>
      <w:r w:rsidRPr="00B353CD">
        <w:rPr>
          <w:rFonts w:ascii="Times New Roman" w:hAnsi="Times New Roman" w:cs="Times New Roman"/>
          <w:sz w:val="24"/>
          <w:szCs w:val="24"/>
        </w:rPr>
        <w:t xml:space="preserve">ttendance </w:t>
      </w:r>
      <w:r w:rsidR="00070736">
        <w:rPr>
          <w:rFonts w:ascii="Times New Roman" w:hAnsi="Times New Roman" w:cs="Times New Roman"/>
          <w:sz w:val="24"/>
          <w:szCs w:val="24"/>
        </w:rPr>
        <w:t>may be</w:t>
      </w:r>
      <w:r w:rsidRPr="00B353CD">
        <w:rPr>
          <w:rFonts w:ascii="Times New Roman" w:hAnsi="Times New Roman" w:cs="Times New Roman"/>
          <w:sz w:val="24"/>
          <w:szCs w:val="24"/>
        </w:rPr>
        <w:t xml:space="preserve"> </w:t>
      </w:r>
      <w:r w:rsidR="00070736">
        <w:rPr>
          <w:rFonts w:ascii="Times New Roman" w:hAnsi="Times New Roman" w:cs="Times New Roman"/>
          <w:sz w:val="24"/>
          <w:szCs w:val="24"/>
        </w:rPr>
        <w:t>tracked using class attendance logs, sign-in sheets, or other daily attendance documentation instead of recording the information on</w:t>
      </w:r>
      <w:r w:rsidRPr="00B353CD">
        <w:rPr>
          <w:rFonts w:ascii="Times New Roman" w:hAnsi="Times New Roman" w:cs="Times New Roman"/>
          <w:sz w:val="24"/>
          <w:szCs w:val="24"/>
        </w:rPr>
        <w:t xml:space="preserve"> the ASPD</w:t>
      </w:r>
      <w:r w:rsidR="00070736">
        <w:rPr>
          <w:rFonts w:ascii="Times New Roman" w:hAnsi="Times New Roman" w:cs="Times New Roman"/>
          <w:sz w:val="24"/>
          <w:szCs w:val="24"/>
        </w:rPr>
        <w:t xml:space="preserve">. In such cases, the documentation </w:t>
      </w:r>
      <w:r w:rsidR="00D07316">
        <w:rPr>
          <w:rFonts w:ascii="Times New Roman" w:hAnsi="Times New Roman" w:cs="Times New Roman"/>
          <w:sz w:val="24"/>
          <w:szCs w:val="24"/>
        </w:rPr>
        <w:t>does</w:t>
      </w:r>
      <w:r w:rsidRPr="00B353CD">
        <w:rPr>
          <w:rFonts w:ascii="Times New Roman" w:hAnsi="Times New Roman" w:cs="Times New Roman"/>
          <w:sz w:val="24"/>
          <w:szCs w:val="24"/>
        </w:rPr>
        <w:t xml:space="preserve"> not have to be stored in each student’s folder.</w:t>
      </w:r>
      <w:r w:rsidR="00653E63" w:rsidRPr="00B353CD">
        <w:rPr>
          <w:rFonts w:ascii="Times New Roman" w:hAnsi="Times New Roman" w:cs="Times New Roman"/>
          <w:sz w:val="24"/>
          <w:szCs w:val="24"/>
        </w:rPr>
        <w:t xml:space="preserve"> Also, if programs do not </w:t>
      </w:r>
      <w:r w:rsidR="00070736">
        <w:rPr>
          <w:rFonts w:ascii="Times New Roman" w:hAnsi="Times New Roman" w:cs="Times New Roman"/>
          <w:sz w:val="24"/>
          <w:szCs w:val="24"/>
        </w:rPr>
        <w:t>record</w:t>
      </w:r>
      <w:r w:rsidR="00653E63" w:rsidRPr="00B353CD">
        <w:rPr>
          <w:rFonts w:ascii="Times New Roman" w:hAnsi="Times New Roman" w:cs="Times New Roman"/>
          <w:sz w:val="24"/>
          <w:szCs w:val="24"/>
        </w:rPr>
        <w:t xml:space="preserve"> assessment results on the ASPD, they must maintain test</w:t>
      </w:r>
      <w:r w:rsidR="00F96EFD" w:rsidRPr="00B353CD">
        <w:rPr>
          <w:rFonts w:ascii="Times New Roman" w:hAnsi="Times New Roman" w:cs="Times New Roman"/>
          <w:sz w:val="24"/>
          <w:szCs w:val="24"/>
        </w:rPr>
        <w:t xml:space="preserve"> </w:t>
      </w:r>
      <w:r w:rsidR="00B4517C">
        <w:rPr>
          <w:rFonts w:ascii="Times New Roman" w:hAnsi="Times New Roman" w:cs="Times New Roman"/>
          <w:sz w:val="24"/>
          <w:szCs w:val="24"/>
        </w:rPr>
        <w:t xml:space="preserve">publisher </w:t>
      </w:r>
      <w:r w:rsidR="00F96EFD" w:rsidRPr="00B353CD">
        <w:rPr>
          <w:rFonts w:ascii="Times New Roman" w:hAnsi="Times New Roman" w:cs="Times New Roman"/>
          <w:sz w:val="24"/>
          <w:szCs w:val="24"/>
        </w:rPr>
        <w:t>documentation</w:t>
      </w:r>
      <w:r w:rsidR="00653E63" w:rsidRPr="00B353CD">
        <w:rPr>
          <w:rFonts w:ascii="Times New Roman" w:hAnsi="Times New Roman" w:cs="Times New Roman"/>
          <w:sz w:val="24"/>
          <w:szCs w:val="24"/>
        </w:rPr>
        <w:t xml:space="preserve"> </w:t>
      </w:r>
      <w:r w:rsidR="00F96EFD" w:rsidRPr="00B353CD">
        <w:rPr>
          <w:rFonts w:ascii="Times New Roman" w:hAnsi="Times New Roman" w:cs="Times New Roman"/>
          <w:sz w:val="24"/>
          <w:szCs w:val="24"/>
        </w:rPr>
        <w:t xml:space="preserve">in each student’s folder and the documentation must include all </w:t>
      </w:r>
      <w:r w:rsidR="00D07316">
        <w:rPr>
          <w:rFonts w:ascii="Times New Roman" w:hAnsi="Times New Roman" w:cs="Times New Roman"/>
          <w:sz w:val="24"/>
          <w:szCs w:val="24"/>
        </w:rPr>
        <w:t xml:space="preserve">test information </w:t>
      </w:r>
      <w:r w:rsidR="00070736">
        <w:rPr>
          <w:rFonts w:ascii="Times New Roman" w:hAnsi="Times New Roman" w:cs="Times New Roman"/>
          <w:sz w:val="24"/>
          <w:szCs w:val="24"/>
        </w:rPr>
        <w:t>required</w:t>
      </w:r>
      <w:r w:rsidR="00F96EFD" w:rsidRPr="00B353CD">
        <w:rPr>
          <w:rFonts w:ascii="Times New Roman" w:hAnsi="Times New Roman" w:cs="Times New Roman"/>
          <w:sz w:val="24"/>
          <w:szCs w:val="24"/>
        </w:rPr>
        <w:t xml:space="preserve"> on the ASPD.</w:t>
      </w:r>
    </w:p>
    <w:p w14:paraId="31494AEA" w14:textId="1163BE56" w:rsidR="00B87CCC" w:rsidRPr="00B353CD" w:rsidRDefault="00B87CCC" w:rsidP="00B353CD">
      <w:pPr>
        <w:pStyle w:val="ListParagraph"/>
        <w:numPr>
          <w:ilvl w:val="1"/>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S</w:t>
      </w:r>
      <w:r w:rsidR="002A478A" w:rsidRPr="00B353CD">
        <w:rPr>
          <w:rFonts w:ascii="Times New Roman" w:hAnsi="Times New Roman" w:cs="Times New Roman"/>
          <w:sz w:val="24"/>
          <w:szCs w:val="24"/>
        </w:rPr>
        <w:t xml:space="preserve">taff Information </w:t>
      </w:r>
      <w:r w:rsidRPr="00B353CD">
        <w:rPr>
          <w:rFonts w:ascii="Times New Roman" w:hAnsi="Times New Roman" w:cs="Times New Roman"/>
          <w:sz w:val="24"/>
          <w:szCs w:val="24"/>
        </w:rPr>
        <w:t>– Active staff in</w:t>
      </w:r>
      <w:r w:rsidR="004E0015">
        <w:rPr>
          <w:rFonts w:ascii="Times New Roman" w:hAnsi="Times New Roman" w:cs="Times New Roman"/>
          <w:sz w:val="24"/>
          <w:szCs w:val="24"/>
        </w:rPr>
        <w:t xml:space="preserve"> </w:t>
      </w:r>
      <w:r w:rsidR="00C05F0F">
        <w:rPr>
          <w:rFonts w:ascii="Times New Roman" w:hAnsi="Times New Roman" w:cs="Times New Roman"/>
          <w:sz w:val="24"/>
          <w:szCs w:val="24"/>
        </w:rPr>
        <w:t>2022-2023</w:t>
      </w:r>
      <w:r w:rsidR="00C12557">
        <w:rPr>
          <w:rFonts w:ascii="Times New Roman" w:hAnsi="Times New Roman" w:cs="Times New Roman"/>
          <w:sz w:val="24"/>
          <w:szCs w:val="24"/>
        </w:rPr>
        <w:t xml:space="preserve"> </w:t>
      </w:r>
      <w:r w:rsidRPr="00B353CD">
        <w:rPr>
          <w:rFonts w:ascii="Times New Roman" w:hAnsi="Times New Roman" w:cs="Times New Roman"/>
          <w:sz w:val="24"/>
          <w:szCs w:val="24"/>
        </w:rPr>
        <w:t>should have a</w:t>
      </w:r>
      <w:r w:rsidR="004E0015">
        <w:rPr>
          <w:rFonts w:ascii="Times New Roman" w:hAnsi="Times New Roman" w:cs="Times New Roman"/>
          <w:sz w:val="24"/>
          <w:szCs w:val="24"/>
        </w:rPr>
        <w:t xml:space="preserve"> </w:t>
      </w:r>
      <w:r w:rsidR="00C05F0F">
        <w:rPr>
          <w:rFonts w:ascii="Times New Roman" w:hAnsi="Times New Roman" w:cs="Times New Roman"/>
          <w:sz w:val="24"/>
          <w:szCs w:val="24"/>
        </w:rPr>
        <w:t>2022-2023</w:t>
      </w:r>
      <w:r w:rsidR="00C12557">
        <w:rPr>
          <w:rFonts w:ascii="Times New Roman" w:hAnsi="Times New Roman" w:cs="Times New Roman"/>
          <w:sz w:val="24"/>
          <w:szCs w:val="24"/>
        </w:rPr>
        <w:t xml:space="preserve"> </w:t>
      </w:r>
      <w:r w:rsidRPr="00B353CD">
        <w:rPr>
          <w:rFonts w:ascii="Times New Roman" w:hAnsi="Times New Roman" w:cs="Times New Roman"/>
          <w:sz w:val="24"/>
          <w:szCs w:val="24"/>
        </w:rPr>
        <w:t xml:space="preserve">employment history recorded in SSWS. </w:t>
      </w:r>
      <w:r w:rsidR="00360F07">
        <w:rPr>
          <w:rFonts w:ascii="Times New Roman" w:hAnsi="Times New Roman" w:cs="Times New Roman"/>
          <w:sz w:val="24"/>
          <w:szCs w:val="24"/>
        </w:rPr>
        <w:t>If staff administered assessments in</w:t>
      </w:r>
      <w:r w:rsidR="004E0015">
        <w:rPr>
          <w:rFonts w:ascii="Times New Roman" w:hAnsi="Times New Roman" w:cs="Times New Roman"/>
          <w:sz w:val="24"/>
          <w:szCs w:val="24"/>
        </w:rPr>
        <w:t xml:space="preserve"> </w:t>
      </w:r>
      <w:r w:rsidR="00C05F0F">
        <w:rPr>
          <w:rFonts w:ascii="Times New Roman" w:hAnsi="Times New Roman" w:cs="Times New Roman"/>
          <w:sz w:val="24"/>
          <w:szCs w:val="24"/>
        </w:rPr>
        <w:t>2022-2023</w:t>
      </w:r>
      <w:r w:rsidR="00360F07">
        <w:rPr>
          <w:rFonts w:ascii="Times New Roman" w:hAnsi="Times New Roman" w:cs="Times New Roman"/>
          <w:sz w:val="24"/>
          <w:szCs w:val="24"/>
        </w:rPr>
        <w:t>, s</w:t>
      </w:r>
      <w:r w:rsidR="002A478A" w:rsidRPr="00B353CD">
        <w:rPr>
          <w:rFonts w:ascii="Times New Roman" w:hAnsi="Times New Roman" w:cs="Times New Roman"/>
          <w:sz w:val="24"/>
          <w:szCs w:val="24"/>
        </w:rPr>
        <w:t>taff</w:t>
      </w:r>
      <w:r w:rsidR="0049787F" w:rsidRPr="00B353CD">
        <w:rPr>
          <w:rFonts w:ascii="Times New Roman" w:hAnsi="Times New Roman" w:cs="Times New Roman"/>
          <w:sz w:val="24"/>
          <w:szCs w:val="24"/>
        </w:rPr>
        <w:t xml:space="preserve"> </w:t>
      </w:r>
      <w:r w:rsidRPr="00B353CD">
        <w:rPr>
          <w:rFonts w:ascii="Times New Roman" w:hAnsi="Times New Roman" w:cs="Times New Roman"/>
          <w:sz w:val="24"/>
          <w:szCs w:val="24"/>
        </w:rPr>
        <w:t xml:space="preserve">should </w:t>
      </w:r>
      <w:r w:rsidR="0049787F" w:rsidRPr="00B353CD">
        <w:rPr>
          <w:rFonts w:ascii="Times New Roman" w:hAnsi="Times New Roman" w:cs="Times New Roman"/>
          <w:sz w:val="24"/>
          <w:szCs w:val="24"/>
        </w:rPr>
        <w:t xml:space="preserve">also </w:t>
      </w:r>
      <w:r w:rsidR="002A478A" w:rsidRPr="00B353CD">
        <w:rPr>
          <w:rFonts w:ascii="Times New Roman" w:hAnsi="Times New Roman" w:cs="Times New Roman"/>
          <w:sz w:val="24"/>
          <w:szCs w:val="24"/>
        </w:rPr>
        <w:t>hav</w:t>
      </w:r>
      <w:r w:rsidRPr="00B353CD">
        <w:rPr>
          <w:rFonts w:ascii="Times New Roman" w:hAnsi="Times New Roman" w:cs="Times New Roman"/>
          <w:sz w:val="24"/>
          <w:szCs w:val="24"/>
        </w:rPr>
        <w:t>e a current test publisher certification</w:t>
      </w:r>
      <w:r w:rsidR="00360F07">
        <w:rPr>
          <w:rFonts w:ascii="Times New Roman" w:hAnsi="Times New Roman" w:cs="Times New Roman"/>
          <w:sz w:val="24"/>
          <w:szCs w:val="24"/>
        </w:rPr>
        <w:t xml:space="preserve"> (within the last two calendar years of the date of the assessment)</w:t>
      </w:r>
      <w:r w:rsidR="00C12557">
        <w:rPr>
          <w:rFonts w:ascii="Times New Roman" w:hAnsi="Times New Roman" w:cs="Times New Roman"/>
          <w:sz w:val="24"/>
          <w:szCs w:val="24"/>
        </w:rPr>
        <w:t>.</w:t>
      </w:r>
    </w:p>
    <w:p w14:paraId="44A44AEA" w14:textId="33C7EE2A" w:rsidR="005850C4" w:rsidRPr="00855FBA" w:rsidRDefault="00D07316" w:rsidP="00855FBA">
      <w:pPr>
        <w:pStyle w:val="ListParagraph"/>
        <w:numPr>
          <w:ilvl w:val="1"/>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Data Entry</w:t>
      </w:r>
      <w:r w:rsidR="00A94ACC">
        <w:rPr>
          <w:rFonts w:ascii="Times New Roman" w:hAnsi="Times New Roman" w:cs="Times New Roman"/>
          <w:sz w:val="24"/>
          <w:szCs w:val="24"/>
        </w:rPr>
        <w:t xml:space="preserve"> Accuracy </w:t>
      </w:r>
      <w:r w:rsidR="00FF1226" w:rsidRPr="00B353CD">
        <w:rPr>
          <w:rFonts w:ascii="Times New Roman" w:hAnsi="Times New Roman" w:cs="Times New Roman"/>
          <w:sz w:val="24"/>
          <w:szCs w:val="24"/>
        </w:rPr>
        <w:t>–</w:t>
      </w:r>
      <w:r w:rsidR="00E33BE4" w:rsidRPr="00B353CD">
        <w:rPr>
          <w:rFonts w:ascii="Times New Roman" w:hAnsi="Times New Roman" w:cs="Times New Roman"/>
          <w:sz w:val="24"/>
          <w:szCs w:val="24"/>
        </w:rPr>
        <w:t xml:space="preserve"> </w:t>
      </w:r>
      <w:r w:rsidR="00444A59" w:rsidRPr="00B353CD">
        <w:rPr>
          <w:rFonts w:ascii="Times New Roman" w:hAnsi="Times New Roman" w:cs="Times New Roman"/>
          <w:sz w:val="24"/>
          <w:szCs w:val="24"/>
        </w:rPr>
        <w:t xml:space="preserve">Programs </w:t>
      </w:r>
      <w:r w:rsidR="00444A59">
        <w:rPr>
          <w:rFonts w:ascii="Times New Roman" w:hAnsi="Times New Roman" w:cs="Times New Roman"/>
          <w:sz w:val="24"/>
          <w:szCs w:val="24"/>
        </w:rPr>
        <w:t xml:space="preserve">are </w:t>
      </w:r>
      <w:r w:rsidR="00444A59" w:rsidRPr="00B353CD">
        <w:rPr>
          <w:rFonts w:ascii="Times New Roman" w:hAnsi="Times New Roman" w:cs="Times New Roman"/>
          <w:sz w:val="24"/>
          <w:szCs w:val="24"/>
        </w:rPr>
        <w:t>responsible</w:t>
      </w:r>
      <w:r w:rsidR="00444A59">
        <w:rPr>
          <w:rFonts w:ascii="Times New Roman" w:hAnsi="Times New Roman" w:cs="Times New Roman"/>
          <w:sz w:val="24"/>
          <w:szCs w:val="24"/>
        </w:rPr>
        <w:t xml:space="preserve"> for ensuring that </w:t>
      </w:r>
      <w:r w:rsidR="00A94ACC">
        <w:rPr>
          <w:rFonts w:ascii="Times New Roman" w:hAnsi="Times New Roman" w:cs="Times New Roman"/>
          <w:sz w:val="24"/>
          <w:szCs w:val="24"/>
        </w:rPr>
        <w:t>all</w:t>
      </w:r>
      <w:r w:rsidR="00444A59">
        <w:rPr>
          <w:rFonts w:ascii="Times New Roman" w:hAnsi="Times New Roman" w:cs="Times New Roman"/>
          <w:sz w:val="24"/>
          <w:szCs w:val="24"/>
        </w:rPr>
        <w:t xml:space="preserve"> data </w:t>
      </w:r>
      <w:r w:rsidR="00A94ACC">
        <w:rPr>
          <w:rFonts w:ascii="Times New Roman" w:hAnsi="Times New Roman" w:cs="Times New Roman"/>
          <w:sz w:val="24"/>
          <w:szCs w:val="24"/>
        </w:rPr>
        <w:t>entered in SSWS</w:t>
      </w:r>
      <w:r w:rsidR="00444A59" w:rsidRPr="00B353CD">
        <w:rPr>
          <w:rFonts w:ascii="Times New Roman" w:hAnsi="Times New Roman" w:cs="Times New Roman"/>
          <w:sz w:val="24"/>
          <w:szCs w:val="24"/>
        </w:rPr>
        <w:t xml:space="preserve"> </w:t>
      </w:r>
      <w:r w:rsidR="00444A59">
        <w:rPr>
          <w:rFonts w:ascii="Times New Roman" w:hAnsi="Times New Roman" w:cs="Times New Roman"/>
          <w:sz w:val="24"/>
          <w:szCs w:val="24"/>
        </w:rPr>
        <w:t>accurate</w:t>
      </w:r>
      <w:r w:rsidR="00A94ACC">
        <w:rPr>
          <w:rFonts w:ascii="Times New Roman" w:hAnsi="Times New Roman" w:cs="Times New Roman"/>
          <w:sz w:val="24"/>
          <w:szCs w:val="24"/>
        </w:rPr>
        <w:t>ly represents their adult education activities</w:t>
      </w:r>
      <w:r w:rsidR="00444A59">
        <w:rPr>
          <w:rFonts w:ascii="Times New Roman" w:hAnsi="Times New Roman" w:cs="Times New Roman"/>
          <w:sz w:val="24"/>
          <w:szCs w:val="24"/>
        </w:rPr>
        <w:t xml:space="preserve"> and </w:t>
      </w:r>
      <w:r w:rsidR="00A94ACC">
        <w:rPr>
          <w:rFonts w:ascii="Times New Roman" w:hAnsi="Times New Roman" w:cs="Times New Roman"/>
          <w:sz w:val="24"/>
          <w:szCs w:val="24"/>
        </w:rPr>
        <w:t xml:space="preserve">is </w:t>
      </w:r>
      <w:r w:rsidR="00444A59" w:rsidRPr="00B353CD">
        <w:rPr>
          <w:rFonts w:ascii="Times New Roman" w:hAnsi="Times New Roman" w:cs="Times New Roman"/>
          <w:sz w:val="24"/>
          <w:szCs w:val="24"/>
        </w:rPr>
        <w:t>error-free.</w:t>
      </w:r>
      <w:r w:rsidR="00444A59">
        <w:rPr>
          <w:rFonts w:ascii="Times New Roman" w:hAnsi="Times New Roman" w:cs="Times New Roman"/>
          <w:sz w:val="24"/>
          <w:szCs w:val="24"/>
        </w:rPr>
        <w:t xml:space="preserve"> </w:t>
      </w:r>
      <w:r w:rsidR="00A94ACC">
        <w:rPr>
          <w:rFonts w:ascii="Times New Roman" w:hAnsi="Times New Roman" w:cs="Times New Roman"/>
          <w:sz w:val="24"/>
          <w:szCs w:val="24"/>
        </w:rPr>
        <w:t xml:space="preserve">Specific guidance for entering data and ensuring reporting accuracy is presented in Sections 2 through 10 below. </w:t>
      </w:r>
      <w:r w:rsidR="001F5860">
        <w:rPr>
          <w:rFonts w:ascii="Times New Roman" w:hAnsi="Times New Roman" w:cs="Times New Roman"/>
          <w:sz w:val="24"/>
          <w:szCs w:val="24"/>
        </w:rPr>
        <w:t>Q</w:t>
      </w:r>
      <w:r w:rsidR="00A94ACC">
        <w:rPr>
          <w:rFonts w:ascii="Times New Roman" w:hAnsi="Times New Roman" w:cs="Times New Roman"/>
          <w:sz w:val="24"/>
          <w:szCs w:val="24"/>
        </w:rPr>
        <w:t xml:space="preserve">uestions about data entry topics not included in </w:t>
      </w:r>
      <w:r w:rsidR="001F5860">
        <w:rPr>
          <w:rFonts w:ascii="Times New Roman" w:hAnsi="Times New Roman" w:cs="Times New Roman"/>
          <w:sz w:val="24"/>
          <w:szCs w:val="24"/>
        </w:rPr>
        <w:t>this document should be addressed to the state office.</w:t>
      </w:r>
      <w:r w:rsidR="00360F07">
        <w:rPr>
          <w:rFonts w:ascii="Times New Roman" w:hAnsi="Times New Roman" w:cs="Times New Roman"/>
          <w:sz w:val="24"/>
          <w:szCs w:val="24"/>
        </w:rPr>
        <w:t xml:space="preserve"> </w:t>
      </w:r>
      <w:r w:rsidR="00444A59" w:rsidRPr="00855FBA">
        <w:rPr>
          <w:rFonts w:ascii="Times New Roman" w:hAnsi="Times New Roman" w:cs="Times New Roman"/>
          <w:bCs/>
          <w:sz w:val="24"/>
          <w:szCs w:val="24"/>
        </w:rPr>
        <w:t xml:space="preserve"> </w:t>
      </w:r>
      <w:r w:rsidR="005850C4" w:rsidRPr="00855FBA">
        <w:rPr>
          <w:rFonts w:ascii="Times New Roman" w:hAnsi="Times New Roman" w:cs="Times New Roman"/>
          <w:sz w:val="24"/>
          <w:szCs w:val="24"/>
        </w:rPr>
        <w:t xml:space="preserve"> </w:t>
      </w:r>
    </w:p>
    <w:p w14:paraId="6007170D" w14:textId="733AD65D" w:rsidR="007E126C" w:rsidRPr="00B353CD" w:rsidRDefault="007E126C" w:rsidP="00B353CD">
      <w:pPr>
        <w:pStyle w:val="Heading2"/>
        <w:numPr>
          <w:ilvl w:val="0"/>
          <w:numId w:val="10"/>
        </w:numPr>
        <w:spacing w:before="0" w:after="120" w:line="240" w:lineRule="auto"/>
        <w:rPr>
          <w:rFonts w:ascii="Times New Roman" w:hAnsi="Times New Roman" w:cs="Times New Roman"/>
          <w:color w:val="auto"/>
        </w:rPr>
      </w:pPr>
      <w:bookmarkStart w:id="2" w:name="_Toc105689112"/>
      <w:r w:rsidRPr="00B353CD">
        <w:rPr>
          <w:rFonts w:ascii="Times New Roman" w:hAnsi="Times New Roman" w:cs="Times New Roman"/>
          <w:color w:val="auto"/>
        </w:rPr>
        <w:t>Student Demographics</w:t>
      </w:r>
      <w:bookmarkEnd w:id="2"/>
      <w:r w:rsidR="00AF012F" w:rsidRPr="00B353CD">
        <w:rPr>
          <w:rFonts w:ascii="Times New Roman" w:hAnsi="Times New Roman" w:cs="Times New Roman"/>
          <w:color w:val="auto"/>
        </w:rPr>
        <w:t xml:space="preserve"> </w:t>
      </w:r>
    </w:p>
    <w:p w14:paraId="0B0C3B59" w14:textId="24C515EA" w:rsidR="007E126C" w:rsidRPr="00B353CD" w:rsidRDefault="007E126C" w:rsidP="00B353CD">
      <w:pPr>
        <w:pStyle w:val="ListParagraph"/>
        <w:numPr>
          <w:ilvl w:val="1"/>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All items </w:t>
      </w:r>
      <w:r w:rsidR="001F5860">
        <w:rPr>
          <w:rFonts w:ascii="Times New Roman" w:hAnsi="Times New Roman" w:cs="Times New Roman"/>
          <w:sz w:val="24"/>
          <w:szCs w:val="24"/>
        </w:rPr>
        <w:t xml:space="preserve">in SSWS </w:t>
      </w:r>
      <w:r w:rsidRPr="00B353CD">
        <w:rPr>
          <w:rFonts w:ascii="Times New Roman" w:hAnsi="Times New Roman" w:cs="Times New Roman"/>
          <w:sz w:val="24"/>
          <w:szCs w:val="24"/>
        </w:rPr>
        <w:t>with an asterisk must be completed.</w:t>
      </w:r>
    </w:p>
    <w:p w14:paraId="212885AC" w14:textId="77777777" w:rsidR="001F5860" w:rsidRDefault="007E126C" w:rsidP="00B353CD">
      <w:pPr>
        <w:pStyle w:val="ListParagraph"/>
        <w:numPr>
          <w:ilvl w:val="1"/>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Intake Date – </w:t>
      </w:r>
    </w:p>
    <w:p w14:paraId="6F4D6ED7" w14:textId="37E6827B" w:rsidR="007E126C" w:rsidRDefault="007E126C" w:rsidP="001F5860">
      <w:pPr>
        <w:pStyle w:val="ListParagraph"/>
        <w:numPr>
          <w:ilvl w:val="2"/>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Make sure that the “Intake Date” in SSWS represents the </w:t>
      </w:r>
      <w:r w:rsidR="002108AA">
        <w:rPr>
          <w:rFonts w:ascii="Times New Roman" w:hAnsi="Times New Roman" w:cs="Times New Roman"/>
          <w:sz w:val="24"/>
          <w:szCs w:val="24"/>
        </w:rPr>
        <w:t xml:space="preserve">student’s </w:t>
      </w:r>
      <w:r w:rsidRPr="00B353CD">
        <w:rPr>
          <w:rFonts w:ascii="Times New Roman" w:hAnsi="Times New Roman" w:cs="Times New Roman"/>
          <w:sz w:val="24"/>
          <w:szCs w:val="24"/>
        </w:rPr>
        <w:t>first intake or registration date of the</w:t>
      </w:r>
      <w:r w:rsidR="004E0015">
        <w:rPr>
          <w:rFonts w:ascii="Times New Roman" w:hAnsi="Times New Roman" w:cs="Times New Roman"/>
          <w:sz w:val="24"/>
          <w:szCs w:val="24"/>
        </w:rPr>
        <w:t xml:space="preserve"> </w:t>
      </w:r>
      <w:r w:rsidR="00C05F0F">
        <w:rPr>
          <w:rFonts w:ascii="Times New Roman" w:hAnsi="Times New Roman" w:cs="Times New Roman"/>
          <w:sz w:val="24"/>
          <w:szCs w:val="24"/>
        </w:rPr>
        <w:t>2022-2023</w:t>
      </w:r>
      <w:r w:rsidR="00C12557">
        <w:rPr>
          <w:rFonts w:ascii="Times New Roman" w:hAnsi="Times New Roman" w:cs="Times New Roman"/>
          <w:sz w:val="24"/>
          <w:szCs w:val="24"/>
        </w:rPr>
        <w:t xml:space="preserve"> </w:t>
      </w:r>
      <w:r w:rsidRPr="00B353CD">
        <w:rPr>
          <w:rFonts w:ascii="Times New Roman" w:hAnsi="Times New Roman" w:cs="Times New Roman"/>
          <w:sz w:val="24"/>
          <w:szCs w:val="24"/>
        </w:rPr>
        <w:t>program year</w:t>
      </w:r>
      <w:r w:rsidR="00AF012F" w:rsidRPr="00B353CD">
        <w:rPr>
          <w:rFonts w:ascii="Times New Roman" w:hAnsi="Times New Roman" w:cs="Times New Roman"/>
          <w:sz w:val="24"/>
          <w:szCs w:val="24"/>
        </w:rPr>
        <w:t xml:space="preserve">. </w:t>
      </w:r>
      <w:r w:rsidR="00060A81" w:rsidRPr="00B353CD">
        <w:rPr>
          <w:rFonts w:ascii="Times New Roman" w:hAnsi="Times New Roman" w:cs="Times New Roman"/>
          <w:sz w:val="24"/>
          <w:szCs w:val="24"/>
        </w:rPr>
        <w:t>I</w:t>
      </w:r>
      <w:r w:rsidRPr="00B353CD">
        <w:rPr>
          <w:rFonts w:ascii="Times New Roman" w:hAnsi="Times New Roman" w:cs="Times New Roman"/>
          <w:sz w:val="24"/>
          <w:szCs w:val="24"/>
        </w:rPr>
        <w:t>f a student had more than one enrollment in</w:t>
      </w:r>
      <w:r w:rsidR="004E0015">
        <w:rPr>
          <w:rFonts w:ascii="Times New Roman" w:hAnsi="Times New Roman" w:cs="Times New Roman"/>
          <w:sz w:val="24"/>
          <w:szCs w:val="24"/>
        </w:rPr>
        <w:t xml:space="preserve"> </w:t>
      </w:r>
      <w:r w:rsidR="00C05F0F">
        <w:rPr>
          <w:rFonts w:ascii="Times New Roman" w:hAnsi="Times New Roman" w:cs="Times New Roman"/>
          <w:sz w:val="24"/>
          <w:szCs w:val="24"/>
        </w:rPr>
        <w:t>2022-2023</w:t>
      </w:r>
      <w:r w:rsidR="00C12557">
        <w:rPr>
          <w:rFonts w:ascii="Times New Roman" w:hAnsi="Times New Roman" w:cs="Times New Roman"/>
          <w:sz w:val="24"/>
          <w:szCs w:val="24"/>
        </w:rPr>
        <w:t>,</w:t>
      </w:r>
      <w:r w:rsidRPr="00B353CD">
        <w:rPr>
          <w:rFonts w:ascii="Times New Roman" w:hAnsi="Times New Roman" w:cs="Times New Roman"/>
          <w:sz w:val="24"/>
          <w:szCs w:val="24"/>
        </w:rPr>
        <w:t xml:space="preserve"> </w:t>
      </w:r>
      <w:r w:rsidR="0081031A">
        <w:rPr>
          <w:rFonts w:ascii="Times New Roman" w:hAnsi="Times New Roman" w:cs="Times New Roman"/>
          <w:sz w:val="24"/>
          <w:szCs w:val="24"/>
        </w:rPr>
        <w:t xml:space="preserve">do not update the “Intake Date” </w:t>
      </w:r>
      <w:r w:rsidR="0081031A">
        <w:rPr>
          <w:rFonts w:ascii="Times New Roman" w:hAnsi="Times New Roman" w:cs="Times New Roman"/>
          <w:sz w:val="24"/>
          <w:szCs w:val="24"/>
        </w:rPr>
        <w:lastRenderedPageBreak/>
        <w:t xml:space="preserve">to </w:t>
      </w:r>
      <w:r w:rsidR="00D368E7">
        <w:rPr>
          <w:rFonts w:ascii="Times New Roman" w:hAnsi="Times New Roman" w:cs="Times New Roman"/>
          <w:sz w:val="24"/>
          <w:szCs w:val="24"/>
        </w:rPr>
        <w:t>a</w:t>
      </w:r>
      <w:r w:rsidR="0081031A">
        <w:rPr>
          <w:rFonts w:ascii="Times New Roman" w:hAnsi="Times New Roman" w:cs="Times New Roman"/>
          <w:sz w:val="24"/>
          <w:szCs w:val="24"/>
        </w:rPr>
        <w:t xml:space="preserve"> later</w:t>
      </w:r>
      <w:r w:rsidRPr="00B353CD">
        <w:rPr>
          <w:rFonts w:ascii="Times New Roman" w:hAnsi="Times New Roman" w:cs="Times New Roman"/>
          <w:sz w:val="24"/>
          <w:szCs w:val="24"/>
        </w:rPr>
        <w:t xml:space="preserve"> date</w:t>
      </w:r>
      <w:r w:rsidR="0081031A">
        <w:rPr>
          <w:rFonts w:ascii="Times New Roman" w:hAnsi="Times New Roman" w:cs="Times New Roman"/>
          <w:sz w:val="24"/>
          <w:szCs w:val="24"/>
        </w:rPr>
        <w:t>. Otherwise</w:t>
      </w:r>
      <w:r w:rsidRPr="00B353CD">
        <w:rPr>
          <w:rFonts w:ascii="Times New Roman" w:hAnsi="Times New Roman" w:cs="Times New Roman"/>
          <w:sz w:val="24"/>
          <w:szCs w:val="24"/>
        </w:rPr>
        <w:t>, activities prior to the later date</w:t>
      </w:r>
      <w:r w:rsidR="0081031A">
        <w:rPr>
          <w:rFonts w:ascii="Times New Roman" w:hAnsi="Times New Roman" w:cs="Times New Roman"/>
          <w:sz w:val="24"/>
          <w:szCs w:val="24"/>
        </w:rPr>
        <w:t>, including any MSGs</w:t>
      </w:r>
      <w:r w:rsidR="00D368E7">
        <w:rPr>
          <w:rFonts w:ascii="Times New Roman" w:hAnsi="Times New Roman" w:cs="Times New Roman"/>
          <w:sz w:val="24"/>
          <w:szCs w:val="24"/>
        </w:rPr>
        <w:t xml:space="preserve"> earned</w:t>
      </w:r>
      <w:r w:rsidR="0081031A">
        <w:rPr>
          <w:rFonts w:ascii="Times New Roman" w:hAnsi="Times New Roman" w:cs="Times New Roman"/>
          <w:sz w:val="24"/>
          <w:szCs w:val="24"/>
        </w:rPr>
        <w:t>,</w:t>
      </w:r>
      <w:r w:rsidRPr="00B353CD">
        <w:rPr>
          <w:rFonts w:ascii="Times New Roman" w:hAnsi="Times New Roman" w:cs="Times New Roman"/>
          <w:sz w:val="24"/>
          <w:szCs w:val="24"/>
        </w:rPr>
        <w:t xml:space="preserve"> will not be reported.</w:t>
      </w:r>
    </w:p>
    <w:p w14:paraId="5E87557E" w14:textId="7C7BE043" w:rsidR="001F5860" w:rsidRPr="00B353CD" w:rsidRDefault="001F5860" w:rsidP="001F5860">
      <w:pPr>
        <w:pStyle w:val="ListParagraph"/>
        <w:numPr>
          <w:ilvl w:val="2"/>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For students that are continuing their adult education from 2021-2022 to 2022-2023, programs may designate the </w:t>
      </w:r>
      <w:proofErr w:type="gramStart"/>
      <w:r>
        <w:rPr>
          <w:rFonts w:ascii="Times New Roman" w:hAnsi="Times New Roman" w:cs="Times New Roman"/>
          <w:sz w:val="24"/>
          <w:szCs w:val="24"/>
        </w:rPr>
        <w:t>first class</w:t>
      </w:r>
      <w:proofErr w:type="gramEnd"/>
      <w:r>
        <w:rPr>
          <w:rFonts w:ascii="Times New Roman" w:hAnsi="Times New Roman" w:cs="Times New Roman"/>
          <w:sz w:val="24"/>
          <w:szCs w:val="24"/>
        </w:rPr>
        <w:t xml:space="preserve"> date in 2022-2023 as the intake date for 2022-2023.</w:t>
      </w:r>
    </w:p>
    <w:p w14:paraId="1869165A" w14:textId="1223EDFC" w:rsidR="00E54391" w:rsidRDefault="007E126C" w:rsidP="00E54391">
      <w:pPr>
        <w:pStyle w:val="ListParagraph"/>
        <w:numPr>
          <w:ilvl w:val="1"/>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Social Security Number</w:t>
      </w:r>
      <w:r w:rsidR="00945363" w:rsidRPr="00B353CD">
        <w:rPr>
          <w:rFonts w:ascii="Times New Roman" w:hAnsi="Times New Roman" w:cs="Times New Roman"/>
          <w:sz w:val="24"/>
          <w:szCs w:val="24"/>
        </w:rPr>
        <w:t xml:space="preserve"> (SSN)</w:t>
      </w:r>
      <w:r w:rsidRPr="00B353CD">
        <w:rPr>
          <w:rFonts w:ascii="Times New Roman" w:hAnsi="Times New Roman" w:cs="Times New Roman"/>
          <w:sz w:val="24"/>
          <w:szCs w:val="24"/>
        </w:rPr>
        <w:t xml:space="preserve"> – While “Social Security N</w:t>
      </w:r>
      <w:r w:rsidR="00392E46" w:rsidRPr="00B353CD">
        <w:rPr>
          <w:rFonts w:ascii="Times New Roman" w:hAnsi="Times New Roman" w:cs="Times New Roman"/>
          <w:sz w:val="24"/>
          <w:szCs w:val="24"/>
        </w:rPr>
        <w:t xml:space="preserve">umber” is not a required item, </w:t>
      </w:r>
      <w:r w:rsidRPr="00B353CD">
        <w:rPr>
          <w:rFonts w:ascii="Times New Roman" w:hAnsi="Times New Roman" w:cs="Times New Roman"/>
          <w:sz w:val="24"/>
          <w:szCs w:val="24"/>
        </w:rPr>
        <w:t xml:space="preserve">it is </w:t>
      </w:r>
      <w:r w:rsidR="00945363" w:rsidRPr="00B353CD">
        <w:rPr>
          <w:rFonts w:ascii="Times New Roman" w:hAnsi="Times New Roman" w:cs="Times New Roman"/>
          <w:sz w:val="24"/>
          <w:szCs w:val="24"/>
        </w:rPr>
        <w:t>critical</w:t>
      </w:r>
      <w:r w:rsidRPr="00B353CD">
        <w:rPr>
          <w:rFonts w:ascii="Times New Roman" w:hAnsi="Times New Roman" w:cs="Times New Roman"/>
          <w:sz w:val="24"/>
          <w:szCs w:val="24"/>
        </w:rPr>
        <w:t xml:space="preserve"> that </w:t>
      </w:r>
      <w:r w:rsidR="00E52671">
        <w:rPr>
          <w:rFonts w:ascii="Times New Roman" w:hAnsi="Times New Roman" w:cs="Times New Roman"/>
          <w:sz w:val="24"/>
          <w:szCs w:val="24"/>
        </w:rPr>
        <w:t xml:space="preserve">if a student provides </w:t>
      </w:r>
      <w:r w:rsidR="001F5860">
        <w:rPr>
          <w:rFonts w:ascii="Times New Roman" w:hAnsi="Times New Roman" w:cs="Times New Roman"/>
          <w:sz w:val="24"/>
          <w:szCs w:val="24"/>
        </w:rPr>
        <w:t>a</w:t>
      </w:r>
      <w:r w:rsidR="00E52671">
        <w:rPr>
          <w:rFonts w:ascii="Times New Roman" w:hAnsi="Times New Roman" w:cs="Times New Roman"/>
          <w:sz w:val="24"/>
          <w:szCs w:val="24"/>
        </w:rPr>
        <w:t xml:space="preserve"> social security number on the ASPD, that the information </w:t>
      </w:r>
      <w:r w:rsidRPr="00B353CD">
        <w:rPr>
          <w:rFonts w:ascii="Times New Roman" w:hAnsi="Times New Roman" w:cs="Times New Roman"/>
          <w:sz w:val="24"/>
          <w:szCs w:val="24"/>
        </w:rPr>
        <w:t xml:space="preserve">is </w:t>
      </w:r>
      <w:r w:rsidR="00945363" w:rsidRPr="00B353CD">
        <w:rPr>
          <w:rFonts w:ascii="Times New Roman" w:hAnsi="Times New Roman" w:cs="Times New Roman"/>
          <w:sz w:val="24"/>
          <w:szCs w:val="24"/>
        </w:rPr>
        <w:t>entered</w:t>
      </w:r>
      <w:r w:rsidRPr="00B353CD">
        <w:rPr>
          <w:rFonts w:ascii="Times New Roman" w:hAnsi="Times New Roman" w:cs="Times New Roman"/>
          <w:sz w:val="24"/>
          <w:szCs w:val="24"/>
        </w:rPr>
        <w:t xml:space="preserve"> in SSWS</w:t>
      </w:r>
      <w:r w:rsidR="00E52671">
        <w:rPr>
          <w:rFonts w:ascii="Times New Roman" w:hAnsi="Times New Roman" w:cs="Times New Roman"/>
          <w:sz w:val="24"/>
          <w:szCs w:val="24"/>
        </w:rPr>
        <w:t>.</w:t>
      </w:r>
      <w:r w:rsidR="00945363" w:rsidRPr="00B353CD">
        <w:rPr>
          <w:rFonts w:ascii="Times New Roman" w:hAnsi="Times New Roman" w:cs="Times New Roman"/>
          <w:sz w:val="24"/>
          <w:szCs w:val="24"/>
        </w:rPr>
        <w:t xml:space="preserve"> </w:t>
      </w:r>
      <w:r w:rsidR="00E52671">
        <w:rPr>
          <w:rFonts w:ascii="Times New Roman" w:hAnsi="Times New Roman" w:cs="Times New Roman"/>
          <w:sz w:val="24"/>
          <w:szCs w:val="24"/>
        </w:rPr>
        <w:t xml:space="preserve">SSNs are used to determine whether a student’s activity after leaving an adult education program may be recognized as a follow-up outcome gain towards the state’s Employment Rate or </w:t>
      </w:r>
      <w:r w:rsidR="00D368E7">
        <w:rPr>
          <w:rFonts w:ascii="Times New Roman" w:hAnsi="Times New Roman" w:cs="Times New Roman"/>
          <w:sz w:val="24"/>
          <w:szCs w:val="24"/>
        </w:rPr>
        <w:t>Secondary Credential A</w:t>
      </w:r>
      <w:r w:rsidRPr="00B353CD">
        <w:rPr>
          <w:rFonts w:ascii="Times New Roman" w:hAnsi="Times New Roman" w:cs="Times New Roman"/>
          <w:sz w:val="24"/>
          <w:szCs w:val="24"/>
        </w:rPr>
        <w:t xml:space="preserve">ttainment </w:t>
      </w:r>
      <w:r w:rsidR="00D368E7">
        <w:rPr>
          <w:rFonts w:ascii="Times New Roman" w:hAnsi="Times New Roman" w:cs="Times New Roman"/>
          <w:sz w:val="24"/>
          <w:szCs w:val="24"/>
        </w:rPr>
        <w:t>R</w:t>
      </w:r>
      <w:r w:rsidR="004C3D50">
        <w:rPr>
          <w:rFonts w:ascii="Times New Roman" w:hAnsi="Times New Roman" w:cs="Times New Roman"/>
          <w:sz w:val="24"/>
          <w:szCs w:val="24"/>
        </w:rPr>
        <w:t xml:space="preserve">ate (see </w:t>
      </w:r>
      <w:r w:rsidR="001F5860">
        <w:rPr>
          <w:rFonts w:ascii="Times New Roman" w:hAnsi="Times New Roman" w:cs="Times New Roman"/>
          <w:sz w:val="24"/>
          <w:szCs w:val="24"/>
        </w:rPr>
        <w:t>Section</w:t>
      </w:r>
      <w:r w:rsidR="004C3D50">
        <w:rPr>
          <w:rFonts w:ascii="Times New Roman" w:hAnsi="Times New Roman" w:cs="Times New Roman"/>
          <w:sz w:val="24"/>
          <w:szCs w:val="24"/>
        </w:rPr>
        <w:t xml:space="preserve"> 8</w:t>
      </w:r>
      <w:r w:rsidR="00945363" w:rsidRPr="00B353CD">
        <w:rPr>
          <w:rFonts w:ascii="Times New Roman" w:hAnsi="Times New Roman" w:cs="Times New Roman"/>
          <w:sz w:val="24"/>
          <w:szCs w:val="24"/>
        </w:rPr>
        <w:t xml:space="preserve"> </w:t>
      </w:r>
      <w:r w:rsidR="00E52671">
        <w:rPr>
          <w:rFonts w:ascii="Times New Roman" w:hAnsi="Times New Roman" w:cs="Times New Roman"/>
          <w:sz w:val="24"/>
          <w:szCs w:val="24"/>
        </w:rPr>
        <w:t>for more information regarding Follow-up Outcome Eligibility</w:t>
      </w:r>
      <w:r w:rsidR="00945363" w:rsidRPr="00B353CD">
        <w:rPr>
          <w:rFonts w:ascii="Times New Roman" w:hAnsi="Times New Roman" w:cs="Times New Roman"/>
          <w:sz w:val="24"/>
          <w:szCs w:val="24"/>
        </w:rPr>
        <w:t>)</w:t>
      </w:r>
      <w:r w:rsidRPr="00B353CD">
        <w:rPr>
          <w:rFonts w:ascii="Times New Roman" w:hAnsi="Times New Roman" w:cs="Times New Roman"/>
          <w:sz w:val="24"/>
          <w:szCs w:val="24"/>
        </w:rPr>
        <w:t>.</w:t>
      </w:r>
    </w:p>
    <w:p w14:paraId="1C94D33B" w14:textId="33C4EE65" w:rsidR="00E54391" w:rsidRPr="00E54391" w:rsidRDefault="00E54391" w:rsidP="00E54391">
      <w:pPr>
        <w:pStyle w:val="ListParagraph"/>
        <w:numPr>
          <w:ilvl w:val="1"/>
          <w:numId w:val="10"/>
        </w:numPr>
        <w:spacing w:after="120" w:line="240" w:lineRule="auto"/>
        <w:contextualSpacing w:val="0"/>
        <w:rPr>
          <w:rFonts w:ascii="Times New Roman" w:hAnsi="Times New Roman" w:cs="Times New Roman"/>
          <w:sz w:val="24"/>
          <w:szCs w:val="24"/>
        </w:rPr>
      </w:pPr>
      <w:r w:rsidRPr="00E54391">
        <w:rPr>
          <w:rFonts w:ascii="Times New Roman" w:hAnsi="Times New Roman" w:cs="Times New Roman"/>
          <w:sz w:val="24"/>
          <w:szCs w:val="24"/>
        </w:rPr>
        <w:t>Date of Birth – SSWS</w:t>
      </w:r>
      <w:r w:rsidR="00B04E8C">
        <w:rPr>
          <w:rFonts w:ascii="Times New Roman" w:hAnsi="Times New Roman" w:cs="Times New Roman"/>
          <w:sz w:val="24"/>
          <w:szCs w:val="24"/>
        </w:rPr>
        <w:t xml:space="preserve"> does not allow </w:t>
      </w:r>
      <w:r w:rsidR="00FE4BBE">
        <w:rPr>
          <w:rFonts w:ascii="Times New Roman" w:hAnsi="Times New Roman" w:cs="Times New Roman"/>
          <w:sz w:val="24"/>
          <w:szCs w:val="24"/>
        </w:rPr>
        <w:t>reporting</w:t>
      </w:r>
      <w:r>
        <w:rPr>
          <w:rFonts w:ascii="Times New Roman" w:hAnsi="Times New Roman" w:cs="Times New Roman"/>
          <w:sz w:val="24"/>
          <w:szCs w:val="24"/>
        </w:rPr>
        <w:t xml:space="preserve"> student</w:t>
      </w:r>
      <w:r w:rsidR="00FE4BBE">
        <w:rPr>
          <w:rFonts w:ascii="Times New Roman" w:hAnsi="Times New Roman" w:cs="Times New Roman"/>
          <w:sz w:val="24"/>
          <w:szCs w:val="24"/>
        </w:rPr>
        <w:t>s</w:t>
      </w:r>
      <w:r w:rsidRPr="00E54391">
        <w:rPr>
          <w:rFonts w:ascii="Times New Roman" w:hAnsi="Times New Roman" w:cs="Times New Roman"/>
          <w:sz w:val="24"/>
          <w:szCs w:val="24"/>
        </w:rPr>
        <w:t xml:space="preserve"> younger than 16 years old at the time of intake. However, there </w:t>
      </w:r>
      <w:r>
        <w:rPr>
          <w:rFonts w:ascii="Times New Roman" w:hAnsi="Times New Roman" w:cs="Times New Roman"/>
          <w:sz w:val="24"/>
          <w:szCs w:val="24"/>
        </w:rPr>
        <w:t>is</w:t>
      </w:r>
      <w:r w:rsidRPr="00E54391">
        <w:rPr>
          <w:rFonts w:ascii="Times New Roman" w:hAnsi="Times New Roman" w:cs="Times New Roman"/>
          <w:sz w:val="24"/>
          <w:szCs w:val="24"/>
        </w:rPr>
        <w:t xml:space="preserve"> no upper restriction on an applicant’s age. </w:t>
      </w:r>
      <w:r w:rsidR="00FE4BBE">
        <w:rPr>
          <w:rFonts w:ascii="Times New Roman" w:hAnsi="Times New Roman" w:cs="Times New Roman"/>
          <w:sz w:val="24"/>
          <w:szCs w:val="24"/>
        </w:rPr>
        <w:t>In previous years, t</w:t>
      </w:r>
      <w:r>
        <w:rPr>
          <w:rFonts w:ascii="Times New Roman" w:hAnsi="Times New Roman" w:cs="Times New Roman"/>
          <w:sz w:val="24"/>
          <w:szCs w:val="24"/>
        </w:rPr>
        <w:t>his has led to some students being reported</w:t>
      </w:r>
      <w:r w:rsidR="00B04E8C">
        <w:rPr>
          <w:rFonts w:ascii="Times New Roman" w:hAnsi="Times New Roman" w:cs="Times New Roman"/>
          <w:sz w:val="24"/>
          <w:szCs w:val="24"/>
        </w:rPr>
        <w:t xml:space="preserve"> as being hundreds of years old (</w:t>
      </w:r>
      <w:r w:rsidR="00FE4BBE">
        <w:rPr>
          <w:rFonts w:ascii="Times New Roman" w:hAnsi="Times New Roman" w:cs="Times New Roman"/>
          <w:sz w:val="24"/>
          <w:szCs w:val="24"/>
        </w:rPr>
        <w:t>or</w:t>
      </w:r>
      <w:r w:rsidR="00B04E8C">
        <w:rPr>
          <w:rFonts w:ascii="Times New Roman" w:hAnsi="Times New Roman" w:cs="Times New Roman"/>
          <w:sz w:val="24"/>
          <w:szCs w:val="24"/>
        </w:rPr>
        <w:t xml:space="preserve"> older). </w:t>
      </w:r>
      <w:r w:rsidR="00FE4BBE">
        <w:rPr>
          <w:rFonts w:ascii="Times New Roman" w:hAnsi="Times New Roman" w:cs="Times New Roman"/>
          <w:sz w:val="24"/>
          <w:szCs w:val="24"/>
        </w:rPr>
        <w:t xml:space="preserve">Program staff </w:t>
      </w:r>
      <w:r w:rsidRPr="00E54391">
        <w:rPr>
          <w:rFonts w:ascii="Times New Roman" w:hAnsi="Times New Roman" w:cs="Times New Roman"/>
          <w:sz w:val="24"/>
          <w:szCs w:val="24"/>
        </w:rPr>
        <w:t xml:space="preserve">may view </w:t>
      </w:r>
      <w:proofErr w:type="gramStart"/>
      <w:r w:rsidR="00FE4BBE">
        <w:rPr>
          <w:rFonts w:ascii="Times New Roman" w:hAnsi="Times New Roman" w:cs="Times New Roman"/>
          <w:sz w:val="24"/>
          <w:szCs w:val="24"/>
        </w:rPr>
        <w:t>at a glance</w:t>
      </w:r>
      <w:proofErr w:type="gramEnd"/>
      <w:r w:rsidR="00FE4BBE">
        <w:rPr>
          <w:rFonts w:ascii="Times New Roman" w:hAnsi="Times New Roman" w:cs="Times New Roman"/>
          <w:sz w:val="24"/>
          <w:szCs w:val="24"/>
        </w:rPr>
        <w:t xml:space="preserve"> </w:t>
      </w:r>
      <w:r w:rsidRPr="00E54391">
        <w:rPr>
          <w:rFonts w:ascii="Times New Roman" w:hAnsi="Times New Roman" w:cs="Times New Roman"/>
          <w:sz w:val="24"/>
          <w:szCs w:val="24"/>
        </w:rPr>
        <w:t xml:space="preserve">the age of all </w:t>
      </w:r>
      <w:r w:rsidR="00FE4BBE">
        <w:rPr>
          <w:rFonts w:ascii="Times New Roman" w:hAnsi="Times New Roman" w:cs="Times New Roman"/>
          <w:sz w:val="24"/>
          <w:szCs w:val="24"/>
        </w:rPr>
        <w:t xml:space="preserve">their </w:t>
      </w:r>
      <w:r w:rsidRPr="00E54391">
        <w:rPr>
          <w:rFonts w:ascii="Times New Roman" w:hAnsi="Times New Roman" w:cs="Times New Roman"/>
          <w:sz w:val="24"/>
          <w:szCs w:val="24"/>
        </w:rPr>
        <w:t xml:space="preserve">participants by downloading the “Table 3 Student Roster” export </w:t>
      </w:r>
      <w:r w:rsidR="00B04E8C">
        <w:rPr>
          <w:rFonts w:ascii="Times New Roman" w:hAnsi="Times New Roman" w:cs="Times New Roman"/>
          <w:sz w:val="24"/>
          <w:szCs w:val="24"/>
        </w:rPr>
        <w:t xml:space="preserve">and checking the “Age” column to determine if any birthdates require updating. </w:t>
      </w:r>
    </w:p>
    <w:p w14:paraId="48B48206" w14:textId="041712E8" w:rsidR="00E54391" w:rsidRPr="00E54391" w:rsidRDefault="00E54391" w:rsidP="00E66A73">
      <w:pPr>
        <w:pStyle w:val="ListParagraph"/>
        <w:numPr>
          <w:ilvl w:val="1"/>
          <w:numId w:val="10"/>
        </w:numPr>
        <w:spacing w:after="120" w:line="240" w:lineRule="auto"/>
        <w:contextualSpacing w:val="0"/>
        <w:rPr>
          <w:rFonts w:ascii="Times New Roman" w:hAnsi="Times New Roman" w:cs="Times New Roman"/>
          <w:sz w:val="24"/>
          <w:szCs w:val="24"/>
        </w:rPr>
      </w:pPr>
      <w:r w:rsidRPr="00E54391">
        <w:rPr>
          <w:rFonts w:ascii="Times New Roman" w:hAnsi="Times New Roman" w:cs="Times New Roman"/>
          <w:sz w:val="24"/>
          <w:szCs w:val="24"/>
        </w:rPr>
        <w:t>Co-enrollment (</w:t>
      </w:r>
      <w:r w:rsidR="00FE4BBE">
        <w:rPr>
          <w:rFonts w:ascii="Times New Roman" w:hAnsi="Times New Roman" w:cs="Times New Roman"/>
          <w:sz w:val="24"/>
          <w:szCs w:val="24"/>
        </w:rPr>
        <w:t>“</w:t>
      </w:r>
      <w:r w:rsidRPr="00E54391">
        <w:rPr>
          <w:rFonts w:ascii="Times New Roman" w:hAnsi="Times New Roman" w:cs="Times New Roman"/>
          <w:sz w:val="24"/>
          <w:szCs w:val="24"/>
        </w:rPr>
        <w:t>Agencies/partners with which the student is co-enrolled</w:t>
      </w:r>
      <w:r w:rsidR="00FE4BBE">
        <w:rPr>
          <w:rFonts w:ascii="Times New Roman" w:hAnsi="Times New Roman" w:cs="Times New Roman"/>
          <w:sz w:val="24"/>
          <w:szCs w:val="24"/>
        </w:rPr>
        <w:t>”</w:t>
      </w:r>
      <w:r w:rsidRPr="00E54391">
        <w:rPr>
          <w:rFonts w:ascii="Times New Roman" w:hAnsi="Times New Roman" w:cs="Times New Roman"/>
          <w:sz w:val="24"/>
          <w:szCs w:val="24"/>
        </w:rPr>
        <w:t xml:space="preserve">) – If an adult education student is also enrolled in a non-title II WIOA program, i.e., Virginia Career Works (Title I), VEC (Title III), or DARS/DBVI (Title IV), </w:t>
      </w:r>
      <w:r w:rsidR="00B04E8C">
        <w:rPr>
          <w:rFonts w:ascii="Times New Roman" w:hAnsi="Times New Roman" w:cs="Times New Roman"/>
          <w:sz w:val="24"/>
          <w:szCs w:val="24"/>
        </w:rPr>
        <w:t xml:space="preserve">program staff should make sure that the selection is reflected in SSWS. </w:t>
      </w:r>
      <w:r w:rsidRPr="00E54391">
        <w:rPr>
          <w:rFonts w:ascii="Times New Roman" w:hAnsi="Times New Roman" w:cs="Times New Roman"/>
          <w:sz w:val="24"/>
          <w:szCs w:val="24"/>
        </w:rPr>
        <w:t>Currently, SSWS allows only one non-title II agency to be selected.</w:t>
      </w:r>
      <w:r w:rsidR="00B04E8C">
        <w:rPr>
          <w:rFonts w:ascii="Times New Roman" w:hAnsi="Times New Roman" w:cs="Times New Roman"/>
          <w:sz w:val="24"/>
          <w:szCs w:val="24"/>
        </w:rPr>
        <w:t xml:space="preserve"> </w:t>
      </w:r>
      <w:r w:rsidR="00FE4BBE">
        <w:rPr>
          <w:rFonts w:ascii="Times New Roman" w:hAnsi="Times New Roman" w:cs="Times New Roman"/>
          <w:sz w:val="24"/>
          <w:szCs w:val="24"/>
        </w:rPr>
        <w:t xml:space="preserve">If a student has more than one co-enrollment, select one. </w:t>
      </w:r>
      <w:r w:rsidR="00B04E8C">
        <w:rPr>
          <w:rFonts w:ascii="Times New Roman" w:hAnsi="Times New Roman" w:cs="Times New Roman"/>
          <w:sz w:val="24"/>
          <w:szCs w:val="24"/>
        </w:rPr>
        <w:t>Remember</w:t>
      </w:r>
      <w:r w:rsidR="00FE4BBE">
        <w:rPr>
          <w:rFonts w:ascii="Times New Roman" w:hAnsi="Times New Roman" w:cs="Times New Roman"/>
          <w:sz w:val="24"/>
          <w:szCs w:val="24"/>
        </w:rPr>
        <w:t xml:space="preserve">: </w:t>
      </w:r>
      <w:r w:rsidR="00B04E8C">
        <w:rPr>
          <w:rFonts w:ascii="Times New Roman" w:hAnsi="Times New Roman" w:cs="Times New Roman"/>
          <w:sz w:val="24"/>
          <w:szCs w:val="24"/>
        </w:rPr>
        <w:t>only participants identified as “Co-enrolled” or as enrolled in IET are eligible for being recognized for a postsecondary credential attainment follow-up gain.</w:t>
      </w:r>
      <w:r w:rsidR="00FE4BBE">
        <w:rPr>
          <w:rFonts w:ascii="Times New Roman" w:hAnsi="Times New Roman" w:cs="Times New Roman"/>
          <w:sz w:val="24"/>
          <w:szCs w:val="24"/>
        </w:rPr>
        <w:t xml:space="preserve"> (See Section 8 for more information about Follow-up Outcome Eligibility.)</w:t>
      </w:r>
      <w:r w:rsidRPr="00E54391">
        <w:rPr>
          <w:rFonts w:ascii="Times New Roman" w:hAnsi="Times New Roman" w:cs="Times New Roman"/>
          <w:sz w:val="24"/>
          <w:szCs w:val="24"/>
        </w:rPr>
        <w:t xml:space="preserve"> </w:t>
      </w:r>
    </w:p>
    <w:p w14:paraId="36E03D81" w14:textId="77777777" w:rsidR="00855FBA" w:rsidRDefault="0038124F" w:rsidP="00FE2F55">
      <w:pPr>
        <w:pStyle w:val="ListParagraph"/>
        <w:numPr>
          <w:ilvl w:val="1"/>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Employment Barriers – Programs should make sure that all </w:t>
      </w:r>
      <w:r w:rsidR="00FE2F55">
        <w:rPr>
          <w:rFonts w:ascii="Times New Roman" w:hAnsi="Times New Roman" w:cs="Times New Roman"/>
          <w:sz w:val="24"/>
          <w:szCs w:val="24"/>
        </w:rPr>
        <w:t>e</w:t>
      </w:r>
      <w:r>
        <w:rPr>
          <w:rFonts w:ascii="Times New Roman" w:hAnsi="Times New Roman" w:cs="Times New Roman"/>
          <w:sz w:val="24"/>
          <w:szCs w:val="24"/>
        </w:rPr>
        <w:t xml:space="preserve">mployment </w:t>
      </w:r>
      <w:r w:rsidR="00FE2F55">
        <w:rPr>
          <w:rFonts w:ascii="Times New Roman" w:hAnsi="Times New Roman" w:cs="Times New Roman"/>
          <w:sz w:val="24"/>
          <w:szCs w:val="24"/>
        </w:rPr>
        <w:t>b</w:t>
      </w:r>
      <w:r>
        <w:rPr>
          <w:rFonts w:ascii="Times New Roman" w:hAnsi="Times New Roman" w:cs="Times New Roman"/>
          <w:sz w:val="24"/>
          <w:szCs w:val="24"/>
        </w:rPr>
        <w:t>arriers selected by the student on the ASPD are represented in SSWS</w:t>
      </w:r>
      <w:r w:rsidR="00FE2F55">
        <w:rPr>
          <w:rFonts w:ascii="Times New Roman" w:hAnsi="Times New Roman" w:cs="Times New Roman"/>
          <w:sz w:val="24"/>
          <w:szCs w:val="24"/>
        </w:rPr>
        <w:t>.</w:t>
      </w:r>
      <w:r w:rsidR="00FE2F55" w:rsidRPr="00FE2F55">
        <w:rPr>
          <w:rFonts w:ascii="Times New Roman" w:hAnsi="Times New Roman" w:cs="Times New Roman"/>
          <w:sz w:val="24"/>
          <w:szCs w:val="24"/>
        </w:rPr>
        <w:t xml:space="preserve"> </w:t>
      </w:r>
      <w:r w:rsidR="00FE2F55">
        <w:rPr>
          <w:rFonts w:ascii="Times New Roman" w:hAnsi="Times New Roman" w:cs="Times New Roman"/>
          <w:sz w:val="24"/>
          <w:szCs w:val="24"/>
        </w:rPr>
        <w:t>Every WIOA, t</w:t>
      </w:r>
      <w:r w:rsidR="00FE2F55" w:rsidRPr="00B353CD">
        <w:rPr>
          <w:rFonts w:ascii="Times New Roman" w:hAnsi="Times New Roman" w:cs="Times New Roman"/>
          <w:sz w:val="24"/>
          <w:szCs w:val="24"/>
        </w:rPr>
        <w:t xml:space="preserve">itle II student is considered </w:t>
      </w:r>
      <w:r w:rsidR="00FE2F55">
        <w:rPr>
          <w:rFonts w:ascii="Times New Roman" w:hAnsi="Times New Roman" w:cs="Times New Roman"/>
          <w:sz w:val="24"/>
          <w:szCs w:val="24"/>
        </w:rPr>
        <w:t xml:space="preserve">to have an employment barrier of </w:t>
      </w:r>
      <w:r w:rsidR="00FE2F55" w:rsidRPr="00B353CD">
        <w:rPr>
          <w:rFonts w:ascii="Times New Roman" w:hAnsi="Times New Roman" w:cs="Times New Roman"/>
          <w:sz w:val="24"/>
          <w:szCs w:val="24"/>
        </w:rPr>
        <w:t xml:space="preserve">“ELL, Low Literacy, or Facing Cultural Barriers.” SSWS </w:t>
      </w:r>
      <w:r w:rsidR="00FE2F55">
        <w:rPr>
          <w:rFonts w:ascii="Times New Roman" w:hAnsi="Times New Roman" w:cs="Times New Roman"/>
          <w:sz w:val="24"/>
          <w:szCs w:val="24"/>
        </w:rPr>
        <w:t xml:space="preserve">has been configured to select this option </w:t>
      </w:r>
      <w:r w:rsidR="00FE2F55" w:rsidRPr="00B353CD">
        <w:rPr>
          <w:rFonts w:ascii="Times New Roman" w:hAnsi="Times New Roman" w:cs="Times New Roman"/>
          <w:sz w:val="24"/>
          <w:szCs w:val="24"/>
        </w:rPr>
        <w:t xml:space="preserve">automatically when a student record is created </w:t>
      </w:r>
      <w:r w:rsidR="00FE2F55">
        <w:rPr>
          <w:rFonts w:ascii="Times New Roman" w:hAnsi="Times New Roman" w:cs="Times New Roman"/>
          <w:sz w:val="24"/>
          <w:szCs w:val="24"/>
        </w:rPr>
        <w:t xml:space="preserve">in the current year </w:t>
      </w:r>
      <w:r w:rsidR="00FE2F55" w:rsidRPr="00B353CD">
        <w:rPr>
          <w:rFonts w:ascii="Times New Roman" w:hAnsi="Times New Roman" w:cs="Times New Roman"/>
          <w:sz w:val="24"/>
          <w:szCs w:val="24"/>
        </w:rPr>
        <w:t xml:space="preserve">or rolled forward from a previous year. Any additional barriers reported by the student should be entered </w:t>
      </w:r>
      <w:r w:rsidR="00FE2F55">
        <w:rPr>
          <w:rFonts w:ascii="Times New Roman" w:hAnsi="Times New Roman" w:cs="Times New Roman"/>
          <w:sz w:val="24"/>
          <w:szCs w:val="24"/>
        </w:rPr>
        <w:t>manually by program staff</w:t>
      </w:r>
      <w:r w:rsidR="00FE2F55" w:rsidRPr="00B353CD">
        <w:rPr>
          <w:rFonts w:ascii="Times New Roman" w:hAnsi="Times New Roman" w:cs="Times New Roman"/>
          <w:sz w:val="24"/>
          <w:szCs w:val="24"/>
        </w:rPr>
        <w:t>.</w:t>
      </w:r>
      <w:r w:rsidR="00FE2F55">
        <w:rPr>
          <w:rFonts w:ascii="Times New Roman" w:hAnsi="Times New Roman" w:cs="Times New Roman"/>
          <w:sz w:val="24"/>
          <w:szCs w:val="24"/>
        </w:rPr>
        <w:t xml:space="preserve">  </w:t>
      </w:r>
    </w:p>
    <w:p w14:paraId="0CB22A02" w14:textId="4C43BB32" w:rsidR="00855FBA" w:rsidRDefault="00855FBA" w:rsidP="00FE2F55">
      <w:pPr>
        <w:pStyle w:val="ListParagraph"/>
        <w:numPr>
          <w:ilvl w:val="1"/>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Program Type – Programs should select one of the following four program types for each student. If a student </w:t>
      </w:r>
      <w:proofErr w:type="gramStart"/>
      <w:r>
        <w:rPr>
          <w:rFonts w:ascii="Times New Roman" w:hAnsi="Times New Roman" w:cs="Times New Roman"/>
          <w:sz w:val="24"/>
          <w:szCs w:val="24"/>
        </w:rPr>
        <w:t>receive</w:t>
      </w:r>
      <w:proofErr w:type="gramEnd"/>
      <w:r>
        <w:rPr>
          <w:rFonts w:ascii="Times New Roman" w:hAnsi="Times New Roman" w:cs="Times New Roman"/>
          <w:sz w:val="24"/>
          <w:szCs w:val="24"/>
        </w:rPr>
        <w:t xml:space="preserve"> services that overlap more than one program type, programs should report the most appropriate program type. If there are questions as to which program type would be deemed most appropriate, do not hesitate to consult with the state office.</w:t>
      </w:r>
    </w:p>
    <w:p w14:paraId="2150DFA6" w14:textId="77777777" w:rsidR="00855FBA" w:rsidRDefault="00855FBA" w:rsidP="00855FBA">
      <w:pPr>
        <w:pStyle w:val="ListParagraph"/>
        <w:numPr>
          <w:ilvl w:val="2"/>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ABE</w:t>
      </w:r>
    </w:p>
    <w:p w14:paraId="48EDC10E" w14:textId="77777777" w:rsidR="00855FBA" w:rsidRDefault="00855FBA" w:rsidP="00855FBA">
      <w:pPr>
        <w:pStyle w:val="ListParagraph"/>
        <w:numPr>
          <w:ilvl w:val="2"/>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ASE</w:t>
      </w:r>
    </w:p>
    <w:p w14:paraId="63856465" w14:textId="77777777" w:rsidR="00855FBA" w:rsidRDefault="00855FBA" w:rsidP="00855FBA">
      <w:pPr>
        <w:pStyle w:val="ListParagraph"/>
        <w:numPr>
          <w:ilvl w:val="2"/>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ELA</w:t>
      </w:r>
    </w:p>
    <w:p w14:paraId="6C15F696" w14:textId="7715320E" w:rsidR="00613075" w:rsidRDefault="00855FBA" w:rsidP="00855FBA">
      <w:pPr>
        <w:pStyle w:val="ListParagraph"/>
        <w:numPr>
          <w:ilvl w:val="2"/>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IELCE</w:t>
      </w:r>
      <w:r w:rsidR="00D036DD">
        <w:rPr>
          <w:rFonts w:ascii="Times New Roman" w:hAnsi="Times New Roman" w:cs="Times New Roman"/>
          <w:sz w:val="24"/>
          <w:szCs w:val="24"/>
        </w:rPr>
        <w:t xml:space="preserve"> </w:t>
      </w:r>
      <w:r w:rsidRPr="00B353CD">
        <w:rPr>
          <w:rFonts w:ascii="Times New Roman" w:hAnsi="Times New Roman" w:cs="Times New Roman"/>
          <w:sz w:val="24"/>
          <w:szCs w:val="24"/>
        </w:rPr>
        <w:t xml:space="preserve">– </w:t>
      </w:r>
      <w:r w:rsidR="00D036DD">
        <w:rPr>
          <w:rFonts w:ascii="Times New Roman" w:hAnsi="Times New Roman" w:cs="Times New Roman"/>
          <w:sz w:val="24"/>
          <w:szCs w:val="24"/>
        </w:rPr>
        <w:t>For</w:t>
      </w:r>
      <w:r w:rsidRPr="00B353CD">
        <w:rPr>
          <w:rFonts w:ascii="Times New Roman" w:hAnsi="Times New Roman" w:cs="Times New Roman"/>
          <w:sz w:val="24"/>
          <w:szCs w:val="24"/>
        </w:rPr>
        <w:t xml:space="preserve"> students </w:t>
      </w:r>
      <w:r w:rsidR="00D036DD">
        <w:rPr>
          <w:rFonts w:ascii="Times New Roman" w:hAnsi="Times New Roman" w:cs="Times New Roman"/>
          <w:sz w:val="24"/>
          <w:szCs w:val="24"/>
        </w:rPr>
        <w:t xml:space="preserve">enrolled in an IELCE program type, program staff should select </w:t>
      </w:r>
      <w:r w:rsidRPr="00B353CD">
        <w:rPr>
          <w:rFonts w:ascii="Times New Roman" w:hAnsi="Times New Roman" w:cs="Times New Roman"/>
          <w:sz w:val="24"/>
          <w:szCs w:val="24"/>
        </w:rPr>
        <w:t xml:space="preserve">“IELCE (Sec. 243)” as a </w:t>
      </w:r>
      <w:r>
        <w:rPr>
          <w:rFonts w:ascii="Times New Roman" w:hAnsi="Times New Roman" w:cs="Times New Roman"/>
          <w:sz w:val="24"/>
          <w:szCs w:val="24"/>
        </w:rPr>
        <w:t>Federal Funding Source</w:t>
      </w:r>
      <w:r w:rsidRPr="00B353CD">
        <w:rPr>
          <w:rFonts w:ascii="Times New Roman" w:hAnsi="Times New Roman" w:cs="Times New Roman"/>
          <w:sz w:val="24"/>
          <w:szCs w:val="24"/>
        </w:rPr>
        <w:t>.</w:t>
      </w:r>
    </w:p>
    <w:p w14:paraId="2255059B" w14:textId="38FB8473" w:rsidR="00FE2F55" w:rsidRDefault="00613075" w:rsidP="00FE2F55">
      <w:pPr>
        <w:pStyle w:val="ListParagraph"/>
        <w:numPr>
          <w:ilvl w:val="1"/>
          <w:numId w:val="10"/>
        </w:numPr>
        <w:spacing w:after="120" w:line="240" w:lineRule="auto"/>
        <w:contextualSpacing w:val="0"/>
        <w:rPr>
          <w:rFonts w:ascii="Times New Roman" w:hAnsi="Times New Roman" w:cs="Times New Roman"/>
          <w:sz w:val="24"/>
          <w:szCs w:val="24"/>
        </w:rPr>
      </w:pPr>
      <w:r w:rsidRPr="005850C4">
        <w:rPr>
          <w:rFonts w:ascii="Times New Roman" w:hAnsi="Times New Roman" w:cs="Times New Roman"/>
          <w:sz w:val="24"/>
          <w:szCs w:val="24"/>
        </w:rPr>
        <w:t>IET Enrollment – If an adult education student is enrolled in an Integrated Education and Training (IET) cohort, programs should select “Yes” in response to the item, “Is the student enrolled in an Integrated Education and Training program?” Remember</w:t>
      </w:r>
      <w:r>
        <w:rPr>
          <w:rFonts w:ascii="Times New Roman" w:hAnsi="Times New Roman" w:cs="Times New Roman"/>
          <w:sz w:val="24"/>
          <w:szCs w:val="24"/>
        </w:rPr>
        <w:t>: f</w:t>
      </w:r>
      <w:r w:rsidRPr="005850C4">
        <w:rPr>
          <w:rFonts w:ascii="Times New Roman" w:hAnsi="Times New Roman" w:cs="Times New Roman"/>
          <w:bCs/>
          <w:sz w:val="24"/>
          <w:szCs w:val="24"/>
        </w:rPr>
        <w:t xml:space="preserve">or an IET student to be eligible for a Type 3, Type 4, or Type 5 MSG, programs must select “Yes” </w:t>
      </w:r>
      <w:r>
        <w:rPr>
          <w:rFonts w:ascii="Times New Roman" w:hAnsi="Times New Roman" w:cs="Times New Roman"/>
          <w:bCs/>
          <w:sz w:val="24"/>
          <w:szCs w:val="24"/>
        </w:rPr>
        <w:t>in response to</w:t>
      </w:r>
      <w:r w:rsidRPr="005850C4">
        <w:rPr>
          <w:rFonts w:ascii="Times New Roman" w:hAnsi="Times New Roman" w:cs="Times New Roman"/>
          <w:bCs/>
          <w:sz w:val="24"/>
          <w:szCs w:val="24"/>
        </w:rPr>
        <w:t xml:space="preserve"> this item.</w:t>
      </w:r>
      <w:r>
        <w:rPr>
          <w:rFonts w:ascii="Times New Roman" w:hAnsi="Times New Roman" w:cs="Times New Roman"/>
          <w:bCs/>
          <w:sz w:val="24"/>
          <w:szCs w:val="24"/>
        </w:rPr>
        <w:t xml:space="preserve"> (See Section 9, MSG Eligibility, for more information about requirements for reporting MSG Types 3, 4, and 5.) </w:t>
      </w:r>
    </w:p>
    <w:p w14:paraId="18098A28" w14:textId="3142DDA5" w:rsidR="00FE2F55" w:rsidRPr="00B353CD" w:rsidRDefault="00FE2F55" w:rsidP="00FE2F55">
      <w:pPr>
        <w:pStyle w:val="ListParagraph"/>
        <w:numPr>
          <w:ilvl w:val="1"/>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Program Participation – “Program Participation” is a non-required category </w:t>
      </w:r>
      <w:r>
        <w:rPr>
          <w:rFonts w:ascii="Times New Roman" w:hAnsi="Times New Roman" w:cs="Times New Roman"/>
          <w:sz w:val="24"/>
          <w:szCs w:val="24"/>
        </w:rPr>
        <w:t>for reporting activities representing special funding priorities. P</w:t>
      </w:r>
      <w:r w:rsidRPr="00B353CD">
        <w:rPr>
          <w:rFonts w:ascii="Times New Roman" w:hAnsi="Times New Roman" w:cs="Times New Roman"/>
          <w:sz w:val="24"/>
          <w:szCs w:val="24"/>
        </w:rPr>
        <w:t xml:space="preserve">rograms should complete this section </w:t>
      </w:r>
      <w:r>
        <w:rPr>
          <w:rFonts w:ascii="Times New Roman" w:hAnsi="Times New Roman" w:cs="Times New Roman"/>
          <w:sz w:val="24"/>
          <w:szCs w:val="24"/>
        </w:rPr>
        <w:t xml:space="preserve">if a student’s enrollment falls under one of the following </w:t>
      </w:r>
      <w:r w:rsidR="00613075">
        <w:rPr>
          <w:rFonts w:ascii="Times New Roman" w:hAnsi="Times New Roman" w:cs="Times New Roman"/>
          <w:sz w:val="24"/>
          <w:szCs w:val="24"/>
        </w:rPr>
        <w:t>priorities</w:t>
      </w:r>
      <w:r>
        <w:rPr>
          <w:rFonts w:ascii="Times New Roman" w:hAnsi="Times New Roman" w:cs="Times New Roman"/>
          <w:sz w:val="24"/>
          <w:szCs w:val="24"/>
        </w:rPr>
        <w:t>.</w:t>
      </w:r>
      <w:r w:rsidR="00FB4C17">
        <w:rPr>
          <w:rFonts w:ascii="Times New Roman" w:hAnsi="Times New Roman" w:cs="Times New Roman"/>
          <w:sz w:val="24"/>
          <w:szCs w:val="24"/>
        </w:rPr>
        <w:t xml:space="preserve"> </w:t>
      </w:r>
      <w:r w:rsidR="00FB4C17">
        <w:rPr>
          <w:rFonts w:ascii="Times New Roman" w:hAnsi="Times New Roman" w:cs="Times New Roman"/>
          <w:b/>
          <w:bCs/>
          <w:sz w:val="24"/>
          <w:szCs w:val="24"/>
        </w:rPr>
        <w:t xml:space="preserve">Note: Programs should not report students as participating in any of the special funding priorities if </w:t>
      </w:r>
      <w:r w:rsidR="00D036DD">
        <w:rPr>
          <w:rFonts w:ascii="Times New Roman" w:hAnsi="Times New Roman" w:cs="Times New Roman"/>
          <w:b/>
          <w:bCs/>
          <w:sz w:val="24"/>
          <w:szCs w:val="24"/>
        </w:rPr>
        <w:t>programs</w:t>
      </w:r>
      <w:r w:rsidR="00FB4C17">
        <w:rPr>
          <w:rFonts w:ascii="Times New Roman" w:hAnsi="Times New Roman" w:cs="Times New Roman"/>
          <w:b/>
          <w:bCs/>
          <w:sz w:val="24"/>
          <w:szCs w:val="24"/>
        </w:rPr>
        <w:t xml:space="preserve"> do not receive such funding. </w:t>
      </w:r>
    </w:p>
    <w:p w14:paraId="4105DD00" w14:textId="1F2D0AB2" w:rsidR="00FE2F55" w:rsidRPr="00B353CD" w:rsidRDefault="00613075" w:rsidP="00FE2F55">
      <w:pPr>
        <w:pStyle w:val="ListParagraph"/>
        <w:numPr>
          <w:ilvl w:val="2"/>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u w:val="single"/>
        </w:rPr>
        <w:t xml:space="preserve">Corrections and </w:t>
      </w:r>
      <w:r w:rsidRPr="00613075">
        <w:rPr>
          <w:rFonts w:ascii="Times New Roman" w:hAnsi="Times New Roman" w:cs="Times New Roman"/>
          <w:sz w:val="24"/>
          <w:szCs w:val="24"/>
          <w:u w:val="single"/>
        </w:rPr>
        <w:t>Institutions</w:t>
      </w:r>
      <w:r>
        <w:rPr>
          <w:rFonts w:ascii="Times New Roman" w:hAnsi="Times New Roman" w:cs="Times New Roman"/>
          <w:sz w:val="24"/>
          <w:szCs w:val="24"/>
        </w:rPr>
        <w:t xml:space="preserve"> – </w:t>
      </w:r>
      <w:r w:rsidR="00FE2F55" w:rsidRPr="00613075">
        <w:rPr>
          <w:rFonts w:ascii="Times New Roman" w:hAnsi="Times New Roman" w:cs="Times New Roman"/>
          <w:sz w:val="24"/>
          <w:szCs w:val="24"/>
        </w:rPr>
        <w:t>If</w:t>
      </w:r>
      <w:r w:rsidR="00FE2F55" w:rsidRPr="00B353CD">
        <w:rPr>
          <w:rFonts w:ascii="Times New Roman" w:hAnsi="Times New Roman" w:cs="Times New Roman"/>
          <w:sz w:val="24"/>
          <w:szCs w:val="24"/>
        </w:rPr>
        <w:t xml:space="preserve"> a student’s Primary Funding Source is “Corrections and Institutions (Sec. 225),” program staff must select one of the following</w:t>
      </w:r>
      <w:r w:rsidR="00FE2F55">
        <w:rPr>
          <w:rFonts w:ascii="Times New Roman" w:hAnsi="Times New Roman" w:cs="Times New Roman"/>
          <w:sz w:val="24"/>
          <w:szCs w:val="24"/>
        </w:rPr>
        <w:t xml:space="preserve"> options under Program Participation</w:t>
      </w:r>
      <w:r w:rsidR="00FE2F55" w:rsidRPr="00B353CD">
        <w:rPr>
          <w:rFonts w:ascii="Times New Roman" w:hAnsi="Times New Roman" w:cs="Times New Roman"/>
          <w:sz w:val="24"/>
          <w:szCs w:val="24"/>
        </w:rPr>
        <w:t>:</w:t>
      </w:r>
    </w:p>
    <w:p w14:paraId="18FC12E2" w14:textId="77777777" w:rsidR="00FE2F55" w:rsidRPr="00B353CD" w:rsidRDefault="00FE2F55" w:rsidP="00FE2F55">
      <w:pPr>
        <w:pStyle w:val="ListParagraph"/>
        <w:numPr>
          <w:ilvl w:val="3"/>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Community Correctional Program,</w:t>
      </w:r>
    </w:p>
    <w:p w14:paraId="196D1F54" w14:textId="77777777" w:rsidR="00FE2F55" w:rsidRPr="00B353CD" w:rsidRDefault="00FE2F55" w:rsidP="00FE2F55">
      <w:pPr>
        <w:pStyle w:val="ListParagraph"/>
        <w:numPr>
          <w:ilvl w:val="3"/>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Correctional Facility, or</w:t>
      </w:r>
    </w:p>
    <w:p w14:paraId="0A5787FA" w14:textId="77777777" w:rsidR="00FE2F55" w:rsidRPr="00B353CD" w:rsidRDefault="00FE2F55" w:rsidP="00FE2F55">
      <w:pPr>
        <w:pStyle w:val="ListParagraph"/>
        <w:numPr>
          <w:ilvl w:val="3"/>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Other Institutional Setting</w:t>
      </w:r>
      <w:r>
        <w:rPr>
          <w:rFonts w:ascii="Times New Roman" w:hAnsi="Times New Roman" w:cs="Times New Roman"/>
          <w:sz w:val="24"/>
          <w:szCs w:val="24"/>
        </w:rPr>
        <w:t>.</w:t>
      </w:r>
    </w:p>
    <w:p w14:paraId="5B08269C" w14:textId="220FED8C" w:rsidR="00FE2F55" w:rsidRPr="00B353CD" w:rsidRDefault="00FB4C17" w:rsidP="00FE2F55">
      <w:pPr>
        <w:pStyle w:val="ListParagraph"/>
        <w:numPr>
          <w:ilvl w:val="2"/>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u w:val="single"/>
        </w:rPr>
        <w:t xml:space="preserve">Family </w:t>
      </w:r>
      <w:r w:rsidRPr="00FB4C17">
        <w:rPr>
          <w:rFonts w:ascii="Times New Roman" w:hAnsi="Times New Roman" w:cs="Times New Roman"/>
          <w:sz w:val="24"/>
          <w:szCs w:val="24"/>
          <w:u w:val="single"/>
        </w:rPr>
        <w:t>Literacy</w:t>
      </w:r>
      <w:r>
        <w:rPr>
          <w:rFonts w:ascii="Times New Roman" w:hAnsi="Times New Roman" w:cs="Times New Roman"/>
          <w:sz w:val="24"/>
          <w:szCs w:val="24"/>
        </w:rPr>
        <w:t xml:space="preserve"> – </w:t>
      </w:r>
      <w:r w:rsidR="00FE2F55" w:rsidRPr="00FB4C17">
        <w:rPr>
          <w:rFonts w:ascii="Times New Roman" w:hAnsi="Times New Roman" w:cs="Times New Roman"/>
          <w:sz w:val="24"/>
          <w:szCs w:val="24"/>
        </w:rPr>
        <w:t>If</w:t>
      </w:r>
      <w:r w:rsidR="00FE2F55" w:rsidRPr="00B353CD">
        <w:rPr>
          <w:rFonts w:ascii="Times New Roman" w:hAnsi="Times New Roman" w:cs="Times New Roman"/>
          <w:sz w:val="24"/>
          <w:szCs w:val="24"/>
        </w:rPr>
        <w:t xml:space="preserve"> a student is enrolled in a </w:t>
      </w:r>
      <w:r w:rsidR="004518B0">
        <w:rPr>
          <w:rFonts w:ascii="Times New Roman" w:hAnsi="Times New Roman" w:cs="Times New Roman"/>
          <w:sz w:val="24"/>
          <w:szCs w:val="24"/>
        </w:rPr>
        <w:t xml:space="preserve">designated Family Literacy class </w:t>
      </w:r>
      <w:r>
        <w:rPr>
          <w:rFonts w:ascii="Times New Roman" w:hAnsi="Times New Roman" w:cs="Times New Roman"/>
          <w:sz w:val="24"/>
          <w:szCs w:val="24"/>
        </w:rPr>
        <w:t xml:space="preserve">supported with </w:t>
      </w:r>
      <w:r w:rsidR="00750AC3">
        <w:rPr>
          <w:rFonts w:ascii="Times New Roman" w:hAnsi="Times New Roman" w:cs="Times New Roman"/>
          <w:sz w:val="24"/>
          <w:szCs w:val="24"/>
        </w:rPr>
        <w:t>Section</w:t>
      </w:r>
      <w:r w:rsidR="004518B0">
        <w:rPr>
          <w:rFonts w:ascii="Times New Roman" w:hAnsi="Times New Roman" w:cs="Times New Roman"/>
          <w:sz w:val="24"/>
          <w:szCs w:val="24"/>
        </w:rPr>
        <w:t xml:space="preserve"> 231 or special leadership grant funds</w:t>
      </w:r>
      <w:r w:rsidR="00FE2F55" w:rsidRPr="00B353CD">
        <w:rPr>
          <w:rFonts w:ascii="Times New Roman" w:hAnsi="Times New Roman" w:cs="Times New Roman"/>
          <w:sz w:val="24"/>
          <w:szCs w:val="24"/>
        </w:rPr>
        <w:t xml:space="preserve">, program staff should select “Family Literacy.” </w:t>
      </w:r>
      <w:r>
        <w:rPr>
          <w:rFonts w:ascii="Times New Roman" w:hAnsi="Times New Roman" w:cs="Times New Roman"/>
          <w:sz w:val="24"/>
          <w:szCs w:val="24"/>
        </w:rPr>
        <w:t>If a student is enrolled in family literacy activities that are not supported directly through a state Family Literacy grant, programs should not identify the student as “Family Literacy.”</w:t>
      </w:r>
    </w:p>
    <w:p w14:paraId="62BE0FA1" w14:textId="4B0E2F9E" w:rsidR="00FE2F55" w:rsidRDefault="00FB4C17" w:rsidP="00FE2F55">
      <w:pPr>
        <w:pStyle w:val="ListParagraph"/>
        <w:numPr>
          <w:ilvl w:val="2"/>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u w:val="single"/>
        </w:rPr>
        <w:t>PIVA</w:t>
      </w:r>
      <w:r>
        <w:rPr>
          <w:rFonts w:ascii="Times New Roman" w:hAnsi="Times New Roman" w:cs="Times New Roman"/>
          <w:sz w:val="24"/>
          <w:szCs w:val="24"/>
        </w:rPr>
        <w:t xml:space="preserve"> – </w:t>
      </w:r>
      <w:r w:rsidR="00FE2F55" w:rsidRPr="00B353CD">
        <w:rPr>
          <w:rFonts w:ascii="Times New Roman" w:hAnsi="Times New Roman" w:cs="Times New Roman"/>
          <w:sz w:val="24"/>
          <w:szCs w:val="24"/>
        </w:rPr>
        <w:t xml:space="preserve">If a student is </w:t>
      </w:r>
      <w:r w:rsidR="00FE2F55">
        <w:rPr>
          <w:rFonts w:ascii="Times New Roman" w:hAnsi="Times New Roman" w:cs="Times New Roman"/>
          <w:sz w:val="24"/>
          <w:szCs w:val="24"/>
        </w:rPr>
        <w:t>enrolled in a PIVA</w:t>
      </w:r>
      <w:r w:rsidR="00FE2F55" w:rsidRPr="00B353CD">
        <w:rPr>
          <w:rFonts w:ascii="Times New Roman" w:hAnsi="Times New Roman" w:cs="Times New Roman"/>
          <w:sz w:val="24"/>
          <w:szCs w:val="24"/>
        </w:rPr>
        <w:t xml:space="preserve"> cohort, program staff should select “PIVA.” </w:t>
      </w:r>
    </w:p>
    <w:p w14:paraId="4FCFF579" w14:textId="7A45AB9E" w:rsidR="00613075" w:rsidRPr="00855FBA" w:rsidRDefault="00FB4C17" w:rsidP="00855FBA">
      <w:pPr>
        <w:pStyle w:val="ListParagraph"/>
        <w:numPr>
          <w:ilvl w:val="2"/>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u w:val="single"/>
        </w:rPr>
        <w:t>Workplace Literacy</w:t>
      </w:r>
      <w:r>
        <w:rPr>
          <w:rFonts w:ascii="Times New Roman" w:hAnsi="Times New Roman" w:cs="Times New Roman"/>
          <w:sz w:val="24"/>
          <w:szCs w:val="24"/>
        </w:rPr>
        <w:t xml:space="preserve"> – </w:t>
      </w:r>
      <w:r w:rsidR="00FE2F55">
        <w:rPr>
          <w:rFonts w:ascii="Times New Roman" w:hAnsi="Times New Roman" w:cs="Times New Roman"/>
          <w:sz w:val="24"/>
          <w:szCs w:val="24"/>
        </w:rPr>
        <w:t xml:space="preserve">If a student is enrolled in a Workplace Literacy </w:t>
      </w:r>
      <w:r w:rsidR="004518B0">
        <w:rPr>
          <w:rFonts w:ascii="Times New Roman" w:hAnsi="Times New Roman" w:cs="Times New Roman"/>
          <w:sz w:val="24"/>
          <w:szCs w:val="24"/>
        </w:rPr>
        <w:t>class</w:t>
      </w:r>
      <w:r w:rsidR="00FE2F55">
        <w:rPr>
          <w:rFonts w:ascii="Times New Roman" w:hAnsi="Times New Roman" w:cs="Times New Roman"/>
          <w:sz w:val="24"/>
          <w:szCs w:val="24"/>
        </w:rPr>
        <w:t>, program staff should check “Workplace Adult Education and Literacy.”</w:t>
      </w:r>
      <w:r w:rsidR="00855FBA">
        <w:rPr>
          <w:rFonts w:ascii="Times New Roman" w:hAnsi="Times New Roman" w:cs="Times New Roman"/>
          <w:sz w:val="24"/>
          <w:szCs w:val="24"/>
        </w:rPr>
        <w:t xml:space="preserve"> </w:t>
      </w:r>
      <w:r w:rsidR="00855FBA" w:rsidRPr="005850C4">
        <w:rPr>
          <w:rFonts w:ascii="Times New Roman" w:hAnsi="Times New Roman" w:cs="Times New Roman"/>
          <w:sz w:val="24"/>
          <w:szCs w:val="24"/>
        </w:rPr>
        <w:t>Remember</w:t>
      </w:r>
      <w:r w:rsidR="00855FBA">
        <w:rPr>
          <w:rFonts w:ascii="Times New Roman" w:hAnsi="Times New Roman" w:cs="Times New Roman"/>
          <w:sz w:val="24"/>
          <w:szCs w:val="24"/>
        </w:rPr>
        <w:t>: f</w:t>
      </w:r>
      <w:r w:rsidR="00855FBA" w:rsidRPr="005850C4">
        <w:rPr>
          <w:rFonts w:ascii="Times New Roman" w:hAnsi="Times New Roman" w:cs="Times New Roman"/>
          <w:bCs/>
          <w:sz w:val="24"/>
          <w:szCs w:val="24"/>
        </w:rPr>
        <w:t>or a</w:t>
      </w:r>
      <w:r w:rsidR="00855FBA">
        <w:rPr>
          <w:rFonts w:ascii="Times New Roman" w:hAnsi="Times New Roman" w:cs="Times New Roman"/>
          <w:bCs/>
          <w:sz w:val="24"/>
          <w:szCs w:val="24"/>
        </w:rPr>
        <w:t xml:space="preserve"> Workplace Literacy </w:t>
      </w:r>
      <w:r w:rsidR="00855FBA" w:rsidRPr="005850C4">
        <w:rPr>
          <w:rFonts w:ascii="Times New Roman" w:hAnsi="Times New Roman" w:cs="Times New Roman"/>
          <w:bCs/>
          <w:sz w:val="24"/>
          <w:szCs w:val="24"/>
        </w:rPr>
        <w:t>student to be eligible for a Type 3, Type 4, or Type 5 MSG, programs must selec</w:t>
      </w:r>
      <w:r w:rsidR="00855FBA">
        <w:rPr>
          <w:rFonts w:ascii="Times New Roman" w:hAnsi="Times New Roman" w:cs="Times New Roman"/>
          <w:bCs/>
          <w:sz w:val="24"/>
          <w:szCs w:val="24"/>
        </w:rPr>
        <w:t>t</w:t>
      </w:r>
      <w:r w:rsidR="00855FBA" w:rsidRPr="005850C4">
        <w:rPr>
          <w:rFonts w:ascii="Times New Roman" w:hAnsi="Times New Roman" w:cs="Times New Roman"/>
          <w:bCs/>
          <w:sz w:val="24"/>
          <w:szCs w:val="24"/>
        </w:rPr>
        <w:t xml:space="preserve"> this item.</w:t>
      </w:r>
      <w:r w:rsidR="00855FBA">
        <w:rPr>
          <w:rFonts w:ascii="Times New Roman" w:hAnsi="Times New Roman" w:cs="Times New Roman"/>
          <w:bCs/>
          <w:sz w:val="24"/>
          <w:szCs w:val="24"/>
        </w:rPr>
        <w:t xml:space="preserve"> (See Section 9, MSG Eligibility, for more information about requirements for reporting MSG Types 3, 4, and 5.)</w:t>
      </w:r>
    </w:p>
    <w:p w14:paraId="5B9549C7" w14:textId="5E1A2953" w:rsidR="00FB4C17" w:rsidRPr="00FB4C17" w:rsidRDefault="00613075" w:rsidP="00FB4C17">
      <w:pPr>
        <w:pStyle w:val="ListParagraph"/>
        <w:numPr>
          <w:ilvl w:val="1"/>
          <w:numId w:val="10"/>
        </w:numPr>
        <w:spacing w:before="240" w:after="120" w:line="240" w:lineRule="auto"/>
        <w:rPr>
          <w:rFonts w:ascii="Times New Roman" w:hAnsi="Times New Roman" w:cs="Times New Roman"/>
          <w:sz w:val="24"/>
          <w:szCs w:val="24"/>
        </w:rPr>
      </w:pPr>
      <w:r w:rsidRPr="00613075">
        <w:rPr>
          <w:rFonts w:ascii="Times New Roman" w:hAnsi="Times New Roman" w:cs="Times New Roman"/>
          <w:sz w:val="24"/>
          <w:szCs w:val="24"/>
        </w:rPr>
        <w:t>Federal/State Funding Source – Programs are required to have a Federal Funding Source selected for each student. In cases where a student’s federal funding is supplemented with state funds, a State Funding Source should be selected. Programs that receive Race to GED</w:t>
      </w:r>
      <w:r w:rsidRPr="00613075">
        <w:rPr>
          <w:rFonts w:ascii="Times New Roman" w:hAnsi="Times New Roman" w:cs="Times New Roman"/>
          <w:sz w:val="24"/>
          <w:szCs w:val="24"/>
          <w:vertAlign w:val="superscript"/>
        </w:rPr>
        <w:t>®</w:t>
      </w:r>
      <w:r w:rsidRPr="00613075">
        <w:rPr>
          <w:rFonts w:ascii="Times New Roman" w:hAnsi="Times New Roman" w:cs="Times New Roman"/>
          <w:sz w:val="24"/>
          <w:szCs w:val="24"/>
        </w:rPr>
        <w:t xml:space="preserve"> funding, </w:t>
      </w:r>
      <w:proofErr w:type="spellStart"/>
      <w:r w:rsidRPr="00613075">
        <w:rPr>
          <w:rFonts w:ascii="Times New Roman" w:hAnsi="Times New Roman" w:cs="Times New Roman"/>
          <w:sz w:val="24"/>
          <w:szCs w:val="24"/>
        </w:rPr>
        <w:t>PluggedIn</w:t>
      </w:r>
      <w:proofErr w:type="spellEnd"/>
      <w:r w:rsidRPr="00613075">
        <w:rPr>
          <w:rFonts w:ascii="Times New Roman" w:hAnsi="Times New Roman" w:cs="Times New Roman"/>
          <w:sz w:val="24"/>
          <w:szCs w:val="24"/>
        </w:rPr>
        <w:t xml:space="preserve"> Virginia (PIVA) funding, or both, are expected to select the appropriate State Funding Source for students supported with these funds. </w:t>
      </w:r>
    </w:p>
    <w:p w14:paraId="79C6FFDA" w14:textId="3767EF25" w:rsidR="0066288C" w:rsidRPr="00E54391" w:rsidRDefault="007E126C" w:rsidP="00FB4C17">
      <w:pPr>
        <w:pStyle w:val="ListParagraph"/>
        <w:numPr>
          <w:ilvl w:val="1"/>
          <w:numId w:val="10"/>
        </w:numPr>
        <w:spacing w:before="240" w:after="120" w:line="240" w:lineRule="auto"/>
        <w:contextualSpacing w:val="0"/>
        <w:rPr>
          <w:rFonts w:ascii="Times New Roman" w:hAnsi="Times New Roman" w:cs="Times New Roman"/>
          <w:sz w:val="24"/>
          <w:szCs w:val="24"/>
          <w:u w:val="single"/>
        </w:rPr>
      </w:pPr>
      <w:r w:rsidRPr="0066288C">
        <w:rPr>
          <w:rFonts w:ascii="Times New Roman" w:hAnsi="Times New Roman" w:cs="Times New Roman"/>
          <w:sz w:val="24"/>
          <w:szCs w:val="24"/>
        </w:rPr>
        <w:lastRenderedPageBreak/>
        <w:t xml:space="preserve">Program Exit – The last date of attendance becomes an exit date once </w:t>
      </w:r>
      <w:r w:rsidR="00945363" w:rsidRPr="0066288C">
        <w:rPr>
          <w:rFonts w:ascii="Times New Roman" w:hAnsi="Times New Roman" w:cs="Times New Roman"/>
          <w:sz w:val="24"/>
          <w:szCs w:val="24"/>
        </w:rPr>
        <w:t>a period of inactivity of 90 days has</w:t>
      </w:r>
      <w:r w:rsidRPr="0066288C">
        <w:rPr>
          <w:rFonts w:ascii="Times New Roman" w:hAnsi="Times New Roman" w:cs="Times New Roman"/>
          <w:sz w:val="24"/>
          <w:szCs w:val="24"/>
        </w:rPr>
        <w:t xml:space="preserve"> occurred</w:t>
      </w:r>
      <w:r w:rsidR="00AF012F" w:rsidRPr="0066288C">
        <w:rPr>
          <w:rFonts w:ascii="Times New Roman" w:hAnsi="Times New Roman" w:cs="Times New Roman"/>
          <w:sz w:val="24"/>
          <w:szCs w:val="24"/>
        </w:rPr>
        <w:t xml:space="preserve">. </w:t>
      </w:r>
      <w:r w:rsidR="0066288C" w:rsidRPr="0066288C">
        <w:rPr>
          <w:rFonts w:ascii="Times New Roman" w:hAnsi="Times New Roman" w:cs="Times New Roman"/>
          <w:sz w:val="24"/>
          <w:szCs w:val="24"/>
        </w:rPr>
        <w:t>Follow the guidance below depending on when the student’s last date of attendance occurred</w:t>
      </w:r>
      <w:r w:rsidR="00FC22C4">
        <w:rPr>
          <w:rFonts w:ascii="Times New Roman" w:hAnsi="Times New Roman" w:cs="Times New Roman"/>
          <w:sz w:val="24"/>
          <w:szCs w:val="24"/>
        </w:rPr>
        <w:t xml:space="preserve"> and/or why</w:t>
      </w:r>
      <w:r w:rsidR="00E54391">
        <w:rPr>
          <w:rFonts w:ascii="Times New Roman" w:hAnsi="Times New Roman" w:cs="Times New Roman"/>
          <w:sz w:val="24"/>
          <w:szCs w:val="24"/>
        </w:rPr>
        <w:t xml:space="preserve"> for addressing this item</w:t>
      </w:r>
      <w:r w:rsidR="0066288C" w:rsidRPr="0066288C">
        <w:rPr>
          <w:rFonts w:ascii="Times New Roman" w:hAnsi="Times New Roman" w:cs="Times New Roman"/>
          <w:sz w:val="24"/>
          <w:szCs w:val="24"/>
        </w:rPr>
        <w:t>.</w:t>
      </w:r>
    </w:p>
    <w:p w14:paraId="190C848C" w14:textId="21CD481F" w:rsidR="007E126C" w:rsidRPr="0066288C" w:rsidRDefault="0066288C" w:rsidP="00B353CD">
      <w:pPr>
        <w:pStyle w:val="ListParagraph"/>
        <w:spacing w:after="120" w:line="240" w:lineRule="auto"/>
        <w:ind w:left="1440"/>
        <w:contextualSpacing w:val="0"/>
        <w:rPr>
          <w:rFonts w:ascii="Times New Roman" w:hAnsi="Times New Roman" w:cs="Times New Roman"/>
          <w:sz w:val="24"/>
          <w:szCs w:val="24"/>
          <w:u w:val="single"/>
        </w:rPr>
      </w:pPr>
      <w:r>
        <w:rPr>
          <w:rFonts w:ascii="Times New Roman" w:hAnsi="Times New Roman" w:cs="Times New Roman"/>
          <w:sz w:val="24"/>
          <w:szCs w:val="24"/>
          <w:u w:val="single"/>
        </w:rPr>
        <w:t>Last date of attendance</w:t>
      </w:r>
      <w:r w:rsidR="007E126C" w:rsidRPr="0066288C">
        <w:rPr>
          <w:rFonts w:ascii="Times New Roman" w:hAnsi="Times New Roman" w:cs="Times New Roman"/>
          <w:sz w:val="24"/>
          <w:szCs w:val="24"/>
          <w:u w:val="single"/>
        </w:rPr>
        <w:t xml:space="preserve"> occur</w:t>
      </w:r>
      <w:r w:rsidR="00FC22C4">
        <w:rPr>
          <w:rFonts w:ascii="Times New Roman" w:hAnsi="Times New Roman" w:cs="Times New Roman"/>
          <w:sz w:val="24"/>
          <w:szCs w:val="24"/>
          <w:u w:val="single"/>
        </w:rPr>
        <w:t>s</w:t>
      </w:r>
      <w:r w:rsidR="007E126C" w:rsidRPr="0066288C">
        <w:rPr>
          <w:rFonts w:ascii="Times New Roman" w:hAnsi="Times New Roman" w:cs="Times New Roman"/>
          <w:sz w:val="24"/>
          <w:szCs w:val="24"/>
          <w:u w:val="single"/>
        </w:rPr>
        <w:t xml:space="preserve"> prior to April 2</w:t>
      </w:r>
    </w:p>
    <w:p w14:paraId="1045BE83" w14:textId="47B93749" w:rsidR="007E126C" w:rsidRPr="00F7231E" w:rsidRDefault="007E126C" w:rsidP="00B353CD">
      <w:pPr>
        <w:pStyle w:val="ListParagraph"/>
        <w:spacing w:after="120" w:line="240" w:lineRule="auto"/>
        <w:ind w:left="1440"/>
        <w:contextualSpacing w:val="0"/>
        <w:rPr>
          <w:rFonts w:ascii="Times New Roman" w:hAnsi="Times New Roman" w:cs="Times New Roman"/>
          <w:sz w:val="24"/>
          <w:szCs w:val="24"/>
        </w:rPr>
      </w:pPr>
      <w:r w:rsidRPr="00F7231E">
        <w:rPr>
          <w:rFonts w:ascii="Times New Roman" w:hAnsi="Times New Roman" w:cs="Times New Roman"/>
          <w:sz w:val="24"/>
          <w:szCs w:val="24"/>
        </w:rPr>
        <w:t>If a student’s last date of attendance was prior to April 2, 20</w:t>
      </w:r>
      <w:r w:rsidR="00A5144E" w:rsidRPr="00F7231E">
        <w:rPr>
          <w:rFonts w:ascii="Times New Roman" w:hAnsi="Times New Roman" w:cs="Times New Roman"/>
          <w:sz w:val="24"/>
          <w:szCs w:val="24"/>
        </w:rPr>
        <w:t>2</w:t>
      </w:r>
      <w:r w:rsidR="0066288C">
        <w:rPr>
          <w:rFonts w:ascii="Times New Roman" w:hAnsi="Times New Roman" w:cs="Times New Roman"/>
          <w:sz w:val="24"/>
          <w:szCs w:val="24"/>
        </w:rPr>
        <w:t>3,</w:t>
      </w:r>
      <w:r w:rsidRPr="00F7231E">
        <w:rPr>
          <w:rFonts w:ascii="Times New Roman" w:hAnsi="Times New Roman" w:cs="Times New Roman"/>
          <w:sz w:val="24"/>
          <w:szCs w:val="24"/>
        </w:rPr>
        <w:t xml:space="preserve"> program staff </w:t>
      </w:r>
      <w:r w:rsidR="0066288C">
        <w:rPr>
          <w:rFonts w:ascii="Times New Roman" w:hAnsi="Times New Roman" w:cs="Times New Roman"/>
          <w:sz w:val="24"/>
          <w:szCs w:val="24"/>
        </w:rPr>
        <w:t xml:space="preserve">should </w:t>
      </w:r>
      <w:r w:rsidRPr="00F7231E">
        <w:rPr>
          <w:rFonts w:ascii="Times New Roman" w:hAnsi="Times New Roman" w:cs="Times New Roman"/>
          <w:sz w:val="24"/>
          <w:szCs w:val="24"/>
        </w:rPr>
        <w:t>not enter an exit date</w:t>
      </w:r>
      <w:r w:rsidR="00AF012F" w:rsidRPr="00F7231E">
        <w:rPr>
          <w:rFonts w:ascii="Times New Roman" w:hAnsi="Times New Roman" w:cs="Times New Roman"/>
          <w:sz w:val="24"/>
          <w:szCs w:val="24"/>
        </w:rPr>
        <w:t xml:space="preserve">. </w:t>
      </w:r>
      <w:r w:rsidRPr="00F7231E">
        <w:rPr>
          <w:rFonts w:ascii="Times New Roman" w:hAnsi="Times New Roman" w:cs="Times New Roman"/>
          <w:sz w:val="24"/>
          <w:szCs w:val="24"/>
        </w:rPr>
        <w:t>SSWS will automatically identify the last date of attendance as an exit date</w:t>
      </w:r>
      <w:r w:rsidR="0066288C">
        <w:rPr>
          <w:rFonts w:ascii="Times New Roman" w:hAnsi="Times New Roman" w:cs="Times New Roman"/>
          <w:sz w:val="24"/>
          <w:szCs w:val="24"/>
        </w:rPr>
        <w:t xml:space="preserve"> once 90 days have passed</w:t>
      </w:r>
      <w:r w:rsidR="00AF012F" w:rsidRPr="00F7231E">
        <w:rPr>
          <w:rFonts w:ascii="Times New Roman" w:hAnsi="Times New Roman" w:cs="Times New Roman"/>
          <w:sz w:val="24"/>
          <w:szCs w:val="24"/>
        </w:rPr>
        <w:t xml:space="preserve">. </w:t>
      </w:r>
    </w:p>
    <w:p w14:paraId="5EAA5E49" w14:textId="2978FEA2" w:rsidR="007E126C" w:rsidRPr="0066288C" w:rsidRDefault="0066288C" w:rsidP="00B353CD">
      <w:pPr>
        <w:pStyle w:val="ListParagraph"/>
        <w:spacing w:after="120" w:line="240" w:lineRule="auto"/>
        <w:ind w:left="1440"/>
        <w:contextualSpacing w:val="0"/>
        <w:rPr>
          <w:rFonts w:ascii="Times New Roman" w:hAnsi="Times New Roman" w:cs="Times New Roman"/>
          <w:sz w:val="24"/>
          <w:szCs w:val="24"/>
          <w:u w:val="single"/>
        </w:rPr>
      </w:pPr>
      <w:r>
        <w:rPr>
          <w:rFonts w:ascii="Times New Roman" w:hAnsi="Times New Roman" w:cs="Times New Roman"/>
          <w:sz w:val="24"/>
          <w:szCs w:val="24"/>
          <w:u w:val="single"/>
        </w:rPr>
        <w:t>Last date of attendance</w:t>
      </w:r>
      <w:r w:rsidR="007E126C" w:rsidRPr="0066288C">
        <w:rPr>
          <w:rFonts w:ascii="Times New Roman" w:hAnsi="Times New Roman" w:cs="Times New Roman"/>
          <w:sz w:val="24"/>
          <w:szCs w:val="24"/>
          <w:u w:val="single"/>
        </w:rPr>
        <w:t xml:space="preserve"> occur</w:t>
      </w:r>
      <w:r w:rsidR="00FC22C4">
        <w:rPr>
          <w:rFonts w:ascii="Times New Roman" w:hAnsi="Times New Roman" w:cs="Times New Roman"/>
          <w:sz w:val="24"/>
          <w:szCs w:val="24"/>
          <w:u w:val="single"/>
        </w:rPr>
        <w:t>s</w:t>
      </w:r>
      <w:r w:rsidR="007E126C" w:rsidRPr="0066288C">
        <w:rPr>
          <w:rFonts w:ascii="Times New Roman" w:hAnsi="Times New Roman" w:cs="Times New Roman"/>
          <w:sz w:val="24"/>
          <w:szCs w:val="24"/>
          <w:u w:val="single"/>
        </w:rPr>
        <w:t xml:space="preserve"> on or after April 2</w:t>
      </w:r>
    </w:p>
    <w:p w14:paraId="48F00749" w14:textId="35C3E785" w:rsidR="007E126C" w:rsidRPr="00F7231E" w:rsidRDefault="007E126C" w:rsidP="00B353CD">
      <w:pPr>
        <w:pStyle w:val="ListParagraph"/>
        <w:spacing w:after="120" w:line="240" w:lineRule="auto"/>
        <w:ind w:left="1440"/>
        <w:contextualSpacing w:val="0"/>
        <w:rPr>
          <w:rFonts w:ascii="Times New Roman" w:hAnsi="Times New Roman" w:cs="Times New Roman"/>
          <w:sz w:val="24"/>
          <w:szCs w:val="24"/>
        </w:rPr>
      </w:pPr>
      <w:r w:rsidRPr="00F7231E">
        <w:rPr>
          <w:rFonts w:ascii="Times New Roman" w:hAnsi="Times New Roman" w:cs="Times New Roman"/>
          <w:sz w:val="24"/>
          <w:szCs w:val="24"/>
        </w:rPr>
        <w:t>If a student’s last date of attendance was between April 2</w:t>
      </w:r>
      <w:r w:rsidR="005D595E" w:rsidRPr="00F7231E">
        <w:rPr>
          <w:rFonts w:ascii="Times New Roman" w:hAnsi="Times New Roman" w:cs="Times New Roman"/>
          <w:sz w:val="24"/>
          <w:szCs w:val="24"/>
        </w:rPr>
        <w:t xml:space="preserve"> </w:t>
      </w:r>
      <w:r w:rsidRPr="00F7231E">
        <w:rPr>
          <w:rFonts w:ascii="Times New Roman" w:hAnsi="Times New Roman" w:cs="Times New Roman"/>
          <w:sz w:val="24"/>
          <w:szCs w:val="24"/>
        </w:rPr>
        <w:t>and June 30, 20</w:t>
      </w:r>
      <w:r w:rsidR="00A5144E" w:rsidRPr="00F7231E">
        <w:rPr>
          <w:rFonts w:ascii="Times New Roman" w:hAnsi="Times New Roman" w:cs="Times New Roman"/>
          <w:sz w:val="24"/>
          <w:szCs w:val="24"/>
        </w:rPr>
        <w:t>2</w:t>
      </w:r>
      <w:r w:rsidR="0066288C">
        <w:rPr>
          <w:rFonts w:ascii="Times New Roman" w:hAnsi="Times New Roman" w:cs="Times New Roman"/>
          <w:sz w:val="24"/>
          <w:szCs w:val="24"/>
        </w:rPr>
        <w:t>3</w:t>
      </w:r>
      <w:r w:rsidRPr="00F7231E">
        <w:rPr>
          <w:rFonts w:ascii="Times New Roman" w:hAnsi="Times New Roman" w:cs="Times New Roman"/>
          <w:sz w:val="24"/>
          <w:szCs w:val="24"/>
        </w:rPr>
        <w:t xml:space="preserve">, </w:t>
      </w:r>
      <w:r w:rsidR="0066288C">
        <w:rPr>
          <w:rFonts w:ascii="Times New Roman" w:hAnsi="Times New Roman" w:cs="Times New Roman"/>
          <w:sz w:val="24"/>
          <w:szCs w:val="24"/>
        </w:rPr>
        <w:t xml:space="preserve">program staff should not enter an exit date UNLESS the </w:t>
      </w:r>
      <w:r w:rsidRPr="00F7231E">
        <w:rPr>
          <w:rFonts w:ascii="Times New Roman" w:hAnsi="Times New Roman" w:cs="Times New Roman"/>
          <w:sz w:val="24"/>
          <w:szCs w:val="24"/>
        </w:rPr>
        <w:t>student</w:t>
      </w:r>
      <w:r w:rsidR="0066288C">
        <w:rPr>
          <w:rFonts w:ascii="Times New Roman" w:hAnsi="Times New Roman" w:cs="Times New Roman"/>
          <w:sz w:val="24"/>
          <w:szCs w:val="24"/>
        </w:rPr>
        <w:t xml:space="preserve"> later enrolled in a postsecondary education or training program </w:t>
      </w:r>
      <w:r w:rsidR="00A5144E" w:rsidRPr="00F7231E">
        <w:rPr>
          <w:rFonts w:ascii="Times New Roman" w:hAnsi="Times New Roman" w:cs="Times New Roman"/>
          <w:sz w:val="24"/>
          <w:szCs w:val="24"/>
        </w:rPr>
        <w:t>on or before June 30, 2022</w:t>
      </w:r>
      <w:r w:rsidR="0066288C">
        <w:rPr>
          <w:rFonts w:ascii="Times New Roman" w:hAnsi="Times New Roman" w:cs="Times New Roman"/>
          <w:sz w:val="24"/>
          <w:szCs w:val="24"/>
        </w:rPr>
        <w:t xml:space="preserve">. In this case, programs </w:t>
      </w:r>
      <w:r w:rsidR="0084042B" w:rsidRPr="00F7231E">
        <w:rPr>
          <w:rFonts w:ascii="Times New Roman" w:hAnsi="Times New Roman" w:cs="Times New Roman"/>
          <w:sz w:val="24"/>
          <w:szCs w:val="24"/>
        </w:rPr>
        <w:t>should enter the student’s last date of attendance</w:t>
      </w:r>
      <w:r w:rsidR="00960CD2" w:rsidRPr="00F7231E">
        <w:rPr>
          <w:rFonts w:ascii="Times New Roman" w:hAnsi="Times New Roman" w:cs="Times New Roman"/>
          <w:sz w:val="24"/>
          <w:szCs w:val="24"/>
        </w:rPr>
        <w:t xml:space="preserve"> as the exit date and indicate “Entered Postsecondary Program” as the </w:t>
      </w:r>
      <w:r w:rsidR="0066288C">
        <w:rPr>
          <w:rFonts w:ascii="Times New Roman" w:hAnsi="Times New Roman" w:cs="Times New Roman"/>
          <w:sz w:val="24"/>
          <w:szCs w:val="24"/>
        </w:rPr>
        <w:t>Exit Date Reason</w:t>
      </w:r>
      <w:r w:rsidR="0084042B" w:rsidRPr="00F7231E">
        <w:rPr>
          <w:rFonts w:ascii="Times New Roman" w:hAnsi="Times New Roman" w:cs="Times New Roman"/>
          <w:sz w:val="24"/>
          <w:szCs w:val="24"/>
        </w:rPr>
        <w:t>.</w:t>
      </w:r>
      <w:r w:rsidR="00A377E2">
        <w:rPr>
          <w:rFonts w:ascii="Times New Roman" w:hAnsi="Times New Roman" w:cs="Times New Roman"/>
          <w:sz w:val="24"/>
          <w:szCs w:val="24"/>
        </w:rPr>
        <w:t xml:space="preserve"> (For more information about data entry requirements for reporting a Transition to Postsecondary MSG, refer to Section 9, MSG Eligibility.)</w:t>
      </w:r>
    </w:p>
    <w:p w14:paraId="424CA7D5" w14:textId="1A46621B" w:rsidR="00FC22C4" w:rsidRDefault="00FC22C4" w:rsidP="00B353CD">
      <w:pPr>
        <w:pStyle w:val="ListParagraph"/>
        <w:spacing w:after="120" w:line="240" w:lineRule="auto"/>
        <w:ind w:left="1440"/>
        <w:contextualSpacing w:val="0"/>
        <w:rPr>
          <w:rFonts w:ascii="Times New Roman" w:hAnsi="Times New Roman" w:cs="Times New Roman"/>
          <w:sz w:val="24"/>
          <w:szCs w:val="24"/>
          <w:u w:val="single"/>
        </w:rPr>
      </w:pPr>
      <w:r>
        <w:rPr>
          <w:rFonts w:ascii="Times New Roman" w:hAnsi="Times New Roman" w:cs="Times New Roman"/>
          <w:sz w:val="24"/>
          <w:szCs w:val="24"/>
          <w:u w:val="single"/>
        </w:rPr>
        <w:t>Last date of attendance is the result of a special circumstance</w:t>
      </w:r>
    </w:p>
    <w:p w14:paraId="2F7AC3A7" w14:textId="3A584F31" w:rsidR="007E126C" w:rsidRPr="00B353CD" w:rsidRDefault="007E126C" w:rsidP="00B353CD">
      <w:pPr>
        <w:pStyle w:val="ListParagraph"/>
        <w:spacing w:after="120" w:line="240" w:lineRule="auto"/>
        <w:ind w:left="1440"/>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There are special circumstances </w:t>
      </w:r>
      <w:r w:rsidR="00FC22C4">
        <w:rPr>
          <w:rFonts w:ascii="Times New Roman" w:hAnsi="Times New Roman" w:cs="Times New Roman"/>
          <w:sz w:val="24"/>
          <w:szCs w:val="24"/>
        </w:rPr>
        <w:t>that may impact a</w:t>
      </w:r>
      <w:r w:rsidRPr="00B353CD">
        <w:rPr>
          <w:rFonts w:ascii="Times New Roman" w:hAnsi="Times New Roman" w:cs="Times New Roman"/>
          <w:sz w:val="24"/>
          <w:szCs w:val="24"/>
        </w:rPr>
        <w:t xml:space="preserve"> </w:t>
      </w:r>
      <w:r w:rsidR="00FC22C4">
        <w:rPr>
          <w:rFonts w:ascii="Times New Roman" w:hAnsi="Times New Roman" w:cs="Times New Roman"/>
          <w:sz w:val="24"/>
          <w:szCs w:val="24"/>
        </w:rPr>
        <w:t>student’s date of attendance. If a student’s departure</w:t>
      </w:r>
      <w:r w:rsidRPr="00B353CD">
        <w:rPr>
          <w:rFonts w:ascii="Times New Roman" w:hAnsi="Times New Roman" w:cs="Times New Roman"/>
          <w:sz w:val="24"/>
          <w:szCs w:val="24"/>
        </w:rPr>
        <w:t xml:space="preserve"> </w:t>
      </w:r>
      <w:proofErr w:type="gramStart"/>
      <w:r w:rsidR="00FC22C4">
        <w:rPr>
          <w:rFonts w:ascii="Times New Roman" w:hAnsi="Times New Roman" w:cs="Times New Roman"/>
          <w:sz w:val="24"/>
          <w:szCs w:val="24"/>
        </w:rPr>
        <w:t>is connected with</w:t>
      </w:r>
      <w:proofErr w:type="gramEnd"/>
      <w:r w:rsidR="00FC22C4">
        <w:rPr>
          <w:rFonts w:ascii="Times New Roman" w:hAnsi="Times New Roman" w:cs="Times New Roman"/>
          <w:sz w:val="24"/>
          <w:szCs w:val="24"/>
        </w:rPr>
        <w:t xml:space="preserve"> one of the following five special circumstances, programs should enter the student’s last date of attendance as </w:t>
      </w:r>
      <w:r w:rsidR="00E54391">
        <w:rPr>
          <w:rFonts w:ascii="Times New Roman" w:hAnsi="Times New Roman" w:cs="Times New Roman"/>
          <w:sz w:val="24"/>
          <w:szCs w:val="24"/>
        </w:rPr>
        <w:t>the</w:t>
      </w:r>
      <w:r w:rsidR="00FC22C4">
        <w:rPr>
          <w:rFonts w:ascii="Times New Roman" w:hAnsi="Times New Roman" w:cs="Times New Roman"/>
          <w:sz w:val="24"/>
          <w:szCs w:val="24"/>
        </w:rPr>
        <w:t xml:space="preserve"> “Exit Date” and select the </w:t>
      </w:r>
      <w:r w:rsidR="00E54391">
        <w:rPr>
          <w:rFonts w:ascii="Times New Roman" w:hAnsi="Times New Roman" w:cs="Times New Roman"/>
          <w:sz w:val="24"/>
          <w:szCs w:val="24"/>
        </w:rPr>
        <w:t xml:space="preserve">appropriate </w:t>
      </w:r>
      <w:r w:rsidR="00FC22C4">
        <w:rPr>
          <w:rFonts w:ascii="Times New Roman" w:hAnsi="Times New Roman" w:cs="Times New Roman"/>
          <w:sz w:val="24"/>
          <w:szCs w:val="24"/>
        </w:rPr>
        <w:t xml:space="preserve">circumstance under Exit Date Reason. </w:t>
      </w:r>
      <w:r w:rsidRPr="00B353CD">
        <w:rPr>
          <w:rFonts w:ascii="Times New Roman" w:hAnsi="Times New Roman" w:cs="Times New Roman"/>
          <w:sz w:val="24"/>
          <w:szCs w:val="24"/>
        </w:rPr>
        <w:t xml:space="preserve"> </w:t>
      </w:r>
    </w:p>
    <w:p w14:paraId="13B0AB72" w14:textId="6CCB6541" w:rsidR="007E126C" w:rsidRPr="00B353CD" w:rsidRDefault="00A5144E" w:rsidP="00B353CD">
      <w:pPr>
        <w:pStyle w:val="ListParagraph"/>
        <w:numPr>
          <w:ilvl w:val="2"/>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Deceased – A p</w:t>
      </w:r>
      <w:r w:rsidR="007E126C" w:rsidRPr="00B353CD">
        <w:rPr>
          <w:rFonts w:ascii="Times New Roman" w:hAnsi="Times New Roman" w:cs="Times New Roman"/>
          <w:sz w:val="24"/>
          <w:szCs w:val="24"/>
        </w:rPr>
        <w:t xml:space="preserve">articipant </w:t>
      </w:r>
      <w:r>
        <w:rPr>
          <w:rFonts w:ascii="Times New Roman" w:hAnsi="Times New Roman" w:cs="Times New Roman"/>
          <w:sz w:val="24"/>
          <w:szCs w:val="24"/>
        </w:rPr>
        <w:t>has passed away while enrolled in an adult education program.</w:t>
      </w:r>
    </w:p>
    <w:p w14:paraId="7BADFCB7" w14:textId="0008F49D" w:rsidR="007E126C" w:rsidRPr="00B353CD" w:rsidRDefault="00A5144E" w:rsidP="00B353CD">
      <w:pPr>
        <w:pStyle w:val="ListParagraph"/>
        <w:numPr>
          <w:ilvl w:val="2"/>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Called to Active Duty – A p</w:t>
      </w:r>
      <w:r w:rsidR="007E126C" w:rsidRPr="00B353CD">
        <w:rPr>
          <w:rFonts w:ascii="Times New Roman" w:hAnsi="Times New Roman" w:cs="Times New Roman"/>
          <w:sz w:val="24"/>
          <w:szCs w:val="24"/>
        </w:rPr>
        <w:t xml:space="preserve">articipant has been called to active </w:t>
      </w:r>
      <w:r>
        <w:rPr>
          <w:rFonts w:ascii="Times New Roman" w:hAnsi="Times New Roman" w:cs="Times New Roman"/>
          <w:sz w:val="24"/>
          <w:szCs w:val="24"/>
        </w:rPr>
        <w:t>m</w:t>
      </w:r>
      <w:r w:rsidR="00D368E7">
        <w:rPr>
          <w:rFonts w:ascii="Times New Roman" w:hAnsi="Times New Roman" w:cs="Times New Roman"/>
          <w:sz w:val="24"/>
          <w:szCs w:val="24"/>
        </w:rPr>
        <w:t xml:space="preserve">ilitary </w:t>
      </w:r>
      <w:r w:rsidR="007E126C" w:rsidRPr="00B353CD">
        <w:rPr>
          <w:rFonts w:ascii="Times New Roman" w:hAnsi="Times New Roman" w:cs="Times New Roman"/>
          <w:sz w:val="24"/>
          <w:szCs w:val="24"/>
        </w:rPr>
        <w:t>or National Reserve duty for 90 days or more.</w:t>
      </w:r>
    </w:p>
    <w:p w14:paraId="5CC5038C" w14:textId="19A6B409" w:rsidR="007E126C" w:rsidRPr="00B353CD" w:rsidRDefault="00A5144E" w:rsidP="00B353CD">
      <w:pPr>
        <w:pStyle w:val="ListParagraph"/>
        <w:numPr>
          <w:ilvl w:val="2"/>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Receiving Medical Treatment – A p</w:t>
      </w:r>
      <w:r w:rsidR="007E126C" w:rsidRPr="00B353CD">
        <w:rPr>
          <w:rFonts w:ascii="Times New Roman" w:hAnsi="Times New Roman" w:cs="Times New Roman"/>
          <w:sz w:val="24"/>
          <w:szCs w:val="24"/>
        </w:rPr>
        <w:t xml:space="preserve">articipant receives medical treatment that is expected to last 90 days or longer. </w:t>
      </w:r>
    </w:p>
    <w:p w14:paraId="0F88E472" w14:textId="220A46DC" w:rsidR="00B6693D" w:rsidRDefault="00A5144E" w:rsidP="00B353CD">
      <w:pPr>
        <w:pStyle w:val="ListParagraph"/>
        <w:numPr>
          <w:ilvl w:val="2"/>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Incarcerated – A p</w:t>
      </w:r>
      <w:r w:rsidR="007E126C" w:rsidRPr="00B353CD">
        <w:rPr>
          <w:rFonts w:ascii="Times New Roman" w:hAnsi="Times New Roman" w:cs="Times New Roman"/>
          <w:sz w:val="24"/>
          <w:szCs w:val="24"/>
        </w:rPr>
        <w:t xml:space="preserve">articipant becomes incarcerated in a </w:t>
      </w:r>
      <w:proofErr w:type="gramStart"/>
      <w:r w:rsidR="007E126C" w:rsidRPr="00B353CD">
        <w:rPr>
          <w:rFonts w:ascii="Times New Roman" w:hAnsi="Times New Roman" w:cs="Times New Roman"/>
          <w:sz w:val="24"/>
          <w:szCs w:val="24"/>
        </w:rPr>
        <w:t>correctional facility</w:t>
      </w:r>
      <w:proofErr w:type="gramEnd"/>
      <w:r w:rsidR="00B6693D">
        <w:rPr>
          <w:rFonts w:ascii="Times New Roman" w:hAnsi="Times New Roman" w:cs="Times New Roman"/>
          <w:sz w:val="24"/>
          <w:szCs w:val="24"/>
        </w:rPr>
        <w:t xml:space="preserve"> for 90 days or more.</w:t>
      </w:r>
    </w:p>
    <w:p w14:paraId="608C077F" w14:textId="22CCB2BE" w:rsidR="007C483F" w:rsidRPr="00D036DD" w:rsidRDefault="00B6693D" w:rsidP="00D036DD">
      <w:pPr>
        <w:pStyle w:val="ListParagraph"/>
        <w:numPr>
          <w:ilvl w:val="2"/>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Placed in an Institution – A participant</w:t>
      </w:r>
      <w:r w:rsidR="007E126C" w:rsidRPr="00B353CD">
        <w:rPr>
          <w:rFonts w:ascii="Times New Roman" w:hAnsi="Times New Roman" w:cs="Times New Roman"/>
          <w:sz w:val="24"/>
          <w:szCs w:val="24"/>
        </w:rPr>
        <w:t xml:space="preserve"> has become a resident of an institution or facility providing 24-hour support.</w:t>
      </w:r>
    </w:p>
    <w:p w14:paraId="69C50A78" w14:textId="29E5C08F" w:rsidR="007E126C" w:rsidRPr="00B353CD" w:rsidRDefault="007E126C" w:rsidP="00B353CD">
      <w:pPr>
        <w:pStyle w:val="Heading2"/>
        <w:numPr>
          <w:ilvl w:val="0"/>
          <w:numId w:val="10"/>
        </w:numPr>
        <w:spacing w:before="0" w:after="120" w:line="240" w:lineRule="auto"/>
        <w:rPr>
          <w:rFonts w:ascii="Times New Roman" w:hAnsi="Times New Roman" w:cs="Times New Roman"/>
          <w:color w:val="auto"/>
        </w:rPr>
      </w:pPr>
      <w:bookmarkStart w:id="3" w:name="_Toc105689113"/>
      <w:r w:rsidRPr="00B353CD">
        <w:rPr>
          <w:rFonts w:ascii="Times New Roman" w:hAnsi="Times New Roman" w:cs="Times New Roman"/>
          <w:color w:val="auto"/>
        </w:rPr>
        <w:t>Student Tests</w:t>
      </w:r>
      <w:bookmarkEnd w:id="3"/>
    </w:p>
    <w:p w14:paraId="472F8705" w14:textId="486CC6AE" w:rsidR="007E126C" w:rsidRPr="00B353CD" w:rsidRDefault="007E126C" w:rsidP="00B353CD">
      <w:pPr>
        <w:pStyle w:val="ListParagraph"/>
        <w:numPr>
          <w:ilvl w:val="1"/>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The date of a pre- or a post-test must be entered as attendance before entering the test information in SSWS</w:t>
      </w:r>
      <w:r w:rsidR="00AF012F" w:rsidRPr="00B353CD">
        <w:rPr>
          <w:rFonts w:ascii="Times New Roman" w:hAnsi="Times New Roman" w:cs="Times New Roman"/>
          <w:sz w:val="24"/>
          <w:szCs w:val="24"/>
        </w:rPr>
        <w:t xml:space="preserve">. </w:t>
      </w:r>
      <w:r w:rsidRPr="00B353CD">
        <w:rPr>
          <w:rFonts w:ascii="Times New Roman" w:hAnsi="Times New Roman" w:cs="Times New Roman"/>
          <w:sz w:val="24"/>
          <w:szCs w:val="24"/>
        </w:rPr>
        <w:t xml:space="preserve">If program staff try to enter test information before </w:t>
      </w:r>
      <w:r w:rsidR="006C5E4B">
        <w:rPr>
          <w:rFonts w:ascii="Times New Roman" w:hAnsi="Times New Roman" w:cs="Times New Roman"/>
          <w:sz w:val="24"/>
          <w:szCs w:val="24"/>
        </w:rPr>
        <w:t>assigning attendance to a test date</w:t>
      </w:r>
      <w:r w:rsidRPr="00B353CD">
        <w:rPr>
          <w:rFonts w:ascii="Times New Roman" w:hAnsi="Times New Roman" w:cs="Times New Roman"/>
          <w:sz w:val="24"/>
          <w:szCs w:val="24"/>
        </w:rPr>
        <w:t>, the system will not allow the test information to be saved.</w:t>
      </w:r>
    </w:p>
    <w:p w14:paraId="254D4F49" w14:textId="41B3658C" w:rsidR="007E126C" w:rsidRDefault="00060A81" w:rsidP="00094246">
      <w:pPr>
        <w:pStyle w:val="ListParagraph"/>
        <w:numPr>
          <w:ilvl w:val="1"/>
          <w:numId w:val="10"/>
        </w:numPr>
        <w:spacing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H</w:t>
      </w:r>
      <w:r w:rsidR="007E126C" w:rsidRPr="00B353CD">
        <w:rPr>
          <w:rFonts w:ascii="Times New Roman" w:hAnsi="Times New Roman" w:cs="Times New Roman"/>
          <w:sz w:val="24"/>
          <w:szCs w:val="24"/>
        </w:rPr>
        <w:t xml:space="preserve">ours assigned to </w:t>
      </w:r>
      <w:r w:rsidR="001E19DE">
        <w:rPr>
          <w:rFonts w:ascii="Times New Roman" w:hAnsi="Times New Roman" w:cs="Times New Roman"/>
          <w:sz w:val="24"/>
          <w:szCs w:val="24"/>
        </w:rPr>
        <w:t>a test also count towards the</w:t>
      </w:r>
      <w:r w:rsidR="00A44D14" w:rsidRPr="00B353CD">
        <w:rPr>
          <w:rFonts w:ascii="Times New Roman" w:hAnsi="Times New Roman" w:cs="Times New Roman"/>
          <w:sz w:val="24"/>
          <w:szCs w:val="24"/>
        </w:rPr>
        <w:t xml:space="preserve"> </w:t>
      </w:r>
      <w:r w:rsidR="007E126C" w:rsidRPr="00B353CD">
        <w:rPr>
          <w:rFonts w:ascii="Times New Roman" w:hAnsi="Times New Roman" w:cs="Times New Roman"/>
          <w:sz w:val="24"/>
          <w:szCs w:val="24"/>
        </w:rPr>
        <w:t xml:space="preserve">next </w:t>
      </w:r>
      <w:r w:rsidR="001E19DE">
        <w:rPr>
          <w:rFonts w:ascii="Times New Roman" w:hAnsi="Times New Roman" w:cs="Times New Roman"/>
          <w:sz w:val="24"/>
          <w:szCs w:val="24"/>
        </w:rPr>
        <w:t xml:space="preserve">administration of the </w:t>
      </w:r>
      <w:r w:rsidR="007E126C" w:rsidRPr="00B353CD">
        <w:rPr>
          <w:rFonts w:ascii="Times New Roman" w:hAnsi="Times New Roman" w:cs="Times New Roman"/>
          <w:sz w:val="24"/>
          <w:szCs w:val="24"/>
        </w:rPr>
        <w:t>test</w:t>
      </w:r>
      <w:r w:rsidR="00FC1C4A" w:rsidRPr="00B353CD">
        <w:rPr>
          <w:rFonts w:ascii="Times New Roman" w:hAnsi="Times New Roman" w:cs="Times New Roman"/>
          <w:sz w:val="24"/>
          <w:szCs w:val="24"/>
        </w:rPr>
        <w:t xml:space="preserve"> in the same subject area</w:t>
      </w:r>
      <w:r w:rsidR="00AF012F" w:rsidRPr="00B353CD">
        <w:rPr>
          <w:rFonts w:ascii="Times New Roman" w:hAnsi="Times New Roman" w:cs="Times New Roman"/>
          <w:sz w:val="24"/>
          <w:szCs w:val="24"/>
        </w:rPr>
        <w:t xml:space="preserve">. </w:t>
      </w:r>
      <w:r w:rsidR="007E126C" w:rsidRPr="00B353CD">
        <w:rPr>
          <w:rFonts w:ascii="Times New Roman" w:hAnsi="Times New Roman" w:cs="Times New Roman"/>
          <w:sz w:val="24"/>
          <w:szCs w:val="24"/>
        </w:rPr>
        <w:t xml:space="preserve">For example, if three hours of attendance </w:t>
      </w:r>
      <w:r w:rsidR="00D7644B">
        <w:rPr>
          <w:rFonts w:ascii="Times New Roman" w:hAnsi="Times New Roman" w:cs="Times New Roman"/>
          <w:sz w:val="24"/>
          <w:szCs w:val="24"/>
        </w:rPr>
        <w:t xml:space="preserve">are assigned </w:t>
      </w:r>
      <w:r w:rsidR="007E126C" w:rsidRPr="00B353CD">
        <w:rPr>
          <w:rFonts w:ascii="Times New Roman" w:hAnsi="Times New Roman" w:cs="Times New Roman"/>
          <w:sz w:val="24"/>
          <w:szCs w:val="24"/>
        </w:rPr>
        <w:t xml:space="preserve">to a date on which a </w:t>
      </w:r>
      <w:r w:rsidR="006C5E4B">
        <w:rPr>
          <w:rFonts w:ascii="Times New Roman" w:hAnsi="Times New Roman" w:cs="Times New Roman"/>
          <w:sz w:val="24"/>
          <w:szCs w:val="24"/>
        </w:rPr>
        <w:t xml:space="preserve">CASAS Goals Reading </w:t>
      </w:r>
      <w:r w:rsidR="007E126C" w:rsidRPr="00B353CD">
        <w:rPr>
          <w:rFonts w:ascii="Times New Roman" w:hAnsi="Times New Roman" w:cs="Times New Roman"/>
          <w:sz w:val="24"/>
          <w:szCs w:val="24"/>
        </w:rPr>
        <w:t xml:space="preserve">pre-test was administered, the three hours will count towards the next </w:t>
      </w:r>
      <w:r w:rsidR="006C5E4B">
        <w:rPr>
          <w:rFonts w:ascii="Times New Roman" w:hAnsi="Times New Roman" w:cs="Times New Roman"/>
          <w:sz w:val="24"/>
          <w:szCs w:val="24"/>
        </w:rPr>
        <w:t xml:space="preserve">CASAS Goals Reading </w:t>
      </w:r>
      <w:r w:rsidR="007E126C" w:rsidRPr="00B353CD">
        <w:rPr>
          <w:rFonts w:ascii="Times New Roman" w:hAnsi="Times New Roman" w:cs="Times New Roman"/>
          <w:sz w:val="24"/>
          <w:szCs w:val="24"/>
        </w:rPr>
        <w:t>test</w:t>
      </w:r>
      <w:r w:rsidR="006C5E4B">
        <w:rPr>
          <w:rFonts w:ascii="Times New Roman" w:hAnsi="Times New Roman" w:cs="Times New Roman"/>
          <w:sz w:val="24"/>
          <w:szCs w:val="24"/>
        </w:rPr>
        <w:t>, typically</w:t>
      </w:r>
      <w:r w:rsidR="007E126C" w:rsidRPr="00B353CD">
        <w:rPr>
          <w:rFonts w:ascii="Times New Roman" w:hAnsi="Times New Roman" w:cs="Times New Roman"/>
          <w:sz w:val="24"/>
          <w:szCs w:val="24"/>
        </w:rPr>
        <w:t xml:space="preserve"> administered</w:t>
      </w:r>
      <w:r w:rsidR="006C5E4B">
        <w:rPr>
          <w:rFonts w:ascii="Times New Roman" w:hAnsi="Times New Roman" w:cs="Times New Roman"/>
          <w:sz w:val="24"/>
          <w:szCs w:val="24"/>
        </w:rPr>
        <w:t xml:space="preserve"> as a post-test</w:t>
      </w:r>
      <w:r w:rsidR="007E126C" w:rsidRPr="00B353CD">
        <w:rPr>
          <w:rFonts w:ascii="Times New Roman" w:hAnsi="Times New Roman" w:cs="Times New Roman"/>
          <w:sz w:val="24"/>
          <w:szCs w:val="24"/>
        </w:rPr>
        <w:t>.</w:t>
      </w:r>
    </w:p>
    <w:p w14:paraId="47317612" w14:textId="41962B56" w:rsidR="007E126C" w:rsidRPr="00B353CD" w:rsidRDefault="007E126C" w:rsidP="00B353CD">
      <w:pPr>
        <w:pStyle w:val="Heading2"/>
        <w:numPr>
          <w:ilvl w:val="0"/>
          <w:numId w:val="10"/>
        </w:numPr>
        <w:spacing w:after="120"/>
        <w:rPr>
          <w:rFonts w:ascii="Times New Roman" w:hAnsi="Times New Roman" w:cs="Times New Roman"/>
          <w:color w:val="auto"/>
        </w:rPr>
      </w:pPr>
      <w:bookmarkStart w:id="4" w:name="_Toc105689114"/>
      <w:r w:rsidRPr="00B353CD">
        <w:rPr>
          <w:rFonts w:ascii="Times New Roman" w:hAnsi="Times New Roman" w:cs="Times New Roman"/>
          <w:color w:val="auto"/>
        </w:rPr>
        <w:lastRenderedPageBreak/>
        <w:t>GED</w:t>
      </w:r>
      <w:r w:rsidRPr="001E19DE">
        <w:rPr>
          <w:rFonts w:ascii="Times New Roman" w:hAnsi="Times New Roman" w:cs="Times New Roman"/>
          <w:color w:val="auto"/>
          <w:vertAlign w:val="superscript"/>
        </w:rPr>
        <w:t>®</w:t>
      </w:r>
      <w:r w:rsidRPr="00B353CD">
        <w:rPr>
          <w:rFonts w:ascii="Times New Roman" w:hAnsi="Times New Roman" w:cs="Times New Roman"/>
          <w:color w:val="auto"/>
        </w:rPr>
        <w:t xml:space="preserve"> Test </w:t>
      </w:r>
      <w:r w:rsidR="003B54F0">
        <w:rPr>
          <w:rFonts w:ascii="Times New Roman" w:hAnsi="Times New Roman" w:cs="Times New Roman"/>
          <w:color w:val="auto"/>
        </w:rPr>
        <w:t>Information</w:t>
      </w:r>
      <w:bookmarkEnd w:id="4"/>
      <w:r w:rsidR="00392E46" w:rsidRPr="00B353CD">
        <w:rPr>
          <w:rFonts w:ascii="Times New Roman" w:hAnsi="Times New Roman" w:cs="Times New Roman"/>
          <w:color w:val="auto"/>
        </w:rPr>
        <w:t xml:space="preserve"> </w:t>
      </w:r>
    </w:p>
    <w:p w14:paraId="4F8B674E" w14:textId="06F74DEB" w:rsidR="007E126C" w:rsidRPr="00B353CD" w:rsidRDefault="007E126C" w:rsidP="00B353CD">
      <w:pPr>
        <w:pStyle w:val="ListParagraph"/>
        <w:numPr>
          <w:ilvl w:val="1"/>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GED</w:t>
      </w:r>
      <w:r w:rsidRPr="00B353CD">
        <w:rPr>
          <w:rFonts w:ascii="Times New Roman" w:hAnsi="Times New Roman" w:cs="Times New Roman"/>
          <w:sz w:val="24"/>
          <w:szCs w:val="24"/>
          <w:vertAlign w:val="superscript"/>
        </w:rPr>
        <w:t>®</w:t>
      </w:r>
      <w:r w:rsidRPr="00B353CD">
        <w:rPr>
          <w:rFonts w:ascii="Times New Roman" w:hAnsi="Times New Roman" w:cs="Times New Roman"/>
          <w:sz w:val="24"/>
          <w:szCs w:val="24"/>
        </w:rPr>
        <w:t xml:space="preserve"> ID – To be able to enter GED</w:t>
      </w:r>
      <w:r w:rsidRPr="00B353CD">
        <w:rPr>
          <w:rFonts w:ascii="Times New Roman" w:hAnsi="Times New Roman" w:cs="Times New Roman"/>
          <w:sz w:val="24"/>
          <w:szCs w:val="24"/>
          <w:vertAlign w:val="superscript"/>
        </w:rPr>
        <w:t>®</w:t>
      </w:r>
      <w:r w:rsidRPr="00B353CD">
        <w:rPr>
          <w:rFonts w:ascii="Times New Roman" w:hAnsi="Times New Roman" w:cs="Times New Roman"/>
          <w:sz w:val="24"/>
          <w:szCs w:val="24"/>
        </w:rPr>
        <w:t xml:space="preserve"> scores, programs must first enter the student’s GED</w:t>
      </w:r>
      <w:r w:rsidRPr="00B353CD">
        <w:rPr>
          <w:rFonts w:ascii="Times New Roman" w:hAnsi="Times New Roman" w:cs="Times New Roman"/>
          <w:sz w:val="24"/>
          <w:szCs w:val="24"/>
          <w:vertAlign w:val="superscript"/>
        </w:rPr>
        <w:t>®</w:t>
      </w:r>
      <w:r w:rsidRPr="00B353CD">
        <w:rPr>
          <w:rFonts w:ascii="Times New Roman" w:hAnsi="Times New Roman" w:cs="Times New Roman"/>
          <w:sz w:val="24"/>
          <w:szCs w:val="24"/>
        </w:rPr>
        <w:t xml:space="preserve"> ID</w:t>
      </w:r>
      <w:r w:rsidR="00AF012F" w:rsidRPr="00B353CD">
        <w:rPr>
          <w:rFonts w:ascii="Times New Roman" w:hAnsi="Times New Roman" w:cs="Times New Roman"/>
          <w:sz w:val="24"/>
          <w:szCs w:val="24"/>
        </w:rPr>
        <w:t xml:space="preserve">. </w:t>
      </w:r>
      <w:r w:rsidRPr="00B353CD">
        <w:rPr>
          <w:rFonts w:ascii="Times New Roman" w:hAnsi="Times New Roman" w:cs="Times New Roman"/>
          <w:sz w:val="24"/>
          <w:szCs w:val="24"/>
        </w:rPr>
        <w:t>The system will not allow GED</w:t>
      </w:r>
      <w:r w:rsidRPr="00B353CD">
        <w:rPr>
          <w:rFonts w:ascii="Times New Roman" w:hAnsi="Times New Roman" w:cs="Times New Roman"/>
          <w:sz w:val="24"/>
          <w:szCs w:val="24"/>
          <w:vertAlign w:val="superscript"/>
        </w:rPr>
        <w:t>®</w:t>
      </w:r>
      <w:r w:rsidRPr="00B353CD">
        <w:rPr>
          <w:rFonts w:ascii="Times New Roman" w:hAnsi="Times New Roman" w:cs="Times New Roman"/>
          <w:sz w:val="24"/>
          <w:szCs w:val="24"/>
        </w:rPr>
        <w:t xml:space="preserve"> results to be entered without first entering the GED</w:t>
      </w:r>
      <w:r w:rsidRPr="00B353CD">
        <w:rPr>
          <w:rFonts w:ascii="Times New Roman" w:hAnsi="Times New Roman" w:cs="Times New Roman"/>
          <w:sz w:val="24"/>
          <w:szCs w:val="24"/>
          <w:vertAlign w:val="superscript"/>
        </w:rPr>
        <w:t>®</w:t>
      </w:r>
      <w:r w:rsidRPr="00B353CD">
        <w:rPr>
          <w:rFonts w:ascii="Times New Roman" w:hAnsi="Times New Roman" w:cs="Times New Roman"/>
          <w:sz w:val="24"/>
          <w:szCs w:val="24"/>
        </w:rPr>
        <w:t xml:space="preserve"> ID.</w:t>
      </w:r>
      <w:r w:rsidR="003B54F0">
        <w:rPr>
          <w:rFonts w:ascii="Times New Roman" w:hAnsi="Times New Roman" w:cs="Times New Roman"/>
          <w:sz w:val="24"/>
          <w:szCs w:val="24"/>
        </w:rPr>
        <w:t xml:space="preserve"> Also, conducting a data match for determining GED</w:t>
      </w:r>
      <w:r w:rsidR="003B54F0" w:rsidRPr="003B54F0">
        <w:rPr>
          <w:rFonts w:ascii="Times New Roman" w:hAnsi="Times New Roman" w:cs="Times New Roman"/>
          <w:sz w:val="24"/>
          <w:szCs w:val="24"/>
          <w:vertAlign w:val="superscript"/>
        </w:rPr>
        <w:t>®</w:t>
      </w:r>
      <w:r w:rsidR="003B54F0">
        <w:rPr>
          <w:rFonts w:ascii="Times New Roman" w:hAnsi="Times New Roman" w:cs="Times New Roman"/>
          <w:sz w:val="24"/>
          <w:szCs w:val="24"/>
          <w:vertAlign w:val="superscript"/>
        </w:rPr>
        <w:t xml:space="preserve"> </w:t>
      </w:r>
      <w:r w:rsidR="003B54F0">
        <w:rPr>
          <w:rFonts w:ascii="Times New Roman" w:hAnsi="Times New Roman" w:cs="Times New Roman"/>
          <w:sz w:val="24"/>
          <w:szCs w:val="24"/>
        </w:rPr>
        <w:t>attainment requires a GED</w:t>
      </w:r>
      <w:r w:rsidR="003B54F0" w:rsidRPr="003B54F0">
        <w:rPr>
          <w:rFonts w:ascii="Times New Roman" w:hAnsi="Times New Roman" w:cs="Times New Roman"/>
          <w:sz w:val="24"/>
          <w:szCs w:val="24"/>
          <w:vertAlign w:val="superscript"/>
        </w:rPr>
        <w:t>®</w:t>
      </w:r>
      <w:r w:rsidR="003B54F0">
        <w:rPr>
          <w:rFonts w:ascii="Times New Roman" w:hAnsi="Times New Roman" w:cs="Times New Roman"/>
          <w:sz w:val="24"/>
          <w:szCs w:val="24"/>
        </w:rPr>
        <w:t xml:space="preserve"> ID (see B(II) below).</w:t>
      </w:r>
    </w:p>
    <w:p w14:paraId="3E597428" w14:textId="77777777" w:rsidR="001E19DE" w:rsidRDefault="007E126C" w:rsidP="00B353CD">
      <w:pPr>
        <w:pStyle w:val="ListParagraph"/>
        <w:numPr>
          <w:ilvl w:val="1"/>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GED</w:t>
      </w:r>
      <w:r w:rsidRPr="00B353CD">
        <w:rPr>
          <w:rFonts w:ascii="Times New Roman" w:hAnsi="Times New Roman" w:cs="Times New Roman"/>
          <w:sz w:val="24"/>
          <w:szCs w:val="24"/>
          <w:vertAlign w:val="superscript"/>
        </w:rPr>
        <w:t>®</w:t>
      </w:r>
      <w:r w:rsidRPr="00B353CD">
        <w:rPr>
          <w:rFonts w:ascii="Times New Roman" w:hAnsi="Times New Roman" w:cs="Times New Roman"/>
          <w:sz w:val="24"/>
          <w:szCs w:val="24"/>
        </w:rPr>
        <w:t xml:space="preserve"> </w:t>
      </w:r>
      <w:r w:rsidR="001E19DE">
        <w:rPr>
          <w:rFonts w:ascii="Times New Roman" w:hAnsi="Times New Roman" w:cs="Times New Roman"/>
          <w:sz w:val="24"/>
          <w:szCs w:val="24"/>
        </w:rPr>
        <w:t>Test Scores:</w:t>
      </w:r>
    </w:p>
    <w:p w14:paraId="3CD335D9" w14:textId="5FFEE7B4" w:rsidR="00B55525" w:rsidRDefault="001E19DE" w:rsidP="001E19DE">
      <w:pPr>
        <w:pStyle w:val="ListParagraph"/>
        <w:numPr>
          <w:ilvl w:val="2"/>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 student is</w:t>
      </w:r>
      <w:r w:rsidR="007E126C" w:rsidRPr="00B353CD">
        <w:rPr>
          <w:rFonts w:ascii="Times New Roman" w:hAnsi="Times New Roman" w:cs="Times New Roman"/>
          <w:sz w:val="24"/>
          <w:szCs w:val="24"/>
        </w:rPr>
        <w:t xml:space="preserve"> </w:t>
      </w:r>
      <w:r w:rsidR="00B55525">
        <w:rPr>
          <w:rFonts w:ascii="Times New Roman" w:hAnsi="Times New Roman" w:cs="Times New Roman"/>
          <w:sz w:val="24"/>
          <w:szCs w:val="24"/>
        </w:rPr>
        <w:t>recognized as</w:t>
      </w:r>
      <w:r w:rsidR="007E126C" w:rsidRPr="00B353CD">
        <w:rPr>
          <w:rFonts w:ascii="Times New Roman" w:hAnsi="Times New Roman" w:cs="Times New Roman"/>
          <w:sz w:val="24"/>
          <w:szCs w:val="24"/>
        </w:rPr>
        <w:t xml:space="preserve"> demonstrating a </w:t>
      </w:r>
      <w:r>
        <w:rPr>
          <w:rFonts w:ascii="Times New Roman" w:hAnsi="Times New Roman" w:cs="Times New Roman"/>
          <w:sz w:val="24"/>
          <w:szCs w:val="24"/>
        </w:rPr>
        <w:t>secondary credential attainment</w:t>
      </w:r>
      <w:r w:rsidR="007E126C" w:rsidRPr="00B353CD">
        <w:rPr>
          <w:rFonts w:ascii="Times New Roman" w:hAnsi="Times New Roman" w:cs="Times New Roman"/>
          <w:sz w:val="24"/>
          <w:szCs w:val="24"/>
        </w:rPr>
        <w:t xml:space="preserve"> MSG on NRS Table 4 </w:t>
      </w:r>
      <w:r w:rsidR="00B55525" w:rsidRPr="00B353CD">
        <w:rPr>
          <w:rFonts w:ascii="Times New Roman" w:hAnsi="Times New Roman" w:cs="Times New Roman"/>
          <w:sz w:val="24"/>
          <w:szCs w:val="24"/>
        </w:rPr>
        <w:t>once passing scores fo</w:t>
      </w:r>
      <w:r w:rsidR="00B55525">
        <w:rPr>
          <w:rFonts w:ascii="Times New Roman" w:hAnsi="Times New Roman" w:cs="Times New Roman"/>
          <w:sz w:val="24"/>
          <w:szCs w:val="24"/>
        </w:rPr>
        <w:t>r all four subjects are entered in SSWS.</w:t>
      </w:r>
    </w:p>
    <w:p w14:paraId="51ECBA84" w14:textId="403568B4" w:rsidR="007E126C" w:rsidRPr="003B54F0" w:rsidRDefault="00B55525" w:rsidP="003B54F0">
      <w:pPr>
        <w:pStyle w:val="ListParagraph"/>
        <w:numPr>
          <w:ilvl w:val="2"/>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A student is eligible for being evaluated for se</w:t>
      </w:r>
      <w:r w:rsidR="007E126C" w:rsidRPr="00B353CD">
        <w:rPr>
          <w:rFonts w:ascii="Times New Roman" w:hAnsi="Times New Roman" w:cs="Times New Roman"/>
          <w:sz w:val="24"/>
          <w:szCs w:val="24"/>
        </w:rPr>
        <w:t xml:space="preserve">condary credential attainment on NRS Table 5 </w:t>
      </w:r>
      <w:r>
        <w:rPr>
          <w:rFonts w:ascii="Times New Roman" w:hAnsi="Times New Roman" w:cs="Times New Roman"/>
          <w:sz w:val="24"/>
          <w:szCs w:val="24"/>
        </w:rPr>
        <w:t xml:space="preserve">if </w:t>
      </w:r>
      <w:r w:rsidR="003B54F0" w:rsidRPr="00B353CD">
        <w:rPr>
          <w:rFonts w:ascii="Times New Roman" w:hAnsi="Times New Roman" w:cs="Times New Roman"/>
          <w:sz w:val="24"/>
          <w:szCs w:val="24"/>
        </w:rPr>
        <w:t>passing scores fo</w:t>
      </w:r>
      <w:r w:rsidR="003B54F0">
        <w:rPr>
          <w:rFonts w:ascii="Times New Roman" w:hAnsi="Times New Roman" w:cs="Times New Roman"/>
          <w:sz w:val="24"/>
          <w:szCs w:val="24"/>
        </w:rPr>
        <w:t>r all four subjects are entered in SSWS</w:t>
      </w:r>
      <w:r w:rsidRPr="00B353CD">
        <w:rPr>
          <w:rFonts w:ascii="Times New Roman" w:hAnsi="Times New Roman" w:cs="Times New Roman"/>
          <w:sz w:val="24"/>
          <w:szCs w:val="24"/>
        </w:rPr>
        <w:t xml:space="preserve"> </w:t>
      </w:r>
      <w:r>
        <w:rPr>
          <w:rFonts w:ascii="Times New Roman" w:hAnsi="Times New Roman" w:cs="Times New Roman"/>
          <w:sz w:val="24"/>
          <w:szCs w:val="24"/>
        </w:rPr>
        <w:t xml:space="preserve">or if </w:t>
      </w:r>
      <w:r w:rsidR="00D036DD">
        <w:rPr>
          <w:rFonts w:ascii="Times New Roman" w:hAnsi="Times New Roman" w:cs="Times New Roman"/>
          <w:sz w:val="24"/>
          <w:szCs w:val="24"/>
        </w:rPr>
        <w:t xml:space="preserve">through an external data match, </w:t>
      </w:r>
      <w:r>
        <w:rPr>
          <w:rFonts w:ascii="Times New Roman" w:hAnsi="Times New Roman" w:cs="Times New Roman"/>
          <w:sz w:val="24"/>
          <w:szCs w:val="24"/>
        </w:rPr>
        <w:t>the student is identified as a GED</w:t>
      </w:r>
      <w:r w:rsidRPr="00B55525">
        <w:rPr>
          <w:rFonts w:ascii="Times New Roman" w:hAnsi="Times New Roman" w:cs="Times New Roman"/>
          <w:sz w:val="24"/>
          <w:szCs w:val="24"/>
          <w:vertAlign w:val="superscript"/>
        </w:rPr>
        <w:t>®</w:t>
      </w:r>
      <w:r>
        <w:rPr>
          <w:rFonts w:ascii="Times New Roman" w:hAnsi="Times New Roman" w:cs="Times New Roman"/>
          <w:sz w:val="24"/>
          <w:szCs w:val="24"/>
        </w:rPr>
        <w:t xml:space="preserve"> Completer</w:t>
      </w:r>
      <w:r w:rsidR="00D036DD">
        <w:rPr>
          <w:rFonts w:ascii="Times New Roman" w:hAnsi="Times New Roman" w:cs="Times New Roman"/>
          <w:sz w:val="24"/>
          <w:szCs w:val="24"/>
        </w:rPr>
        <w:t>. The matching process for determining whether a student is a GED</w:t>
      </w:r>
      <w:r w:rsidR="00D036DD" w:rsidRPr="00B55525">
        <w:rPr>
          <w:rFonts w:ascii="Times New Roman" w:hAnsi="Times New Roman" w:cs="Times New Roman"/>
          <w:sz w:val="24"/>
          <w:szCs w:val="24"/>
          <w:vertAlign w:val="superscript"/>
        </w:rPr>
        <w:t>®</w:t>
      </w:r>
      <w:r w:rsidR="00D036DD">
        <w:rPr>
          <w:rFonts w:ascii="Times New Roman" w:hAnsi="Times New Roman" w:cs="Times New Roman"/>
          <w:sz w:val="24"/>
          <w:szCs w:val="24"/>
        </w:rPr>
        <w:t xml:space="preserve"> Completer is based on using the student’s GED</w:t>
      </w:r>
      <w:r w:rsidR="00D036DD" w:rsidRPr="003B54F0">
        <w:rPr>
          <w:rFonts w:ascii="Times New Roman" w:hAnsi="Times New Roman" w:cs="Times New Roman"/>
          <w:sz w:val="24"/>
          <w:szCs w:val="24"/>
          <w:vertAlign w:val="superscript"/>
        </w:rPr>
        <w:t>®</w:t>
      </w:r>
      <w:r w:rsidR="00D036DD">
        <w:rPr>
          <w:rFonts w:ascii="Times New Roman" w:hAnsi="Times New Roman" w:cs="Times New Roman"/>
          <w:sz w:val="24"/>
          <w:szCs w:val="24"/>
        </w:rPr>
        <w:t xml:space="preserve"> ID</w:t>
      </w:r>
      <w:r>
        <w:rPr>
          <w:rFonts w:ascii="Times New Roman" w:hAnsi="Times New Roman" w:cs="Times New Roman"/>
          <w:sz w:val="24"/>
          <w:szCs w:val="24"/>
        </w:rPr>
        <w:t xml:space="preserve">. </w:t>
      </w:r>
    </w:p>
    <w:p w14:paraId="2DD0B0C3" w14:textId="7F64EFC7" w:rsidR="007E126C" w:rsidRPr="00B353CD" w:rsidRDefault="007E126C" w:rsidP="00B353CD">
      <w:pPr>
        <w:pStyle w:val="Heading2"/>
        <w:numPr>
          <w:ilvl w:val="0"/>
          <w:numId w:val="10"/>
        </w:numPr>
        <w:spacing w:after="120"/>
        <w:rPr>
          <w:rFonts w:ascii="Times New Roman" w:hAnsi="Times New Roman" w:cs="Times New Roman"/>
          <w:color w:val="auto"/>
        </w:rPr>
      </w:pPr>
      <w:bookmarkStart w:id="5" w:name="_Toc105689115"/>
      <w:r w:rsidRPr="00B353CD">
        <w:rPr>
          <w:rFonts w:ascii="Times New Roman" w:hAnsi="Times New Roman" w:cs="Times New Roman"/>
          <w:color w:val="auto"/>
        </w:rPr>
        <w:t>Diploma Program Enrollment</w:t>
      </w:r>
      <w:bookmarkEnd w:id="5"/>
    </w:p>
    <w:p w14:paraId="3A19F5A5" w14:textId="77777777" w:rsidR="007E126C" w:rsidRPr="00B353CD" w:rsidRDefault="007E126C" w:rsidP="00B353CD">
      <w:pPr>
        <w:pStyle w:val="ListParagraph"/>
        <w:numPr>
          <w:ilvl w:val="1"/>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Programs must enter the required diploma program information for students to be recognized for being enrolled in a program leading to a General Achievement Adult High School Diploma (GAAHSD) or an Adult High School Diploma.</w:t>
      </w:r>
    </w:p>
    <w:p w14:paraId="10F18C64" w14:textId="49754359" w:rsidR="007E126C" w:rsidRPr="00B353CD" w:rsidRDefault="007E126C" w:rsidP="00B353CD">
      <w:pPr>
        <w:pStyle w:val="ListParagraph"/>
        <w:numPr>
          <w:ilvl w:val="1"/>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“Active” Step – To recognize student participation in any of the three adult education diploma programs (i.e., GAAHSD, Adult High School </w:t>
      </w:r>
      <w:r w:rsidR="00D036DD">
        <w:rPr>
          <w:rFonts w:ascii="Times New Roman" w:hAnsi="Times New Roman" w:cs="Times New Roman"/>
          <w:sz w:val="24"/>
          <w:szCs w:val="24"/>
        </w:rPr>
        <w:t xml:space="preserve">Diploma </w:t>
      </w:r>
      <w:r w:rsidRPr="00B353CD">
        <w:rPr>
          <w:rFonts w:ascii="Times New Roman" w:hAnsi="Times New Roman" w:cs="Times New Roman"/>
          <w:sz w:val="24"/>
          <w:szCs w:val="24"/>
        </w:rPr>
        <w:t>program, and NEDP), program staff must enter program enrollment information</w:t>
      </w:r>
      <w:r w:rsidR="00AF012F" w:rsidRPr="00B353CD">
        <w:rPr>
          <w:rFonts w:ascii="Times New Roman" w:hAnsi="Times New Roman" w:cs="Times New Roman"/>
          <w:sz w:val="24"/>
          <w:szCs w:val="24"/>
        </w:rPr>
        <w:t xml:space="preserve">. </w:t>
      </w:r>
      <w:r w:rsidRPr="00B353CD">
        <w:rPr>
          <w:rFonts w:ascii="Times New Roman" w:hAnsi="Times New Roman" w:cs="Times New Roman"/>
          <w:sz w:val="24"/>
          <w:szCs w:val="24"/>
        </w:rPr>
        <w:t>When a student first enrolls, programs must select “Active,” which will automatically prompt program staff to enter a registration date</w:t>
      </w:r>
      <w:r w:rsidR="00AF012F" w:rsidRPr="00B353CD">
        <w:rPr>
          <w:rFonts w:ascii="Times New Roman" w:hAnsi="Times New Roman" w:cs="Times New Roman"/>
          <w:sz w:val="24"/>
          <w:szCs w:val="24"/>
        </w:rPr>
        <w:t xml:space="preserve">. </w:t>
      </w:r>
      <w:r w:rsidRPr="00B353CD">
        <w:rPr>
          <w:rFonts w:ascii="Times New Roman" w:hAnsi="Times New Roman" w:cs="Times New Roman"/>
          <w:sz w:val="24"/>
          <w:szCs w:val="24"/>
        </w:rPr>
        <w:t xml:space="preserve">Enrollment information will not be saved without a registration date. </w:t>
      </w:r>
    </w:p>
    <w:p w14:paraId="1DA39CD1" w14:textId="6605E428" w:rsidR="007E126C" w:rsidRPr="00B353CD" w:rsidRDefault="000A1B7E" w:rsidP="00B353CD">
      <w:pPr>
        <w:pStyle w:val="ListParagraph"/>
        <w:spacing w:after="120" w:line="240" w:lineRule="auto"/>
        <w:ind w:left="1440"/>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Note: </w:t>
      </w:r>
      <w:r w:rsidR="007E126C" w:rsidRPr="00B353CD">
        <w:rPr>
          <w:rFonts w:ascii="Times New Roman" w:hAnsi="Times New Roman" w:cs="Times New Roman"/>
          <w:sz w:val="24"/>
          <w:szCs w:val="24"/>
        </w:rPr>
        <w:t>The system will not allow entry of a registration date unless attendance has already been entered for that date.</w:t>
      </w:r>
    </w:p>
    <w:p w14:paraId="28C3B227" w14:textId="7514A403" w:rsidR="007E126C" w:rsidRPr="00B353CD" w:rsidRDefault="007E126C" w:rsidP="00B353CD">
      <w:pPr>
        <w:pStyle w:val="ListParagraph"/>
        <w:numPr>
          <w:ilvl w:val="1"/>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NEDP MSG – SSWS will automatically recognize an MSG for NEDP students who make the transition from the Diagnostic Phase to the Generalized Assessment phase</w:t>
      </w:r>
      <w:r w:rsidR="003B54F0">
        <w:rPr>
          <w:rFonts w:ascii="Times New Roman" w:hAnsi="Times New Roman" w:cs="Times New Roman"/>
          <w:sz w:val="24"/>
          <w:szCs w:val="24"/>
        </w:rPr>
        <w:t>. This occurs</w:t>
      </w:r>
      <w:r w:rsidRPr="00B353CD">
        <w:rPr>
          <w:rFonts w:ascii="Times New Roman" w:hAnsi="Times New Roman" w:cs="Times New Roman"/>
          <w:sz w:val="24"/>
          <w:szCs w:val="24"/>
        </w:rPr>
        <w:t xml:space="preserve"> when the status “Enrolled in NEDP Assessment Phase” has been selected and the required information completed. </w:t>
      </w:r>
    </w:p>
    <w:p w14:paraId="76964CCB" w14:textId="5F9F0D5F" w:rsidR="007E126C" w:rsidRPr="00B353CD" w:rsidRDefault="007E126C" w:rsidP="00B353CD">
      <w:pPr>
        <w:pStyle w:val="ListParagraph"/>
        <w:numPr>
          <w:ilvl w:val="1"/>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Secondary Credential MSG – SSWS will automatically recognize demonstration of an MSG for all diploma program students who earn a diploma wh</w:t>
      </w:r>
      <w:r w:rsidR="009C2F28" w:rsidRPr="00B353CD">
        <w:rPr>
          <w:rFonts w:ascii="Times New Roman" w:hAnsi="Times New Roman" w:cs="Times New Roman"/>
          <w:sz w:val="24"/>
          <w:szCs w:val="24"/>
        </w:rPr>
        <w:t xml:space="preserve">en “Earned Diploma” is </w:t>
      </w:r>
      <w:proofErr w:type="gramStart"/>
      <w:r w:rsidR="009C2F28" w:rsidRPr="00B353CD">
        <w:rPr>
          <w:rFonts w:ascii="Times New Roman" w:hAnsi="Times New Roman" w:cs="Times New Roman"/>
          <w:sz w:val="24"/>
          <w:szCs w:val="24"/>
        </w:rPr>
        <w:t>selected</w:t>
      </w:r>
      <w:proofErr w:type="gramEnd"/>
      <w:r w:rsidRPr="00B353CD">
        <w:rPr>
          <w:rFonts w:ascii="Times New Roman" w:hAnsi="Times New Roman" w:cs="Times New Roman"/>
          <w:sz w:val="24"/>
          <w:szCs w:val="24"/>
        </w:rPr>
        <w:t xml:space="preserve"> and the required information completed.</w:t>
      </w:r>
      <w:r w:rsidR="00D036DD">
        <w:rPr>
          <w:rFonts w:ascii="Times New Roman" w:hAnsi="Times New Roman" w:cs="Times New Roman"/>
          <w:sz w:val="24"/>
          <w:szCs w:val="24"/>
        </w:rPr>
        <w:t xml:space="preserve"> </w:t>
      </w:r>
      <w:r w:rsidR="0017157E">
        <w:rPr>
          <w:rFonts w:ascii="Times New Roman" w:hAnsi="Times New Roman" w:cs="Times New Roman"/>
          <w:sz w:val="24"/>
          <w:szCs w:val="24"/>
        </w:rPr>
        <w:t>(</w:t>
      </w:r>
      <w:r w:rsidR="00D036DD">
        <w:rPr>
          <w:rFonts w:ascii="Times New Roman" w:hAnsi="Times New Roman" w:cs="Times New Roman"/>
          <w:sz w:val="24"/>
          <w:szCs w:val="24"/>
        </w:rPr>
        <w:t>Remember: a GED</w:t>
      </w:r>
      <w:r w:rsidR="00D036DD" w:rsidRPr="00B55525">
        <w:rPr>
          <w:rFonts w:ascii="Times New Roman" w:hAnsi="Times New Roman" w:cs="Times New Roman"/>
          <w:sz w:val="24"/>
          <w:szCs w:val="24"/>
          <w:vertAlign w:val="superscript"/>
        </w:rPr>
        <w:t>®</w:t>
      </w:r>
      <w:r w:rsidR="00D036DD">
        <w:rPr>
          <w:rFonts w:ascii="Times New Roman" w:hAnsi="Times New Roman" w:cs="Times New Roman"/>
          <w:sz w:val="24"/>
          <w:szCs w:val="24"/>
        </w:rPr>
        <w:t xml:space="preserve"> is not considered a </w:t>
      </w:r>
      <w:r w:rsidR="0078692D">
        <w:rPr>
          <w:rFonts w:ascii="Times New Roman" w:hAnsi="Times New Roman" w:cs="Times New Roman"/>
          <w:sz w:val="24"/>
          <w:szCs w:val="24"/>
        </w:rPr>
        <w:t>diploma and, therefore, information for recognizing a GED</w:t>
      </w:r>
      <w:r w:rsidR="0078692D" w:rsidRPr="00B55525">
        <w:rPr>
          <w:rFonts w:ascii="Times New Roman" w:hAnsi="Times New Roman" w:cs="Times New Roman"/>
          <w:sz w:val="24"/>
          <w:szCs w:val="24"/>
          <w:vertAlign w:val="superscript"/>
        </w:rPr>
        <w:t>®</w:t>
      </w:r>
      <w:r w:rsidR="00A377E2">
        <w:rPr>
          <w:rFonts w:ascii="Times New Roman" w:hAnsi="Times New Roman" w:cs="Times New Roman"/>
          <w:sz w:val="24"/>
          <w:szCs w:val="24"/>
        </w:rPr>
        <w:t xml:space="preserve">-based </w:t>
      </w:r>
      <w:r w:rsidR="0078692D">
        <w:rPr>
          <w:rFonts w:ascii="Times New Roman" w:hAnsi="Times New Roman" w:cs="Times New Roman"/>
          <w:sz w:val="24"/>
          <w:szCs w:val="24"/>
        </w:rPr>
        <w:t xml:space="preserve">secondary credential </w:t>
      </w:r>
      <w:r w:rsidR="00A377E2">
        <w:rPr>
          <w:rFonts w:ascii="Times New Roman" w:hAnsi="Times New Roman" w:cs="Times New Roman"/>
          <w:sz w:val="24"/>
          <w:szCs w:val="24"/>
        </w:rPr>
        <w:t xml:space="preserve">MSG </w:t>
      </w:r>
      <w:r w:rsidR="0078692D">
        <w:rPr>
          <w:rFonts w:ascii="Times New Roman" w:hAnsi="Times New Roman" w:cs="Times New Roman"/>
          <w:sz w:val="24"/>
          <w:szCs w:val="24"/>
        </w:rPr>
        <w:t>must be entered through the “GED Test Information” data collection</w:t>
      </w:r>
      <w:r w:rsidR="0017157E">
        <w:rPr>
          <w:rFonts w:ascii="Times New Roman" w:hAnsi="Times New Roman" w:cs="Times New Roman"/>
          <w:sz w:val="24"/>
          <w:szCs w:val="24"/>
        </w:rPr>
        <w:t>, described in</w:t>
      </w:r>
      <w:r w:rsidR="0078692D">
        <w:rPr>
          <w:rFonts w:ascii="Times New Roman" w:hAnsi="Times New Roman" w:cs="Times New Roman"/>
          <w:sz w:val="24"/>
          <w:szCs w:val="24"/>
        </w:rPr>
        <w:t xml:space="preserve"> Section 4 above.</w:t>
      </w:r>
      <w:r w:rsidR="0017157E">
        <w:rPr>
          <w:rFonts w:ascii="Times New Roman" w:hAnsi="Times New Roman" w:cs="Times New Roman"/>
          <w:sz w:val="24"/>
          <w:szCs w:val="24"/>
        </w:rPr>
        <w:t>)</w:t>
      </w:r>
    </w:p>
    <w:p w14:paraId="7F0D04A6" w14:textId="2DEB37C9" w:rsidR="007E126C" w:rsidRPr="00B353CD" w:rsidRDefault="007E126C" w:rsidP="00094246">
      <w:pPr>
        <w:pStyle w:val="ListParagraph"/>
        <w:numPr>
          <w:ilvl w:val="1"/>
          <w:numId w:val="10"/>
        </w:numPr>
        <w:spacing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To report that a student earned a secondary credential, the adult education program must have </w:t>
      </w:r>
      <w:r w:rsidR="003B54F0">
        <w:rPr>
          <w:rFonts w:ascii="Times New Roman" w:hAnsi="Times New Roman" w:cs="Times New Roman"/>
          <w:sz w:val="24"/>
          <w:szCs w:val="24"/>
        </w:rPr>
        <w:t xml:space="preserve">verifiable </w:t>
      </w:r>
      <w:r w:rsidRPr="00B353CD">
        <w:rPr>
          <w:rFonts w:ascii="Times New Roman" w:hAnsi="Times New Roman" w:cs="Times New Roman"/>
          <w:sz w:val="24"/>
          <w:szCs w:val="24"/>
        </w:rPr>
        <w:t xml:space="preserve">evidence of the credential attainment in the student file (e.g., a photocopy of the credential with the student’s name and issue date or communication from the school division confirming </w:t>
      </w:r>
      <w:r w:rsidR="009C2F28" w:rsidRPr="00B353CD">
        <w:rPr>
          <w:rFonts w:ascii="Times New Roman" w:hAnsi="Times New Roman" w:cs="Times New Roman"/>
          <w:sz w:val="24"/>
          <w:szCs w:val="24"/>
        </w:rPr>
        <w:t xml:space="preserve">that </w:t>
      </w:r>
      <w:r w:rsidRPr="00B353CD">
        <w:rPr>
          <w:rFonts w:ascii="Times New Roman" w:hAnsi="Times New Roman" w:cs="Times New Roman"/>
          <w:sz w:val="24"/>
          <w:szCs w:val="24"/>
        </w:rPr>
        <w:t xml:space="preserve">the </w:t>
      </w:r>
      <w:r w:rsidR="009C2F28" w:rsidRPr="00B353CD">
        <w:rPr>
          <w:rFonts w:ascii="Times New Roman" w:hAnsi="Times New Roman" w:cs="Times New Roman"/>
          <w:sz w:val="24"/>
          <w:szCs w:val="24"/>
        </w:rPr>
        <w:t xml:space="preserve">student earned the </w:t>
      </w:r>
      <w:r w:rsidR="009C2F28" w:rsidRPr="00B353CD">
        <w:rPr>
          <w:rFonts w:ascii="Times New Roman" w:hAnsi="Times New Roman" w:cs="Times New Roman"/>
          <w:sz w:val="24"/>
          <w:szCs w:val="24"/>
        </w:rPr>
        <w:lastRenderedPageBreak/>
        <w:t>credential</w:t>
      </w:r>
      <w:r w:rsidRPr="00B353CD">
        <w:rPr>
          <w:rFonts w:ascii="Times New Roman" w:hAnsi="Times New Roman" w:cs="Times New Roman"/>
          <w:sz w:val="24"/>
          <w:szCs w:val="24"/>
        </w:rPr>
        <w:t>)</w:t>
      </w:r>
      <w:r w:rsidR="00AF012F" w:rsidRPr="00B353CD">
        <w:rPr>
          <w:rFonts w:ascii="Times New Roman" w:hAnsi="Times New Roman" w:cs="Times New Roman"/>
          <w:sz w:val="24"/>
          <w:szCs w:val="24"/>
        </w:rPr>
        <w:t xml:space="preserve">. </w:t>
      </w:r>
      <w:r w:rsidRPr="00B353CD">
        <w:rPr>
          <w:rFonts w:ascii="Times New Roman" w:hAnsi="Times New Roman" w:cs="Times New Roman"/>
          <w:sz w:val="24"/>
          <w:szCs w:val="24"/>
        </w:rPr>
        <w:t xml:space="preserve">An email from the student indicating that he or she earned the secondary credential is not </w:t>
      </w:r>
      <w:r w:rsidR="003B54F0">
        <w:rPr>
          <w:rFonts w:ascii="Times New Roman" w:hAnsi="Times New Roman" w:cs="Times New Roman"/>
          <w:sz w:val="24"/>
          <w:szCs w:val="24"/>
        </w:rPr>
        <w:t xml:space="preserve">verifiable and is, therefore, </w:t>
      </w:r>
      <w:r w:rsidR="0078692D">
        <w:rPr>
          <w:rFonts w:ascii="Times New Roman" w:hAnsi="Times New Roman" w:cs="Times New Roman"/>
          <w:sz w:val="24"/>
          <w:szCs w:val="24"/>
        </w:rPr>
        <w:t>considered to be in</w:t>
      </w:r>
      <w:r w:rsidRPr="00B353CD">
        <w:rPr>
          <w:rFonts w:ascii="Times New Roman" w:hAnsi="Times New Roman" w:cs="Times New Roman"/>
          <w:sz w:val="24"/>
          <w:szCs w:val="24"/>
        </w:rPr>
        <w:t>sufficient.</w:t>
      </w:r>
    </w:p>
    <w:p w14:paraId="6F23DE6C" w14:textId="5E674419" w:rsidR="007E126C" w:rsidRPr="00B353CD" w:rsidRDefault="007E126C" w:rsidP="00B353CD">
      <w:pPr>
        <w:pStyle w:val="Heading2"/>
        <w:numPr>
          <w:ilvl w:val="0"/>
          <w:numId w:val="10"/>
        </w:numPr>
        <w:spacing w:after="120"/>
        <w:rPr>
          <w:rFonts w:ascii="Times New Roman" w:hAnsi="Times New Roman" w:cs="Times New Roman"/>
          <w:color w:val="auto"/>
        </w:rPr>
      </w:pPr>
      <w:bookmarkStart w:id="6" w:name="_Toc105689116"/>
      <w:r w:rsidRPr="00B353CD">
        <w:rPr>
          <w:rFonts w:ascii="Times New Roman" w:hAnsi="Times New Roman" w:cs="Times New Roman"/>
          <w:color w:val="auto"/>
        </w:rPr>
        <w:t>Postsecondary Education/Training Program Enrollment</w:t>
      </w:r>
      <w:r w:rsidR="00664BDC" w:rsidRPr="00B353CD">
        <w:rPr>
          <w:rFonts w:ascii="Times New Roman" w:hAnsi="Times New Roman" w:cs="Times New Roman"/>
          <w:color w:val="auto"/>
        </w:rPr>
        <w:t xml:space="preserve"> and</w:t>
      </w:r>
      <w:r w:rsidRPr="00B353CD">
        <w:rPr>
          <w:rFonts w:ascii="Times New Roman" w:hAnsi="Times New Roman" w:cs="Times New Roman"/>
          <w:color w:val="auto"/>
        </w:rPr>
        <w:t xml:space="preserve"> Certification</w:t>
      </w:r>
      <w:bookmarkEnd w:id="6"/>
      <w:r w:rsidR="00392E46" w:rsidRPr="00B353CD">
        <w:rPr>
          <w:rFonts w:ascii="Times New Roman" w:hAnsi="Times New Roman" w:cs="Times New Roman"/>
          <w:color w:val="auto"/>
        </w:rPr>
        <w:t xml:space="preserve"> </w:t>
      </w:r>
    </w:p>
    <w:p w14:paraId="42AD1D44" w14:textId="657AAD1E" w:rsidR="007B55F9" w:rsidRDefault="009E7F36" w:rsidP="00B353CD">
      <w:pPr>
        <w:pStyle w:val="ListParagraph"/>
        <w:numPr>
          <w:ilvl w:val="1"/>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Entry into</w:t>
      </w:r>
      <w:r w:rsidR="007B55F9">
        <w:rPr>
          <w:rFonts w:ascii="Times New Roman" w:hAnsi="Times New Roman" w:cs="Times New Roman"/>
          <w:sz w:val="24"/>
          <w:szCs w:val="24"/>
        </w:rPr>
        <w:t xml:space="preserve"> Postsecondary MSG – SSWS will automatically recognize a student as having attained a Transition to Postsecondary MSG when the following sequence has been documented:</w:t>
      </w:r>
    </w:p>
    <w:p w14:paraId="1B8A3D0D" w14:textId="77777777" w:rsidR="007B55F9" w:rsidRDefault="007B55F9" w:rsidP="007B55F9">
      <w:pPr>
        <w:pStyle w:val="ListParagraph"/>
        <w:numPr>
          <w:ilvl w:val="2"/>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 student has earned Participant </w:t>
      </w:r>
      <w:proofErr w:type="gramStart"/>
      <w:r>
        <w:rPr>
          <w:rFonts w:ascii="Times New Roman" w:hAnsi="Times New Roman" w:cs="Times New Roman"/>
          <w:sz w:val="24"/>
          <w:szCs w:val="24"/>
        </w:rPr>
        <w:t>status;</w:t>
      </w:r>
      <w:proofErr w:type="gramEnd"/>
    </w:p>
    <w:p w14:paraId="317DCE4A" w14:textId="2AD5FBB2" w:rsidR="007B55F9" w:rsidRDefault="007B55F9" w:rsidP="007B55F9">
      <w:pPr>
        <w:pStyle w:val="ListParagraph"/>
        <w:numPr>
          <w:ilvl w:val="2"/>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The student has exited an adult education program;</w:t>
      </w:r>
      <w:r w:rsidR="00F24166">
        <w:rPr>
          <w:rFonts w:ascii="Times New Roman" w:hAnsi="Times New Roman" w:cs="Times New Roman"/>
          <w:sz w:val="24"/>
          <w:szCs w:val="24"/>
        </w:rPr>
        <w:t xml:space="preserve"> and</w:t>
      </w:r>
    </w:p>
    <w:p w14:paraId="6EB58D54" w14:textId="28581DD7" w:rsidR="007B55F9" w:rsidRDefault="007B55F9" w:rsidP="007B55F9">
      <w:pPr>
        <w:pStyle w:val="ListParagraph"/>
        <w:numPr>
          <w:ilvl w:val="2"/>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The student has enrolled in a postsecondary education or training program.</w:t>
      </w:r>
    </w:p>
    <w:p w14:paraId="577D8776" w14:textId="69A274E6" w:rsidR="007B55F9" w:rsidRPr="007B55F9" w:rsidRDefault="007B55F9" w:rsidP="007B55F9">
      <w:pPr>
        <w:spacing w:after="120" w:line="240" w:lineRule="auto"/>
        <w:ind w:left="1440"/>
        <w:rPr>
          <w:rFonts w:ascii="Times New Roman" w:hAnsi="Times New Roman" w:cs="Times New Roman"/>
          <w:sz w:val="24"/>
          <w:szCs w:val="24"/>
        </w:rPr>
      </w:pPr>
      <w:r>
        <w:rPr>
          <w:rFonts w:ascii="Times New Roman" w:hAnsi="Times New Roman" w:cs="Times New Roman"/>
          <w:sz w:val="24"/>
          <w:szCs w:val="24"/>
        </w:rPr>
        <w:t>For Step II, programs are not required to assign a justification of a student’s exit before entering the information for Step III. For example, if a participant’s last day of attendance is September 30 and program staff receive documentation that the student enrolled in a postseco</w:t>
      </w:r>
      <w:r w:rsidR="005B0496">
        <w:rPr>
          <w:rFonts w:ascii="Times New Roman" w:hAnsi="Times New Roman" w:cs="Times New Roman"/>
          <w:sz w:val="24"/>
          <w:szCs w:val="24"/>
        </w:rPr>
        <w:t>ndary program on October 2, program staff may enter the postsecondary enrollment date without having to wait 90 days after September 30. Once 90 days have passed,</w:t>
      </w:r>
      <w:r>
        <w:rPr>
          <w:rFonts w:ascii="Times New Roman" w:hAnsi="Times New Roman" w:cs="Times New Roman"/>
          <w:sz w:val="24"/>
          <w:szCs w:val="24"/>
        </w:rPr>
        <w:t xml:space="preserve"> SSWS w</w:t>
      </w:r>
      <w:r w:rsidR="005B0496">
        <w:rPr>
          <w:rFonts w:ascii="Times New Roman" w:hAnsi="Times New Roman" w:cs="Times New Roman"/>
          <w:sz w:val="24"/>
          <w:szCs w:val="24"/>
        </w:rPr>
        <w:t>ill automatically recognize the student’s last date of attendance (September 30) as an exit date, determine that the sequence for the Transition to Postsecondary MSG has been met, and recognize the student as having earned the MSG.</w:t>
      </w:r>
    </w:p>
    <w:p w14:paraId="4E18BC2F" w14:textId="292C6C4B" w:rsidR="007E126C" w:rsidRPr="00B353CD" w:rsidRDefault="007E126C" w:rsidP="00B353CD">
      <w:pPr>
        <w:pStyle w:val="ListParagraph"/>
        <w:numPr>
          <w:ilvl w:val="1"/>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Credential Attainment Recognition –</w:t>
      </w:r>
      <w:r w:rsidR="005B0496">
        <w:rPr>
          <w:rFonts w:ascii="Times New Roman" w:hAnsi="Times New Roman" w:cs="Times New Roman"/>
          <w:sz w:val="24"/>
          <w:szCs w:val="24"/>
        </w:rPr>
        <w:t xml:space="preserve"> For a student to be</w:t>
      </w:r>
      <w:r w:rsidRPr="00B353CD">
        <w:rPr>
          <w:rFonts w:ascii="Times New Roman" w:hAnsi="Times New Roman" w:cs="Times New Roman"/>
          <w:sz w:val="24"/>
          <w:szCs w:val="24"/>
        </w:rPr>
        <w:t xml:space="preserve"> recognized as having earned a recognized postsecondary credential, programs must complete the “Recognized Postsecondary Credential” section</w:t>
      </w:r>
      <w:r w:rsidR="00AF012F" w:rsidRPr="00C14496">
        <w:rPr>
          <w:rFonts w:ascii="Times New Roman" w:hAnsi="Times New Roman" w:cs="Times New Roman"/>
          <w:sz w:val="24"/>
          <w:szCs w:val="24"/>
        </w:rPr>
        <w:t xml:space="preserve">. </w:t>
      </w:r>
      <w:r w:rsidR="0077337E" w:rsidRPr="00C14496">
        <w:rPr>
          <w:rFonts w:ascii="Times New Roman" w:hAnsi="Times New Roman" w:cs="Times New Roman"/>
          <w:sz w:val="24"/>
          <w:szCs w:val="24"/>
        </w:rPr>
        <w:t xml:space="preserve">In addition, programs should enter </w:t>
      </w:r>
      <w:r w:rsidR="005B0496" w:rsidRPr="00C14496">
        <w:rPr>
          <w:rFonts w:ascii="Times New Roman" w:hAnsi="Times New Roman" w:cs="Times New Roman"/>
          <w:sz w:val="24"/>
          <w:szCs w:val="24"/>
        </w:rPr>
        <w:t>a postsecondary exit date</w:t>
      </w:r>
      <w:r w:rsidR="0077337E" w:rsidRPr="00C14496">
        <w:rPr>
          <w:rFonts w:ascii="Times New Roman" w:hAnsi="Times New Roman" w:cs="Times New Roman"/>
          <w:sz w:val="24"/>
          <w:szCs w:val="24"/>
        </w:rPr>
        <w:t xml:space="preserve"> on the “Postsecondary Enrollment” section</w:t>
      </w:r>
      <w:r w:rsidR="005B0496" w:rsidRPr="00C14496">
        <w:rPr>
          <w:rFonts w:ascii="Times New Roman" w:hAnsi="Times New Roman" w:cs="Times New Roman"/>
          <w:sz w:val="24"/>
          <w:szCs w:val="24"/>
        </w:rPr>
        <w:t>.</w:t>
      </w:r>
      <w:r w:rsidR="005B0496">
        <w:rPr>
          <w:rFonts w:ascii="Times New Roman" w:hAnsi="Times New Roman" w:cs="Times New Roman"/>
          <w:sz w:val="24"/>
          <w:szCs w:val="24"/>
        </w:rPr>
        <w:t xml:space="preserve"> Without a postsecondary exit date, a student will not be eligible to </w:t>
      </w:r>
      <w:r w:rsidR="009E7F36">
        <w:rPr>
          <w:rFonts w:ascii="Times New Roman" w:hAnsi="Times New Roman" w:cs="Times New Roman"/>
          <w:sz w:val="24"/>
          <w:szCs w:val="24"/>
        </w:rPr>
        <w:t xml:space="preserve">be evaluated for Postsecondary Credential Attainment. </w:t>
      </w:r>
      <w:r w:rsidRPr="00B353CD">
        <w:rPr>
          <w:rFonts w:ascii="Times New Roman" w:hAnsi="Times New Roman" w:cs="Times New Roman"/>
          <w:sz w:val="24"/>
          <w:szCs w:val="24"/>
        </w:rPr>
        <w:t>For a definition of “Recognized Posts</w:t>
      </w:r>
      <w:r w:rsidR="009E7F36">
        <w:rPr>
          <w:rFonts w:ascii="Times New Roman" w:hAnsi="Times New Roman" w:cs="Times New Roman"/>
          <w:sz w:val="24"/>
          <w:szCs w:val="24"/>
        </w:rPr>
        <w:t>econdary Credential,” see Item D</w:t>
      </w:r>
      <w:r w:rsidR="0077337E">
        <w:rPr>
          <w:rFonts w:ascii="Times New Roman" w:hAnsi="Times New Roman" w:cs="Times New Roman"/>
          <w:sz w:val="24"/>
          <w:szCs w:val="24"/>
        </w:rPr>
        <w:t xml:space="preserve"> below.</w:t>
      </w:r>
    </w:p>
    <w:p w14:paraId="25F84718" w14:textId="1C57F1CA" w:rsidR="007E126C" w:rsidRPr="00B353CD" w:rsidRDefault="007E126C" w:rsidP="00B353CD">
      <w:pPr>
        <w:pStyle w:val="ListParagraph"/>
        <w:numPr>
          <w:ilvl w:val="1"/>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To report that a student was enrolled in or had earned a recognized postsecondary credential, the adult education program must have </w:t>
      </w:r>
      <w:r w:rsidR="003A7C7D">
        <w:rPr>
          <w:rFonts w:ascii="Times New Roman" w:hAnsi="Times New Roman" w:cs="Times New Roman"/>
          <w:sz w:val="24"/>
          <w:szCs w:val="24"/>
        </w:rPr>
        <w:t xml:space="preserve">verifiable </w:t>
      </w:r>
      <w:r w:rsidRPr="00B353CD">
        <w:rPr>
          <w:rFonts w:ascii="Times New Roman" w:hAnsi="Times New Roman" w:cs="Times New Roman"/>
          <w:sz w:val="24"/>
          <w:szCs w:val="24"/>
        </w:rPr>
        <w:t>evidence of the activity in the student file (e.g., a photocopy of the certification or communication from the postsecondary program confirming the postsecondary enrollment or attainment of the certification)</w:t>
      </w:r>
      <w:r w:rsidR="00AF012F" w:rsidRPr="00B353CD">
        <w:rPr>
          <w:rFonts w:ascii="Times New Roman" w:hAnsi="Times New Roman" w:cs="Times New Roman"/>
          <w:sz w:val="24"/>
          <w:szCs w:val="24"/>
        </w:rPr>
        <w:t xml:space="preserve">. </w:t>
      </w:r>
      <w:r w:rsidRPr="00B353CD">
        <w:rPr>
          <w:rFonts w:ascii="Times New Roman" w:hAnsi="Times New Roman" w:cs="Times New Roman"/>
          <w:sz w:val="24"/>
          <w:szCs w:val="24"/>
        </w:rPr>
        <w:t xml:space="preserve">An email from the student indicating that he or she had enrolled in or earned certification from a postsecondary program is not </w:t>
      </w:r>
      <w:r w:rsidR="003A7C7D">
        <w:rPr>
          <w:rFonts w:ascii="Times New Roman" w:hAnsi="Times New Roman" w:cs="Times New Roman"/>
          <w:sz w:val="24"/>
          <w:szCs w:val="24"/>
        </w:rPr>
        <w:t xml:space="preserve">verifiable and, therefore, not </w:t>
      </w:r>
      <w:r w:rsidRPr="00B353CD">
        <w:rPr>
          <w:rFonts w:ascii="Times New Roman" w:hAnsi="Times New Roman" w:cs="Times New Roman"/>
          <w:sz w:val="24"/>
          <w:szCs w:val="24"/>
        </w:rPr>
        <w:t>sufficient.</w:t>
      </w:r>
    </w:p>
    <w:p w14:paraId="40CC2C66" w14:textId="06C81CDB" w:rsidR="007E126C" w:rsidRPr="00B353CD" w:rsidRDefault="007E126C" w:rsidP="00B353CD">
      <w:pPr>
        <w:pStyle w:val="ListParagraph"/>
        <w:numPr>
          <w:ilvl w:val="1"/>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Recognized Postsecondary Credential – Postsecondary credential attainment may be fulfilled only if the credential is a recognized postsecondary credential</w:t>
      </w:r>
      <w:r w:rsidR="00AF012F" w:rsidRPr="00B353CD">
        <w:rPr>
          <w:rFonts w:ascii="Times New Roman" w:hAnsi="Times New Roman" w:cs="Times New Roman"/>
          <w:sz w:val="24"/>
          <w:szCs w:val="24"/>
        </w:rPr>
        <w:t xml:space="preserve">. </w:t>
      </w:r>
      <w:r w:rsidRPr="00B353CD">
        <w:rPr>
          <w:rFonts w:ascii="Times New Roman" w:hAnsi="Times New Roman" w:cs="Times New Roman"/>
          <w:sz w:val="24"/>
          <w:szCs w:val="24"/>
        </w:rPr>
        <w:t>A credential is a recognized postsecondary credential if it meets one of the following:</w:t>
      </w:r>
    </w:p>
    <w:p w14:paraId="73D0263C" w14:textId="77777777" w:rsidR="007E126C" w:rsidRPr="00B353CD" w:rsidRDefault="007E126C" w:rsidP="00B353CD">
      <w:pPr>
        <w:pStyle w:val="ListParagraph"/>
        <w:numPr>
          <w:ilvl w:val="2"/>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An industry recognized certificate or certification,</w:t>
      </w:r>
    </w:p>
    <w:p w14:paraId="1357BC31" w14:textId="77777777" w:rsidR="007E126C" w:rsidRPr="00B353CD" w:rsidRDefault="007E126C" w:rsidP="00B353CD">
      <w:pPr>
        <w:pStyle w:val="ListParagraph"/>
        <w:numPr>
          <w:ilvl w:val="2"/>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A certificate of completion of an apprenticeship,</w:t>
      </w:r>
    </w:p>
    <w:p w14:paraId="27DB68F6" w14:textId="77777777" w:rsidR="007E126C" w:rsidRPr="00B353CD" w:rsidRDefault="007E126C" w:rsidP="00B353CD">
      <w:pPr>
        <w:pStyle w:val="ListParagraph"/>
        <w:numPr>
          <w:ilvl w:val="2"/>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An occupational license recognized by the state or by the federal government, or</w:t>
      </w:r>
    </w:p>
    <w:p w14:paraId="275671F2" w14:textId="77777777" w:rsidR="007E126C" w:rsidRPr="00B353CD" w:rsidRDefault="007E126C" w:rsidP="00B353CD">
      <w:pPr>
        <w:pStyle w:val="ListParagraph"/>
        <w:numPr>
          <w:ilvl w:val="2"/>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lastRenderedPageBreak/>
        <w:t>An associate or baccalaureate degree.</w:t>
      </w:r>
    </w:p>
    <w:p w14:paraId="7ABF9798" w14:textId="77777777" w:rsidR="007C483F" w:rsidRPr="00B353CD" w:rsidRDefault="0049787F" w:rsidP="00094246">
      <w:pPr>
        <w:pStyle w:val="ListParagraph"/>
        <w:spacing w:after="240" w:line="240" w:lineRule="auto"/>
        <w:ind w:left="1440"/>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Reminder: </w:t>
      </w:r>
      <w:r w:rsidR="007E126C" w:rsidRPr="00B353CD">
        <w:rPr>
          <w:rFonts w:ascii="Times New Roman" w:hAnsi="Times New Roman" w:cs="Times New Roman"/>
          <w:sz w:val="24"/>
          <w:szCs w:val="24"/>
        </w:rPr>
        <w:t>Any type of work readiness certification such as the Career Readiness Certificate (CRC)</w:t>
      </w:r>
      <w:r w:rsidR="009C2F28" w:rsidRPr="00B353CD">
        <w:rPr>
          <w:rFonts w:ascii="Times New Roman" w:hAnsi="Times New Roman" w:cs="Times New Roman"/>
          <w:sz w:val="24"/>
          <w:szCs w:val="24"/>
        </w:rPr>
        <w:t>,</w:t>
      </w:r>
      <w:r w:rsidR="007E126C" w:rsidRPr="00B353CD">
        <w:rPr>
          <w:rFonts w:ascii="Times New Roman" w:hAnsi="Times New Roman" w:cs="Times New Roman"/>
          <w:sz w:val="24"/>
          <w:szCs w:val="24"/>
        </w:rPr>
        <w:t xml:space="preserve"> or</w:t>
      </w:r>
      <w:r w:rsidR="009C2F28" w:rsidRPr="00B353CD">
        <w:rPr>
          <w:rFonts w:ascii="Times New Roman" w:hAnsi="Times New Roman" w:cs="Times New Roman"/>
          <w:sz w:val="24"/>
          <w:szCs w:val="24"/>
        </w:rPr>
        <w:t xml:space="preserve"> a general certification </w:t>
      </w:r>
      <w:r w:rsidR="007E126C" w:rsidRPr="00B353CD">
        <w:rPr>
          <w:rFonts w:ascii="Times New Roman" w:hAnsi="Times New Roman" w:cs="Times New Roman"/>
          <w:sz w:val="24"/>
          <w:szCs w:val="24"/>
        </w:rPr>
        <w:t>recognized by an industry but not for a particular occupation</w:t>
      </w:r>
      <w:r w:rsidR="009C2F28" w:rsidRPr="00B353CD">
        <w:rPr>
          <w:rFonts w:ascii="Times New Roman" w:hAnsi="Times New Roman" w:cs="Times New Roman"/>
          <w:sz w:val="24"/>
          <w:szCs w:val="24"/>
        </w:rPr>
        <w:t>,</w:t>
      </w:r>
      <w:r w:rsidR="007E126C" w:rsidRPr="00B353CD">
        <w:rPr>
          <w:rFonts w:ascii="Times New Roman" w:hAnsi="Times New Roman" w:cs="Times New Roman"/>
          <w:sz w:val="24"/>
          <w:szCs w:val="24"/>
        </w:rPr>
        <w:t xml:space="preserve"> such as First Aid or digital literacy certification, is not considered to be a “Recognized Postsecondary Credential.”</w:t>
      </w:r>
    </w:p>
    <w:p w14:paraId="3B2AABBF" w14:textId="1F0C79E0" w:rsidR="007E126C" w:rsidRPr="00B353CD" w:rsidRDefault="0049787F" w:rsidP="00B353CD">
      <w:pPr>
        <w:pStyle w:val="Heading2"/>
        <w:numPr>
          <w:ilvl w:val="0"/>
          <w:numId w:val="10"/>
        </w:numPr>
        <w:spacing w:before="0" w:after="120" w:line="240" w:lineRule="auto"/>
        <w:rPr>
          <w:rFonts w:ascii="Times New Roman" w:hAnsi="Times New Roman" w:cs="Times New Roman"/>
        </w:rPr>
      </w:pPr>
      <w:r w:rsidRPr="00B353CD">
        <w:rPr>
          <w:rFonts w:ascii="Times New Roman" w:hAnsi="Times New Roman" w:cs="Times New Roman"/>
          <w:color w:val="auto"/>
        </w:rPr>
        <w:t xml:space="preserve"> </w:t>
      </w:r>
      <w:bookmarkStart w:id="7" w:name="_Toc105689117"/>
      <w:r w:rsidR="007E126C" w:rsidRPr="00B353CD">
        <w:rPr>
          <w:rFonts w:ascii="Times New Roman" w:hAnsi="Times New Roman" w:cs="Times New Roman"/>
          <w:color w:val="auto"/>
        </w:rPr>
        <w:t>Student Goals</w:t>
      </w:r>
      <w:bookmarkEnd w:id="7"/>
      <w:r w:rsidR="00392E46" w:rsidRPr="00B353CD">
        <w:rPr>
          <w:rFonts w:ascii="Times New Roman" w:hAnsi="Times New Roman" w:cs="Times New Roman"/>
          <w:color w:val="auto"/>
        </w:rPr>
        <w:t xml:space="preserve"> </w:t>
      </w:r>
    </w:p>
    <w:p w14:paraId="6F0B93A7" w14:textId="5DD5C9D4" w:rsidR="007E126C" w:rsidRPr="00B353CD" w:rsidRDefault="007E126C" w:rsidP="00B353CD">
      <w:pPr>
        <w:pStyle w:val="ListParagraph"/>
        <w:numPr>
          <w:ilvl w:val="1"/>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Student goal information should be entered for students enrolled in Integrated English Literacy and Civics Education (IELCE) or </w:t>
      </w:r>
      <w:r w:rsidR="00A377E2">
        <w:rPr>
          <w:rFonts w:ascii="Times New Roman" w:hAnsi="Times New Roman" w:cs="Times New Roman"/>
          <w:sz w:val="24"/>
          <w:szCs w:val="24"/>
        </w:rPr>
        <w:t>F</w:t>
      </w:r>
      <w:r w:rsidRPr="00B353CD">
        <w:rPr>
          <w:rFonts w:ascii="Times New Roman" w:hAnsi="Times New Roman" w:cs="Times New Roman"/>
          <w:sz w:val="24"/>
          <w:szCs w:val="24"/>
        </w:rPr>
        <w:t xml:space="preserve">amily </w:t>
      </w:r>
      <w:r w:rsidR="00A377E2">
        <w:rPr>
          <w:rFonts w:ascii="Times New Roman" w:hAnsi="Times New Roman" w:cs="Times New Roman"/>
          <w:sz w:val="24"/>
          <w:szCs w:val="24"/>
        </w:rPr>
        <w:t>L</w:t>
      </w:r>
      <w:r w:rsidRPr="00B353CD">
        <w:rPr>
          <w:rFonts w:ascii="Times New Roman" w:hAnsi="Times New Roman" w:cs="Times New Roman"/>
          <w:sz w:val="24"/>
          <w:szCs w:val="24"/>
        </w:rPr>
        <w:t xml:space="preserve">iteracy </w:t>
      </w:r>
      <w:r w:rsidR="002605BB">
        <w:rPr>
          <w:rFonts w:ascii="Times New Roman" w:hAnsi="Times New Roman" w:cs="Times New Roman"/>
          <w:sz w:val="24"/>
          <w:szCs w:val="24"/>
        </w:rPr>
        <w:t>classes</w:t>
      </w:r>
      <w:r w:rsidRPr="00B353CD">
        <w:rPr>
          <w:rFonts w:ascii="Times New Roman" w:hAnsi="Times New Roman" w:cs="Times New Roman"/>
          <w:sz w:val="24"/>
          <w:szCs w:val="24"/>
        </w:rPr>
        <w:t>.</w:t>
      </w:r>
      <w:r w:rsidR="003A7C7D">
        <w:rPr>
          <w:rFonts w:ascii="Times New Roman" w:hAnsi="Times New Roman" w:cs="Times New Roman"/>
          <w:sz w:val="24"/>
          <w:szCs w:val="24"/>
        </w:rPr>
        <w:t xml:space="preserve"> </w:t>
      </w:r>
    </w:p>
    <w:p w14:paraId="2A2C62A2" w14:textId="44529187" w:rsidR="007E126C" w:rsidRPr="00B353CD" w:rsidRDefault="007E126C" w:rsidP="00094246">
      <w:pPr>
        <w:pStyle w:val="ListParagraph"/>
        <w:numPr>
          <w:ilvl w:val="1"/>
          <w:numId w:val="10"/>
        </w:numPr>
        <w:spacing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The information captured in the “Student Goals” section will be used to report </w:t>
      </w:r>
      <w:r w:rsidR="003A7C7D">
        <w:rPr>
          <w:rFonts w:ascii="Times New Roman" w:hAnsi="Times New Roman" w:cs="Times New Roman"/>
          <w:sz w:val="24"/>
          <w:szCs w:val="24"/>
        </w:rPr>
        <w:t xml:space="preserve">goal </w:t>
      </w:r>
      <w:r w:rsidRPr="00B353CD">
        <w:rPr>
          <w:rFonts w:ascii="Times New Roman" w:hAnsi="Times New Roman" w:cs="Times New Roman"/>
          <w:sz w:val="24"/>
          <w:szCs w:val="24"/>
        </w:rPr>
        <w:t xml:space="preserve">information on NRS Table 8 for </w:t>
      </w:r>
      <w:r w:rsidR="00A377E2">
        <w:rPr>
          <w:rFonts w:ascii="Times New Roman" w:hAnsi="Times New Roman" w:cs="Times New Roman"/>
          <w:sz w:val="24"/>
          <w:szCs w:val="24"/>
        </w:rPr>
        <w:t>F</w:t>
      </w:r>
      <w:r w:rsidRPr="00B353CD">
        <w:rPr>
          <w:rFonts w:ascii="Times New Roman" w:hAnsi="Times New Roman" w:cs="Times New Roman"/>
          <w:sz w:val="24"/>
          <w:szCs w:val="24"/>
        </w:rPr>
        <w:t xml:space="preserve">amily </w:t>
      </w:r>
      <w:r w:rsidR="00A377E2">
        <w:rPr>
          <w:rFonts w:ascii="Times New Roman" w:hAnsi="Times New Roman" w:cs="Times New Roman"/>
          <w:sz w:val="24"/>
          <w:szCs w:val="24"/>
        </w:rPr>
        <w:t>L</w:t>
      </w:r>
      <w:r w:rsidRPr="00B353CD">
        <w:rPr>
          <w:rFonts w:ascii="Times New Roman" w:hAnsi="Times New Roman" w:cs="Times New Roman"/>
          <w:sz w:val="24"/>
          <w:szCs w:val="24"/>
        </w:rPr>
        <w:t>iteracy parti</w:t>
      </w:r>
      <w:r w:rsidR="003A7C7D">
        <w:rPr>
          <w:rFonts w:ascii="Times New Roman" w:hAnsi="Times New Roman" w:cs="Times New Roman"/>
          <w:sz w:val="24"/>
          <w:szCs w:val="24"/>
        </w:rPr>
        <w:t>cipants</w:t>
      </w:r>
      <w:r w:rsidRPr="00B353CD">
        <w:rPr>
          <w:rFonts w:ascii="Times New Roman" w:hAnsi="Times New Roman" w:cs="Times New Roman"/>
          <w:sz w:val="24"/>
          <w:szCs w:val="24"/>
        </w:rPr>
        <w:t xml:space="preserve"> and </w:t>
      </w:r>
      <w:r w:rsidR="009C2F28" w:rsidRPr="00B353CD">
        <w:rPr>
          <w:rFonts w:ascii="Times New Roman" w:hAnsi="Times New Roman" w:cs="Times New Roman"/>
          <w:sz w:val="24"/>
          <w:szCs w:val="24"/>
        </w:rPr>
        <w:t xml:space="preserve">on </w:t>
      </w:r>
      <w:r w:rsidRPr="00B353CD">
        <w:rPr>
          <w:rFonts w:ascii="Times New Roman" w:hAnsi="Times New Roman" w:cs="Times New Roman"/>
          <w:sz w:val="24"/>
          <w:szCs w:val="24"/>
        </w:rPr>
        <w:t>NRS</w:t>
      </w:r>
      <w:r w:rsidR="003A7C7D">
        <w:rPr>
          <w:rFonts w:ascii="Times New Roman" w:hAnsi="Times New Roman" w:cs="Times New Roman"/>
          <w:sz w:val="24"/>
          <w:szCs w:val="24"/>
        </w:rPr>
        <w:t xml:space="preserve"> Table 9 for IELCE participants</w:t>
      </w:r>
      <w:r w:rsidRPr="00B353CD">
        <w:rPr>
          <w:rFonts w:ascii="Times New Roman" w:hAnsi="Times New Roman" w:cs="Times New Roman"/>
          <w:sz w:val="24"/>
          <w:szCs w:val="24"/>
        </w:rPr>
        <w:t>.</w:t>
      </w:r>
    </w:p>
    <w:p w14:paraId="76F6483B" w14:textId="686C1997" w:rsidR="007E126C" w:rsidRPr="00B353CD" w:rsidRDefault="0049787F" w:rsidP="00B353CD">
      <w:pPr>
        <w:pStyle w:val="Heading2"/>
        <w:numPr>
          <w:ilvl w:val="0"/>
          <w:numId w:val="10"/>
        </w:numPr>
        <w:tabs>
          <w:tab w:val="left" w:pos="810"/>
        </w:tabs>
        <w:spacing w:before="0" w:after="120" w:line="240" w:lineRule="auto"/>
        <w:rPr>
          <w:rFonts w:ascii="Times New Roman" w:hAnsi="Times New Roman" w:cs="Times New Roman"/>
          <w:b w:val="0"/>
          <w:color w:val="auto"/>
        </w:rPr>
      </w:pPr>
      <w:r w:rsidRPr="00B353CD">
        <w:rPr>
          <w:rFonts w:ascii="Times New Roman" w:hAnsi="Times New Roman" w:cs="Times New Roman"/>
          <w:color w:val="auto"/>
        </w:rPr>
        <w:t xml:space="preserve"> </w:t>
      </w:r>
      <w:bookmarkStart w:id="8" w:name="_Toc105689118"/>
      <w:r w:rsidR="007E126C" w:rsidRPr="00B353CD">
        <w:rPr>
          <w:rFonts w:ascii="Times New Roman" w:hAnsi="Times New Roman" w:cs="Times New Roman"/>
          <w:color w:val="auto"/>
        </w:rPr>
        <w:t>Follow-up Outcome Eligibility</w:t>
      </w:r>
      <w:bookmarkEnd w:id="8"/>
    </w:p>
    <w:p w14:paraId="3B5F03C7" w14:textId="5EE2AD4A" w:rsidR="00480C90" w:rsidRPr="0057066F" w:rsidRDefault="00480C90" w:rsidP="00B353CD">
      <w:pPr>
        <w:tabs>
          <w:tab w:val="left" w:pos="810"/>
        </w:tabs>
        <w:spacing w:after="120" w:line="240" w:lineRule="auto"/>
        <w:ind w:left="810"/>
        <w:rPr>
          <w:rFonts w:ascii="Times New Roman" w:hAnsi="Times New Roman" w:cs="Times New Roman"/>
          <w:sz w:val="24"/>
        </w:rPr>
      </w:pPr>
      <w:r w:rsidRPr="0057066F">
        <w:rPr>
          <w:rFonts w:ascii="Times New Roman" w:hAnsi="Times New Roman" w:cs="Times New Roman"/>
          <w:sz w:val="24"/>
        </w:rPr>
        <w:t xml:space="preserve">WIOA </w:t>
      </w:r>
      <w:r w:rsidR="000C6428" w:rsidRPr="0057066F">
        <w:rPr>
          <w:rFonts w:ascii="Times New Roman" w:hAnsi="Times New Roman" w:cs="Times New Roman"/>
          <w:sz w:val="24"/>
        </w:rPr>
        <w:t xml:space="preserve">requires states to determine whether participants achieved employment and credential attainment outcomes required by post exit (follow-up) performance indicators after exit from each </w:t>
      </w:r>
      <w:proofErr w:type="spellStart"/>
      <w:r w:rsidR="000C6428" w:rsidRPr="0057066F">
        <w:rPr>
          <w:rFonts w:ascii="Times New Roman" w:hAnsi="Times New Roman" w:cs="Times New Roman"/>
          <w:sz w:val="24"/>
        </w:rPr>
        <w:t>PoP</w:t>
      </w:r>
      <w:proofErr w:type="spellEnd"/>
      <w:r w:rsidR="000C6428" w:rsidRPr="0057066F">
        <w:rPr>
          <w:rFonts w:ascii="Times New Roman" w:hAnsi="Times New Roman" w:cs="Times New Roman"/>
          <w:sz w:val="24"/>
        </w:rPr>
        <w:t xml:space="preserve">. The </w:t>
      </w:r>
      <w:proofErr w:type="gramStart"/>
      <w:r w:rsidR="000C6428" w:rsidRPr="0057066F">
        <w:rPr>
          <w:rFonts w:ascii="Times New Roman" w:hAnsi="Times New Roman" w:cs="Times New Roman"/>
          <w:sz w:val="24"/>
        </w:rPr>
        <w:t>time period</w:t>
      </w:r>
      <w:proofErr w:type="gramEnd"/>
      <w:r w:rsidR="000C6428" w:rsidRPr="0057066F">
        <w:rPr>
          <w:rFonts w:ascii="Times New Roman" w:hAnsi="Times New Roman" w:cs="Times New Roman"/>
          <w:sz w:val="24"/>
        </w:rPr>
        <w:t xml:space="preserve"> for </w:t>
      </w:r>
      <w:r w:rsidR="00CB4B00" w:rsidRPr="0057066F">
        <w:rPr>
          <w:rFonts w:ascii="Times New Roman" w:hAnsi="Times New Roman" w:cs="Times New Roman"/>
          <w:sz w:val="24"/>
        </w:rPr>
        <w:t xml:space="preserve">determining </w:t>
      </w:r>
      <w:r w:rsidR="003A7C7D">
        <w:rPr>
          <w:rFonts w:ascii="Times New Roman" w:hAnsi="Times New Roman" w:cs="Times New Roman"/>
          <w:sz w:val="24"/>
        </w:rPr>
        <w:t xml:space="preserve">secondary </w:t>
      </w:r>
      <w:r w:rsidR="000C6428" w:rsidRPr="0057066F">
        <w:rPr>
          <w:rFonts w:ascii="Times New Roman" w:hAnsi="Times New Roman" w:cs="Times New Roman"/>
          <w:sz w:val="24"/>
        </w:rPr>
        <w:t xml:space="preserve">credential </w:t>
      </w:r>
      <w:r w:rsidR="00CB4B00" w:rsidRPr="0057066F">
        <w:rPr>
          <w:rFonts w:ascii="Times New Roman" w:hAnsi="Times New Roman" w:cs="Times New Roman"/>
          <w:sz w:val="24"/>
        </w:rPr>
        <w:t>attainment</w:t>
      </w:r>
      <w:r w:rsidR="000C6428" w:rsidRPr="0057066F">
        <w:rPr>
          <w:rFonts w:ascii="Times New Roman" w:hAnsi="Times New Roman" w:cs="Times New Roman"/>
          <w:sz w:val="24"/>
        </w:rPr>
        <w:t xml:space="preserve"> is up </w:t>
      </w:r>
      <w:r w:rsidR="003A7C7D">
        <w:rPr>
          <w:rFonts w:ascii="Times New Roman" w:hAnsi="Times New Roman" w:cs="Times New Roman"/>
          <w:sz w:val="24"/>
        </w:rPr>
        <w:t xml:space="preserve">to one year after each </w:t>
      </w:r>
      <w:proofErr w:type="spellStart"/>
      <w:r w:rsidR="003A7C7D">
        <w:rPr>
          <w:rFonts w:ascii="Times New Roman" w:hAnsi="Times New Roman" w:cs="Times New Roman"/>
          <w:sz w:val="24"/>
        </w:rPr>
        <w:t>PoP</w:t>
      </w:r>
      <w:proofErr w:type="spellEnd"/>
      <w:r w:rsidR="003A7C7D">
        <w:rPr>
          <w:rFonts w:ascii="Times New Roman" w:hAnsi="Times New Roman" w:cs="Times New Roman"/>
          <w:sz w:val="24"/>
        </w:rPr>
        <w:t xml:space="preserve"> exit; the time period for determining postsecondary credential attainment is up to one year after exit from a postsecondary program.</w:t>
      </w:r>
      <w:r w:rsidR="000C6428" w:rsidRPr="0057066F">
        <w:rPr>
          <w:rFonts w:ascii="Times New Roman" w:hAnsi="Times New Roman" w:cs="Times New Roman"/>
          <w:sz w:val="24"/>
        </w:rPr>
        <w:t xml:space="preserve"> For the second quarter employment and median earnings indicators, </w:t>
      </w:r>
      <w:r w:rsidR="00CB4B00" w:rsidRPr="0057066F">
        <w:rPr>
          <w:rFonts w:ascii="Times New Roman" w:hAnsi="Times New Roman" w:cs="Times New Roman"/>
          <w:sz w:val="24"/>
        </w:rPr>
        <w:t xml:space="preserve">the </w:t>
      </w:r>
      <w:proofErr w:type="gramStart"/>
      <w:r w:rsidR="00CB4B00" w:rsidRPr="0057066F">
        <w:rPr>
          <w:rFonts w:ascii="Times New Roman" w:hAnsi="Times New Roman" w:cs="Times New Roman"/>
          <w:sz w:val="24"/>
        </w:rPr>
        <w:t>time period</w:t>
      </w:r>
      <w:proofErr w:type="gramEnd"/>
      <w:r w:rsidR="00CB4B00" w:rsidRPr="0057066F">
        <w:rPr>
          <w:rFonts w:ascii="Times New Roman" w:hAnsi="Times New Roman" w:cs="Times New Roman"/>
          <w:sz w:val="24"/>
        </w:rPr>
        <w:t xml:space="preserve"> for determining </w:t>
      </w:r>
      <w:r w:rsidR="003A7C7D">
        <w:rPr>
          <w:rFonts w:ascii="Times New Roman" w:hAnsi="Times New Roman" w:cs="Times New Roman"/>
          <w:sz w:val="24"/>
        </w:rPr>
        <w:t>performance is</w:t>
      </w:r>
      <w:r w:rsidR="000C6428" w:rsidRPr="0057066F">
        <w:rPr>
          <w:rFonts w:ascii="Times New Roman" w:hAnsi="Times New Roman" w:cs="Times New Roman"/>
          <w:sz w:val="24"/>
        </w:rPr>
        <w:t xml:space="preserve"> two quarters after each </w:t>
      </w:r>
      <w:proofErr w:type="spellStart"/>
      <w:r w:rsidR="000C6428" w:rsidRPr="0057066F">
        <w:rPr>
          <w:rFonts w:ascii="Times New Roman" w:hAnsi="Times New Roman" w:cs="Times New Roman"/>
          <w:sz w:val="24"/>
        </w:rPr>
        <w:t>PoP</w:t>
      </w:r>
      <w:proofErr w:type="spellEnd"/>
      <w:r w:rsidR="000C6428" w:rsidRPr="0057066F">
        <w:rPr>
          <w:rFonts w:ascii="Times New Roman" w:hAnsi="Times New Roman" w:cs="Times New Roman"/>
          <w:sz w:val="24"/>
        </w:rPr>
        <w:t xml:space="preserve"> exit</w:t>
      </w:r>
      <w:r w:rsidR="003A7C7D">
        <w:rPr>
          <w:rFonts w:ascii="Times New Roman" w:hAnsi="Times New Roman" w:cs="Times New Roman"/>
          <w:sz w:val="24"/>
        </w:rPr>
        <w:t xml:space="preserve">; for the fourth quarter employment indicator, the time period for determining performance is the fourth quarter after each </w:t>
      </w:r>
      <w:proofErr w:type="spellStart"/>
      <w:r w:rsidR="003A7C7D">
        <w:rPr>
          <w:rFonts w:ascii="Times New Roman" w:hAnsi="Times New Roman" w:cs="Times New Roman"/>
          <w:sz w:val="24"/>
        </w:rPr>
        <w:t>PoP</w:t>
      </w:r>
      <w:proofErr w:type="spellEnd"/>
      <w:r w:rsidR="003A7C7D">
        <w:rPr>
          <w:rFonts w:ascii="Times New Roman" w:hAnsi="Times New Roman" w:cs="Times New Roman"/>
          <w:sz w:val="24"/>
        </w:rPr>
        <w:t xml:space="preserve"> exit</w:t>
      </w:r>
      <w:r w:rsidR="000C6428" w:rsidRPr="0057066F">
        <w:rPr>
          <w:rFonts w:ascii="Times New Roman" w:hAnsi="Times New Roman" w:cs="Times New Roman"/>
          <w:sz w:val="24"/>
        </w:rPr>
        <w:t>. T</w:t>
      </w:r>
      <w:r w:rsidR="00CB4B00" w:rsidRPr="0057066F">
        <w:rPr>
          <w:rFonts w:ascii="Times New Roman" w:hAnsi="Times New Roman" w:cs="Times New Roman"/>
          <w:sz w:val="24"/>
        </w:rPr>
        <w:t xml:space="preserve">he following cohorts for each post exit indicator will be used to determine </w:t>
      </w:r>
      <w:r w:rsidR="009C284A">
        <w:rPr>
          <w:rFonts w:ascii="Times New Roman" w:hAnsi="Times New Roman" w:cs="Times New Roman"/>
          <w:sz w:val="24"/>
        </w:rPr>
        <w:t xml:space="preserve">performance reported </w:t>
      </w:r>
      <w:r w:rsidR="005F666E" w:rsidRPr="0057066F">
        <w:rPr>
          <w:rFonts w:ascii="Times New Roman" w:hAnsi="Times New Roman" w:cs="Times New Roman"/>
          <w:sz w:val="24"/>
        </w:rPr>
        <w:t>for</w:t>
      </w:r>
      <w:r w:rsidR="004E0015">
        <w:rPr>
          <w:rFonts w:ascii="Times New Roman" w:hAnsi="Times New Roman" w:cs="Times New Roman"/>
          <w:sz w:val="24"/>
        </w:rPr>
        <w:t xml:space="preserve"> </w:t>
      </w:r>
      <w:r w:rsidR="00C05F0F">
        <w:rPr>
          <w:rFonts w:ascii="Times New Roman" w:hAnsi="Times New Roman" w:cs="Times New Roman"/>
          <w:sz w:val="24"/>
        </w:rPr>
        <w:t>2022-2023</w:t>
      </w:r>
      <w:r w:rsidR="00CB4B00" w:rsidRPr="0057066F">
        <w:rPr>
          <w:rFonts w:ascii="Times New Roman" w:hAnsi="Times New Roman" w:cs="Times New Roman"/>
          <w:sz w:val="24"/>
        </w:rPr>
        <w:t xml:space="preserve">. </w:t>
      </w:r>
    </w:p>
    <w:p w14:paraId="7D4BB121" w14:textId="30E4D695" w:rsidR="005F666E" w:rsidRPr="0057066F" w:rsidRDefault="00480C90" w:rsidP="00B353CD">
      <w:pPr>
        <w:pStyle w:val="ListParagraph"/>
        <w:numPr>
          <w:ilvl w:val="1"/>
          <w:numId w:val="10"/>
        </w:numPr>
        <w:spacing w:after="120" w:line="240" w:lineRule="auto"/>
        <w:contextualSpacing w:val="0"/>
        <w:rPr>
          <w:rFonts w:ascii="Times New Roman" w:hAnsi="Times New Roman" w:cs="Times New Roman"/>
          <w:sz w:val="24"/>
          <w:szCs w:val="24"/>
        </w:rPr>
      </w:pPr>
      <w:r w:rsidRPr="0057066F">
        <w:rPr>
          <w:rFonts w:ascii="Times New Roman" w:hAnsi="Times New Roman" w:cs="Times New Roman"/>
          <w:sz w:val="24"/>
          <w:szCs w:val="24"/>
        </w:rPr>
        <w:t>Employment</w:t>
      </w:r>
      <w:r w:rsidR="005F666E" w:rsidRPr="0057066F">
        <w:rPr>
          <w:rFonts w:ascii="Times New Roman" w:hAnsi="Times New Roman" w:cs="Times New Roman"/>
          <w:sz w:val="24"/>
          <w:szCs w:val="24"/>
        </w:rPr>
        <w:t xml:space="preserve"> Rate (Second Quarter after Exit) – All participants with a </w:t>
      </w:r>
      <w:proofErr w:type="spellStart"/>
      <w:r w:rsidR="005F666E" w:rsidRPr="0057066F">
        <w:rPr>
          <w:rFonts w:ascii="Times New Roman" w:hAnsi="Times New Roman" w:cs="Times New Roman"/>
          <w:sz w:val="24"/>
          <w:szCs w:val="24"/>
        </w:rPr>
        <w:t>PoP</w:t>
      </w:r>
      <w:proofErr w:type="spellEnd"/>
      <w:r w:rsidR="007E126C" w:rsidRPr="0057066F">
        <w:rPr>
          <w:rFonts w:ascii="Times New Roman" w:hAnsi="Times New Roman" w:cs="Times New Roman"/>
          <w:sz w:val="24"/>
          <w:szCs w:val="24"/>
        </w:rPr>
        <w:t xml:space="preserve"> exit date </w:t>
      </w:r>
      <w:r w:rsidR="009C284A">
        <w:rPr>
          <w:rFonts w:ascii="Times New Roman" w:hAnsi="Times New Roman" w:cs="Times New Roman"/>
          <w:sz w:val="24"/>
          <w:szCs w:val="24"/>
        </w:rPr>
        <w:t>occurring between July 1,</w:t>
      </w:r>
      <w:r w:rsidR="00EF5701">
        <w:rPr>
          <w:rFonts w:ascii="Times New Roman" w:hAnsi="Times New Roman" w:cs="Times New Roman"/>
          <w:sz w:val="24"/>
          <w:szCs w:val="24"/>
        </w:rPr>
        <w:t xml:space="preserve"> </w:t>
      </w:r>
      <w:proofErr w:type="gramStart"/>
      <w:r w:rsidR="00EF5701">
        <w:rPr>
          <w:rFonts w:ascii="Times New Roman" w:hAnsi="Times New Roman" w:cs="Times New Roman"/>
          <w:sz w:val="24"/>
          <w:szCs w:val="24"/>
        </w:rPr>
        <w:t>202</w:t>
      </w:r>
      <w:r w:rsidR="00A377E2">
        <w:rPr>
          <w:rFonts w:ascii="Times New Roman" w:hAnsi="Times New Roman" w:cs="Times New Roman"/>
          <w:sz w:val="24"/>
          <w:szCs w:val="24"/>
        </w:rPr>
        <w:t>1</w:t>
      </w:r>
      <w:proofErr w:type="gramEnd"/>
      <w:r w:rsidR="00D7644B">
        <w:rPr>
          <w:rFonts w:ascii="Times New Roman" w:hAnsi="Times New Roman" w:cs="Times New Roman"/>
          <w:sz w:val="24"/>
          <w:szCs w:val="24"/>
        </w:rPr>
        <w:t xml:space="preserve"> and June 30, 202</w:t>
      </w:r>
      <w:r w:rsidR="00A377E2">
        <w:rPr>
          <w:rFonts w:ascii="Times New Roman" w:hAnsi="Times New Roman" w:cs="Times New Roman"/>
          <w:sz w:val="24"/>
          <w:szCs w:val="24"/>
        </w:rPr>
        <w:t>2</w:t>
      </w:r>
      <w:r w:rsidR="005F666E" w:rsidRPr="0057066F">
        <w:rPr>
          <w:rFonts w:ascii="Times New Roman" w:hAnsi="Times New Roman" w:cs="Times New Roman"/>
          <w:sz w:val="24"/>
          <w:szCs w:val="24"/>
        </w:rPr>
        <w:t xml:space="preserve"> </w:t>
      </w:r>
      <w:r w:rsidR="007E126C" w:rsidRPr="0057066F">
        <w:rPr>
          <w:rFonts w:ascii="Times New Roman" w:hAnsi="Times New Roman" w:cs="Times New Roman"/>
          <w:sz w:val="24"/>
          <w:szCs w:val="24"/>
        </w:rPr>
        <w:t>are</w:t>
      </w:r>
      <w:r w:rsidR="005F666E" w:rsidRPr="0057066F">
        <w:rPr>
          <w:rFonts w:ascii="Times New Roman" w:hAnsi="Times New Roman" w:cs="Times New Roman"/>
          <w:sz w:val="24"/>
          <w:szCs w:val="24"/>
        </w:rPr>
        <w:t xml:space="preserve"> eligible for determination of the E</w:t>
      </w:r>
      <w:r w:rsidR="007E126C" w:rsidRPr="0057066F">
        <w:rPr>
          <w:rFonts w:ascii="Times New Roman" w:hAnsi="Times New Roman" w:cs="Times New Roman"/>
          <w:sz w:val="24"/>
          <w:szCs w:val="24"/>
        </w:rPr>
        <w:t xml:space="preserve">mployment </w:t>
      </w:r>
      <w:r w:rsidR="005F666E" w:rsidRPr="0057066F">
        <w:rPr>
          <w:rFonts w:ascii="Times New Roman" w:hAnsi="Times New Roman" w:cs="Times New Roman"/>
          <w:sz w:val="24"/>
          <w:szCs w:val="24"/>
        </w:rPr>
        <w:t xml:space="preserve">Rate in the Second Quarter after Exit </w:t>
      </w:r>
      <w:r w:rsidR="007E126C" w:rsidRPr="0057066F">
        <w:rPr>
          <w:rFonts w:ascii="Times New Roman" w:hAnsi="Times New Roman" w:cs="Times New Roman"/>
          <w:sz w:val="24"/>
          <w:szCs w:val="24"/>
        </w:rPr>
        <w:t>to be reported on NRS Tables 5, 5A, 8, 9, 10, 11, and the Statewide Performance Report</w:t>
      </w:r>
      <w:r w:rsidR="00BB4335" w:rsidRPr="0057066F">
        <w:rPr>
          <w:rFonts w:ascii="Times New Roman" w:hAnsi="Times New Roman" w:cs="Times New Roman"/>
          <w:sz w:val="24"/>
          <w:szCs w:val="24"/>
        </w:rPr>
        <w:t xml:space="preserve"> (SPR)</w:t>
      </w:r>
      <w:r w:rsidR="00AF012F" w:rsidRPr="0057066F">
        <w:rPr>
          <w:rFonts w:ascii="Times New Roman" w:hAnsi="Times New Roman" w:cs="Times New Roman"/>
          <w:sz w:val="24"/>
          <w:szCs w:val="24"/>
        </w:rPr>
        <w:t xml:space="preserve">. </w:t>
      </w:r>
      <w:r w:rsidR="007E126C" w:rsidRPr="0057066F">
        <w:rPr>
          <w:rFonts w:ascii="Times New Roman" w:hAnsi="Times New Roman" w:cs="Times New Roman"/>
          <w:sz w:val="24"/>
          <w:szCs w:val="24"/>
        </w:rPr>
        <w:t>Determination of employment will be based on matching the records of adult education participants who meet the employment criteria with Virginia Employment Commission (VEC) wage and unemployment insurance data</w:t>
      </w:r>
      <w:r w:rsidR="00AF012F" w:rsidRPr="0057066F">
        <w:rPr>
          <w:rFonts w:ascii="Times New Roman" w:hAnsi="Times New Roman" w:cs="Times New Roman"/>
          <w:sz w:val="24"/>
          <w:szCs w:val="24"/>
        </w:rPr>
        <w:t xml:space="preserve">. </w:t>
      </w:r>
    </w:p>
    <w:p w14:paraId="613E046E" w14:textId="67C734DF" w:rsidR="007E126C" w:rsidRPr="0057066F" w:rsidRDefault="005F666E" w:rsidP="00B353CD">
      <w:pPr>
        <w:pStyle w:val="ListParagraph"/>
        <w:spacing w:after="120" w:line="240" w:lineRule="auto"/>
        <w:ind w:left="1440"/>
        <w:contextualSpacing w:val="0"/>
        <w:rPr>
          <w:rFonts w:ascii="Times New Roman" w:hAnsi="Times New Roman" w:cs="Times New Roman"/>
          <w:sz w:val="24"/>
          <w:szCs w:val="24"/>
        </w:rPr>
      </w:pPr>
      <w:r w:rsidRPr="0057066F">
        <w:rPr>
          <w:rFonts w:ascii="Times New Roman" w:hAnsi="Times New Roman" w:cs="Times New Roman"/>
          <w:sz w:val="24"/>
          <w:szCs w:val="24"/>
        </w:rPr>
        <w:t xml:space="preserve">As a member of the State Wage Interchange System (SWIS) Data Sharing Agreement, Virginia will determine employment based on matching the records of adult education participants who meet the employment criteria established by SWIS with wage and unemployment insurance data offered by other </w:t>
      </w:r>
      <w:r w:rsidR="00BB4335" w:rsidRPr="0057066F">
        <w:rPr>
          <w:rFonts w:ascii="Times New Roman" w:hAnsi="Times New Roman" w:cs="Times New Roman"/>
          <w:sz w:val="24"/>
          <w:szCs w:val="24"/>
        </w:rPr>
        <w:t>SWIS member</w:t>
      </w:r>
      <w:r w:rsidRPr="0057066F">
        <w:rPr>
          <w:rFonts w:ascii="Times New Roman" w:hAnsi="Times New Roman" w:cs="Times New Roman"/>
          <w:sz w:val="24"/>
          <w:szCs w:val="24"/>
        </w:rPr>
        <w:t xml:space="preserve"> states. The </w:t>
      </w:r>
      <w:r w:rsidR="00450B17" w:rsidRPr="0057066F">
        <w:rPr>
          <w:rFonts w:ascii="Times New Roman" w:hAnsi="Times New Roman" w:cs="Times New Roman"/>
          <w:sz w:val="24"/>
          <w:szCs w:val="24"/>
        </w:rPr>
        <w:t xml:space="preserve">Employment </w:t>
      </w:r>
      <w:r w:rsidR="00BB4335" w:rsidRPr="0057066F">
        <w:rPr>
          <w:rFonts w:ascii="Times New Roman" w:hAnsi="Times New Roman" w:cs="Times New Roman"/>
          <w:sz w:val="24"/>
          <w:szCs w:val="24"/>
        </w:rPr>
        <w:t xml:space="preserve">rate </w:t>
      </w:r>
      <w:r w:rsidRPr="0057066F">
        <w:rPr>
          <w:rFonts w:ascii="Times New Roman" w:hAnsi="Times New Roman" w:cs="Times New Roman"/>
          <w:sz w:val="24"/>
          <w:szCs w:val="24"/>
        </w:rPr>
        <w:t xml:space="preserve">information reported on NRS Tables 5, 5A, 8, 9, 10, 11, and </w:t>
      </w:r>
      <w:r w:rsidR="00BB4335" w:rsidRPr="0057066F">
        <w:rPr>
          <w:rFonts w:ascii="Times New Roman" w:hAnsi="Times New Roman" w:cs="Times New Roman"/>
          <w:sz w:val="24"/>
          <w:szCs w:val="24"/>
        </w:rPr>
        <w:t>the SPR will represent the results of both the VEC and SWIS data matches, combined.</w:t>
      </w:r>
    </w:p>
    <w:p w14:paraId="63B95B83" w14:textId="5258238E" w:rsidR="005F666E" w:rsidRPr="0057066F" w:rsidRDefault="005F666E" w:rsidP="00B353CD">
      <w:pPr>
        <w:pStyle w:val="ListParagraph"/>
        <w:numPr>
          <w:ilvl w:val="1"/>
          <w:numId w:val="10"/>
        </w:numPr>
        <w:spacing w:after="120" w:line="240" w:lineRule="auto"/>
        <w:contextualSpacing w:val="0"/>
        <w:rPr>
          <w:rFonts w:ascii="Times New Roman" w:hAnsi="Times New Roman" w:cs="Times New Roman"/>
          <w:sz w:val="24"/>
          <w:szCs w:val="24"/>
        </w:rPr>
      </w:pPr>
      <w:r w:rsidRPr="0057066F">
        <w:rPr>
          <w:rFonts w:ascii="Times New Roman" w:hAnsi="Times New Roman" w:cs="Times New Roman"/>
          <w:sz w:val="24"/>
          <w:szCs w:val="24"/>
        </w:rPr>
        <w:t>Employment Rate (Fourth Quarter after Exit) – All participants</w:t>
      </w:r>
      <w:r w:rsidR="00BB4335" w:rsidRPr="0057066F">
        <w:rPr>
          <w:rFonts w:ascii="Times New Roman" w:hAnsi="Times New Roman" w:cs="Times New Roman"/>
          <w:sz w:val="24"/>
          <w:szCs w:val="24"/>
        </w:rPr>
        <w:t xml:space="preserve"> with a </w:t>
      </w:r>
      <w:proofErr w:type="spellStart"/>
      <w:r w:rsidR="00BB4335" w:rsidRPr="0057066F">
        <w:rPr>
          <w:rFonts w:ascii="Times New Roman" w:hAnsi="Times New Roman" w:cs="Times New Roman"/>
          <w:sz w:val="24"/>
          <w:szCs w:val="24"/>
        </w:rPr>
        <w:t>PoP</w:t>
      </w:r>
      <w:proofErr w:type="spellEnd"/>
      <w:r w:rsidR="00BB4335" w:rsidRPr="0057066F">
        <w:rPr>
          <w:rFonts w:ascii="Times New Roman" w:hAnsi="Times New Roman" w:cs="Times New Roman"/>
          <w:sz w:val="24"/>
          <w:szCs w:val="24"/>
        </w:rPr>
        <w:t xml:space="preserve"> exit date occurring between January</w:t>
      </w:r>
      <w:r w:rsidR="009C284A">
        <w:rPr>
          <w:rFonts w:ascii="Times New Roman" w:hAnsi="Times New Roman" w:cs="Times New Roman"/>
          <w:sz w:val="24"/>
          <w:szCs w:val="24"/>
        </w:rPr>
        <w:t xml:space="preserve"> 1,</w:t>
      </w:r>
      <w:r w:rsidR="00EF5701">
        <w:rPr>
          <w:rFonts w:ascii="Times New Roman" w:hAnsi="Times New Roman" w:cs="Times New Roman"/>
          <w:sz w:val="24"/>
          <w:szCs w:val="24"/>
        </w:rPr>
        <w:t xml:space="preserve"> </w:t>
      </w:r>
      <w:proofErr w:type="gramStart"/>
      <w:r w:rsidR="00EF5701">
        <w:rPr>
          <w:rFonts w:ascii="Times New Roman" w:hAnsi="Times New Roman" w:cs="Times New Roman"/>
          <w:sz w:val="24"/>
          <w:szCs w:val="24"/>
        </w:rPr>
        <w:t>202</w:t>
      </w:r>
      <w:r w:rsidR="00A377E2">
        <w:rPr>
          <w:rFonts w:ascii="Times New Roman" w:hAnsi="Times New Roman" w:cs="Times New Roman"/>
          <w:sz w:val="24"/>
          <w:szCs w:val="24"/>
        </w:rPr>
        <w:t>1</w:t>
      </w:r>
      <w:proofErr w:type="gramEnd"/>
      <w:r w:rsidR="009C284A">
        <w:rPr>
          <w:rFonts w:ascii="Times New Roman" w:hAnsi="Times New Roman" w:cs="Times New Roman"/>
          <w:sz w:val="24"/>
          <w:szCs w:val="24"/>
        </w:rPr>
        <w:t xml:space="preserve"> and December 31,</w:t>
      </w:r>
      <w:r w:rsidR="00EF5701">
        <w:rPr>
          <w:rFonts w:ascii="Times New Roman" w:hAnsi="Times New Roman" w:cs="Times New Roman"/>
          <w:sz w:val="24"/>
          <w:szCs w:val="24"/>
        </w:rPr>
        <w:t xml:space="preserve"> 202</w:t>
      </w:r>
      <w:r w:rsidR="00A377E2">
        <w:rPr>
          <w:rFonts w:ascii="Times New Roman" w:hAnsi="Times New Roman" w:cs="Times New Roman"/>
          <w:sz w:val="24"/>
          <w:szCs w:val="24"/>
        </w:rPr>
        <w:t>1</w:t>
      </w:r>
      <w:r w:rsidR="00BB4335" w:rsidRPr="0057066F">
        <w:rPr>
          <w:rFonts w:ascii="Times New Roman" w:hAnsi="Times New Roman" w:cs="Times New Roman"/>
          <w:sz w:val="24"/>
          <w:szCs w:val="24"/>
        </w:rPr>
        <w:t xml:space="preserve"> are eligible for determination of the Employment Rate in the Fourth Quarter after Exit to be reported on NRS Tables 5, 5A, 8, 9, 10, 11, and the SPR. The data m</w:t>
      </w:r>
      <w:r w:rsidR="00D7644B">
        <w:rPr>
          <w:rFonts w:ascii="Times New Roman" w:hAnsi="Times New Roman" w:cs="Times New Roman"/>
          <w:sz w:val="24"/>
          <w:szCs w:val="24"/>
        </w:rPr>
        <w:t>atch process used to determine 8</w:t>
      </w:r>
      <w:r w:rsidR="00BB4335" w:rsidRPr="0057066F">
        <w:rPr>
          <w:rFonts w:ascii="Times New Roman" w:hAnsi="Times New Roman" w:cs="Times New Roman"/>
          <w:sz w:val="24"/>
          <w:szCs w:val="24"/>
        </w:rPr>
        <w:t xml:space="preserve">(A) above will be used to determine the Employment Rate in </w:t>
      </w:r>
      <w:r w:rsidR="00BB4335" w:rsidRPr="0057066F">
        <w:rPr>
          <w:rFonts w:ascii="Times New Roman" w:hAnsi="Times New Roman" w:cs="Times New Roman"/>
          <w:sz w:val="24"/>
          <w:szCs w:val="24"/>
        </w:rPr>
        <w:lastRenderedPageBreak/>
        <w:t>the Fourth Quarter after Exit</w:t>
      </w:r>
      <w:r w:rsidR="00265B79" w:rsidRPr="0057066F">
        <w:rPr>
          <w:rFonts w:ascii="Times New Roman" w:hAnsi="Times New Roman" w:cs="Times New Roman"/>
          <w:sz w:val="24"/>
          <w:szCs w:val="24"/>
        </w:rPr>
        <w:t xml:space="preserve"> indicator, the one difference being that the data match will be based on whether the adult education participant is employed in the fourth quarter</w:t>
      </w:r>
      <w:r w:rsidR="009C284A">
        <w:rPr>
          <w:rFonts w:ascii="Times New Roman" w:hAnsi="Times New Roman" w:cs="Times New Roman"/>
          <w:sz w:val="24"/>
          <w:szCs w:val="24"/>
        </w:rPr>
        <w:t>, not the second quarter,</w:t>
      </w:r>
      <w:r w:rsidR="00265B79" w:rsidRPr="0057066F">
        <w:rPr>
          <w:rFonts w:ascii="Times New Roman" w:hAnsi="Times New Roman" w:cs="Times New Roman"/>
          <w:sz w:val="24"/>
          <w:szCs w:val="24"/>
        </w:rPr>
        <w:t xml:space="preserve"> after program exit.</w:t>
      </w:r>
    </w:p>
    <w:p w14:paraId="233CD9B0" w14:textId="285A1722" w:rsidR="007E126C" w:rsidRPr="0057066F" w:rsidRDefault="007E126C" w:rsidP="00B353CD">
      <w:pPr>
        <w:pStyle w:val="ListParagraph"/>
        <w:numPr>
          <w:ilvl w:val="1"/>
          <w:numId w:val="10"/>
        </w:numPr>
        <w:spacing w:after="120" w:line="240" w:lineRule="auto"/>
        <w:contextualSpacing w:val="0"/>
        <w:rPr>
          <w:rFonts w:ascii="Times New Roman" w:hAnsi="Times New Roman" w:cs="Times New Roman"/>
          <w:sz w:val="24"/>
          <w:szCs w:val="24"/>
        </w:rPr>
      </w:pPr>
      <w:r w:rsidRPr="0057066F">
        <w:rPr>
          <w:rFonts w:ascii="Times New Roman" w:hAnsi="Times New Roman" w:cs="Times New Roman"/>
          <w:sz w:val="24"/>
          <w:szCs w:val="24"/>
        </w:rPr>
        <w:t xml:space="preserve">Credential Attainment – </w:t>
      </w:r>
      <w:r w:rsidR="00E23676" w:rsidRPr="0057066F">
        <w:rPr>
          <w:rFonts w:ascii="Times New Roman" w:hAnsi="Times New Roman" w:cs="Times New Roman"/>
          <w:sz w:val="24"/>
          <w:szCs w:val="24"/>
        </w:rPr>
        <w:t>All parti</w:t>
      </w:r>
      <w:r w:rsidR="009C284A">
        <w:rPr>
          <w:rFonts w:ascii="Times New Roman" w:hAnsi="Times New Roman" w:cs="Times New Roman"/>
          <w:sz w:val="24"/>
          <w:szCs w:val="24"/>
        </w:rPr>
        <w:t>cipants with a</w:t>
      </w:r>
      <w:r w:rsidR="00A377E2">
        <w:rPr>
          <w:rFonts w:ascii="Times New Roman" w:hAnsi="Times New Roman" w:cs="Times New Roman"/>
          <w:sz w:val="24"/>
          <w:szCs w:val="24"/>
        </w:rPr>
        <w:t xml:space="preserve">n </w:t>
      </w:r>
      <w:r w:rsidR="00E23676" w:rsidRPr="0057066F">
        <w:rPr>
          <w:rFonts w:ascii="Times New Roman" w:hAnsi="Times New Roman" w:cs="Times New Roman"/>
          <w:sz w:val="24"/>
          <w:szCs w:val="24"/>
        </w:rPr>
        <w:t>exit date o</w:t>
      </w:r>
      <w:r w:rsidR="009C284A">
        <w:rPr>
          <w:rFonts w:ascii="Times New Roman" w:hAnsi="Times New Roman" w:cs="Times New Roman"/>
          <w:sz w:val="24"/>
          <w:szCs w:val="24"/>
        </w:rPr>
        <w:t>ccurring between January 1,</w:t>
      </w:r>
      <w:r w:rsidR="00EF5701">
        <w:rPr>
          <w:rFonts w:ascii="Times New Roman" w:hAnsi="Times New Roman" w:cs="Times New Roman"/>
          <w:sz w:val="24"/>
          <w:szCs w:val="24"/>
        </w:rPr>
        <w:t xml:space="preserve"> </w:t>
      </w:r>
      <w:proofErr w:type="gramStart"/>
      <w:r w:rsidR="00EF5701">
        <w:rPr>
          <w:rFonts w:ascii="Times New Roman" w:hAnsi="Times New Roman" w:cs="Times New Roman"/>
          <w:sz w:val="24"/>
          <w:szCs w:val="24"/>
        </w:rPr>
        <w:t>202</w:t>
      </w:r>
      <w:r w:rsidR="00A377E2">
        <w:rPr>
          <w:rFonts w:ascii="Times New Roman" w:hAnsi="Times New Roman" w:cs="Times New Roman"/>
          <w:sz w:val="24"/>
          <w:szCs w:val="24"/>
        </w:rPr>
        <w:t>1</w:t>
      </w:r>
      <w:proofErr w:type="gramEnd"/>
      <w:r w:rsidR="009C284A">
        <w:rPr>
          <w:rFonts w:ascii="Times New Roman" w:hAnsi="Times New Roman" w:cs="Times New Roman"/>
          <w:sz w:val="24"/>
          <w:szCs w:val="24"/>
        </w:rPr>
        <w:t xml:space="preserve"> and December 31,</w:t>
      </w:r>
      <w:r w:rsidR="00EF5701">
        <w:rPr>
          <w:rFonts w:ascii="Times New Roman" w:hAnsi="Times New Roman" w:cs="Times New Roman"/>
          <w:sz w:val="24"/>
          <w:szCs w:val="24"/>
        </w:rPr>
        <w:t xml:space="preserve"> 202</w:t>
      </w:r>
      <w:r w:rsidR="00A377E2">
        <w:rPr>
          <w:rFonts w:ascii="Times New Roman" w:hAnsi="Times New Roman" w:cs="Times New Roman"/>
          <w:sz w:val="24"/>
          <w:szCs w:val="24"/>
        </w:rPr>
        <w:t>1</w:t>
      </w:r>
      <w:r w:rsidR="00E23676" w:rsidRPr="0057066F">
        <w:rPr>
          <w:rFonts w:ascii="Times New Roman" w:hAnsi="Times New Roman" w:cs="Times New Roman"/>
          <w:sz w:val="24"/>
          <w:szCs w:val="24"/>
        </w:rPr>
        <w:t xml:space="preserve"> are </w:t>
      </w:r>
      <w:r w:rsidRPr="0057066F">
        <w:rPr>
          <w:rFonts w:ascii="Times New Roman" w:hAnsi="Times New Roman" w:cs="Times New Roman"/>
          <w:sz w:val="24"/>
          <w:szCs w:val="24"/>
        </w:rPr>
        <w:t>eligible for determination of credential attainment to be reported on NRS Tables 5, 5A, 8, 9, 10, 11, and the Statewide Performance Report if the additional criteria listed below are also met</w:t>
      </w:r>
      <w:r w:rsidR="00AF012F" w:rsidRPr="0057066F">
        <w:rPr>
          <w:rFonts w:ascii="Times New Roman" w:hAnsi="Times New Roman" w:cs="Times New Roman"/>
          <w:sz w:val="24"/>
          <w:szCs w:val="24"/>
        </w:rPr>
        <w:t xml:space="preserve">. </w:t>
      </w:r>
    </w:p>
    <w:p w14:paraId="7077F3BA" w14:textId="3CCE5344" w:rsidR="007E126C" w:rsidRPr="0057066F" w:rsidRDefault="007E126C" w:rsidP="00B353CD">
      <w:pPr>
        <w:pStyle w:val="ListParagraph"/>
        <w:numPr>
          <w:ilvl w:val="2"/>
          <w:numId w:val="10"/>
        </w:numPr>
        <w:spacing w:after="120" w:line="240" w:lineRule="auto"/>
        <w:contextualSpacing w:val="0"/>
        <w:rPr>
          <w:rFonts w:ascii="Times New Roman" w:hAnsi="Times New Roman" w:cs="Times New Roman"/>
          <w:sz w:val="24"/>
          <w:szCs w:val="24"/>
        </w:rPr>
      </w:pPr>
      <w:r w:rsidRPr="0057066F">
        <w:rPr>
          <w:rFonts w:ascii="Times New Roman" w:hAnsi="Times New Roman" w:cs="Times New Roman"/>
          <w:sz w:val="24"/>
          <w:szCs w:val="24"/>
        </w:rPr>
        <w:t>Postsecondary Credentia</w:t>
      </w:r>
      <w:r w:rsidR="00E23676" w:rsidRPr="0057066F">
        <w:rPr>
          <w:rFonts w:ascii="Times New Roman" w:hAnsi="Times New Roman" w:cs="Times New Roman"/>
          <w:sz w:val="24"/>
          <w:szCs w:val="24"/>
        </w:rPr>
        <w:t xml:space="preserve">l Attainment – </w:t>
      </w:r>
      <w:r w:rsidR="00A377E2">
        <w:rPr>
          <w:rFonts w:ascii="Times New Roman" w:hAnsi="Times New Roman" w:cs="Times New Roman"/>
          <w:sz w:val="24"/>
          <w:szCs w:val="24"/>
        </w:rPr>
        <w:t xml:space="preserve">To be </w:t>
      </w:r>
      <w:r w:rsidR="0036210A">
        <w:rPr>
          <w:rFonts w:ascii="Times New Roman" w:hAnsi="Times New Roman" w:cs="Times New Roman"/>
          <w:sz w:val="24"/>
          <w:szCs w:val="24"/>
        </w:rPr>
        <w:t>eligible for being recognized as</w:t>
      </w:r>
      <w:r w:rsidR="00A377E2">
        <w:rPr>
          <w:rFonts w:ascii="Times New Roman" w:hAnsi="Times New Roman" w:cs="Times New Roman"/>
          <w:sz w:val="24"/>
          <w:szCs w:val="24"/>
        </w:rPr>
        <w:t xml:space="preserve"> making a postsecondary credential attainment follow-up outcome, participants must have a </w:t>
      </w:r>
      <w:r w:rsidR="00A377E2">
        <w:rPr>
          <w:rFonts w:ascii="Times New Roman" w:hAnsi="Times New Roman" w:cs="Times New Roman"/>
          <w:b/>
          <w:bCs/>
          <w:sz w:val="24"/>
          <w:szCs w:val="24"/>
          <w:u w:val="single"/>
        </w:rPr>
        <w:t xml:space="preserve">postsecondary education or training program exit </w:t>
      </w:r>
      <w:r w:rsidR="00A377E2" w:rsidRPr="00A377E2">
        <w:rPr>
          <w:rFonts w:ascii="Times New Roman" w:hAnsi="Times New Roman" w:cs="Times New Roman"/>
          <w:b/>
          <w:bCs/>
          <w:sz w:val="24"/>
          <w:szCs w:val="24"/>
          <w:u w:val="single"/>
        </w:rPr>
        <w:t>date</w:t>
      </w:r>
      <w:r w:rsidR="00A377E2">
        <w:rPr>
          <w:rFonts w:ascii="Times New Roman" w:hAnsi="Times New Roman" w:cs="Times New Roman"/>
          <w:sz w:val="24"/>
          <w:szCs w:val="24"/>
        </w:rPr>
        <w:t xml:space="preserve"> between January 1, </w:t>
      </w:r>
      <w:proofErr w:type="gramStart"/>
      <w:r w:rsidR="00A377E2">
        <w:rPr>
          <w:rFonts w:ascii="Times New Roman" w:hAnsi="Times New Roman" w:cs="Times New Roman"/>
          <w:sz w:val="24"/>
          <w:szCs w:val="24"/>
        </w:rPr>
        <w:t>2021</w:t>
      </w:r>
      <w:proofErr w:type="gramEnd"/>
      <w:r w:rsidR="00A377E2">
        <w:rPr>
          <w:rFonts w:ascii="Times New Roman" w:hAnsi="Times New Roman" w:cs="Times New Roman"/>
          <w:sz w:val="24"/>
          <w:szCs w:val="24"/>
        </w:rPr>
        <w:t xml:space="preserve"> and December 31, 2021</w:t>
      </w:r>
      <w:r w:rsidR="0036210A">
        <w:rPr>
          <w:rFonts w:ascii="Times New Roman" w:hAnsi="Times New Roman" w:cs="Times New Roman"/>
          <w:sz w:val="24"/>
          <w:szCs w:val="24"/>
        </w:rPr>
        <w:t xml:space="preserve">, and be </w:t>
      </w:r>
      <w:r w:rsidRPr="0057066F">
        <w:rPr>
          <w:rFonts w:ascii="Times New Roman" w:hAnsi="Times New Roman" w:cs="Times New Roman"/>
          <w:sz w:val="24"/>
          <w:szCs w:val="24"/>
        </w:rPr>
        <w:t>identified in SSWS as being co-enrolled or enrolled in an IET program</w:t>
      </w:r>
      <w:r w:rsidR="00AF012F" w:rsidRPr="0057066F">
        <w:rPr>
          <w:rFonts w:ascii="Times New Roman" w:hAnsi="Times New Roman" w:cs="Times New Roman"/>
          <w:sz w:val="24"/>
          <w:szCs w:val="24"/>
        </w:rPr>
        <w:t xml:space="preserve">. </w:t>
      </w:r>
      <w:r w:rsidRPr="0057066F">
        <w:rPr>
          <w:rFonts w:ascii="Times New Roman" w:hAnsi="Times New Roman" w:cs="Times New Roman"/>
          <w:sz w:val="24"/>
          <w:szCs w:val="24"/>
        </w:rPr>
        <w:t xml:space="preserve">Determination of postsecondary credential attainment will be based on matching the records of </w:t>
      </w:r>
      <w:r w:rsidR="009D16C6" w:rsidRPr="0057066F">
        <w:rPr>
          <w:rFonts w:ascii="Times New Roman" w:hAnsi="Times New Roman" w:cs="Times New Roman"/>
          <w:sz w:val="24"/>
          <w:szCs w:val="24"/>
        </w:rPr>
        <w:t xml:space="preserve">these </w:t>
      </w:r>
      <w:r w:rsidRPr="0057066F">
        <w:rPr>
          <w:rFonts w:ascii="Times New Roman" w:hAnsi="Times New Roman" w:cs="Times New Roman"/>
          <w:sz w:val="24"/>
          <w:szCs w:val="24"/>
        </w:rPr>
        <w:t xml:space="preserve">adult education participants </w:t>
      </w:r>
      <w:r w:rsidR="009D16C6" w:rsidRPr="0057066F">
        <w:rPr>
          <w:rFonts w:ascii="Times New Roman" w:hAnsi="Times New Roman" w:cs="Times New Roman"/>
          <w:sz w:val="24"/>
          <w:szCs w:val="24"/>
        </w:rPr>
        <w:t>with data maintained by the National Student Clearinghouse (NSC) and the Virginia Community College System (VCCS) to identify how many earned</w:t>
      </w:r>
      <w:r w:rsidR="00E23676" w:rsidRPr="0057066F">
        <w:rPr>
          <w:rFonts w:ascii="Times New Roman" w:hAnsi="Times New Roman" w:cs="Times New Roman"/>
          <w:sz w:val="24"/>
          <w:szCs w:val="24"/>
        </w:rPr>
        <w:t xml:space="preserve"> a postsecondary credential while enrolled in a postsecondary program or within one year of exiting from a postsecondary program. </w:t>
      </w:r>
    </w:p>
    <w:p w14:paraId="44CE08A7" w14:textId="6A29E18F" w:rsidR="007E126C" w:rsidRPr="00B353CD" w:rsidRDefault="007E126C" w:rsidP="00B353CD">
      <w:pPr>
        <w:pStyle w:val="ListParagraph"/>
        <w:numPr>
          <w:ilvl w:val="2"/>
          <w:numId w:val="10"/>
        </w:numPr>
        <w:spacing w:after="120" w:line="240" w:lineRule="auto"/>
        <w:contextualSpacing w:val="0"/>
        <w:rPr>
          <w:rFonts w:ascii="Times New Roman" w:hAnsi="Times New Roman" w:cs="Times New Roman"/>
          <w:b/>
          <w:sz w:val="24"/>
          <w:szCs w:val="24"/>
        </w:rPr>
      </w:pPr>
      <w:r w:rsidRPr="0057066F">
        <w:rPr>
          <w:rFonts w:ascii="Times New Roman" w:hAnsi="Times New Roman" w:cs="Times New Roman"/>
          <w:sz w:val="24"/>
          <w:szCs w:val="24"/>
        </w:rPr>
        <w:t xml:space="preserve">Secondary Credential Attainment – </w:t>
      </w:r>
      <w:r w:rsidR="0036210A">
        <w:rPr>
          <w:rFonts w:ascii="Times New Roman" w:hAnsi="Times New Roman" w:cs="Times New Roman"/>
          <w:sz w:val="24"/>
          <w:szCs w:val="24"/>
        </w:rPr>
        <w:t xml:space="preserve">To be eligible for being recognized as making a secondary credential attainment follow-up outcome, participants must have an </w:t>
      </w:r>
      <w:r w:rsidR="0036210A">
        <w:rPr>
          <w:rFonts w:ascii="Times New Roman" w:hAnsi="Times New Roman" w:cs="Times New Roman"/>
          <w:b/>
          <w:bCs/>
          <w:sz w:val="24"/>
          <w:szCs w:val="24"/>
          <w:u w:val="single"/>
        </w:rPr>
        <w:t xml:space="preserve">adult education program exit </w:t>
      </w:r>
      <w:r w:rsidR="0036210A" w:rsidRPr="00A377E2">
        <w:rPr>
          <w:rFonts w:ascii="Times New Roman" w:hAnsi="Times New Roman" w:cs="Times New Roman"/>
          <w:b/>
          <w:bCs/>
          <w:sz w:val="24"/>
          <w:szCs w:val="24"/>
          <w:u w:val="single"/>
        </w:rPr>
        <w:t>date</w:t>
      </w:r>
      <w:r w:rsidR="0036210A">
        <w:rPr>
          <w:rFonts w:ascii="Times New Roman" w:hAnsi="Times New Roman" w:cs="Times New Roman"/>
          <w:sz w:val="24"/>
          <w:szCs w:val="24"/>
        </w:rPr>
        <w:t xml:space="preserve"> between</w:t>
      </w:r>
      <w:r w:rsidR="009C284A">
        <w:rPr>
          <w:rFonts w:ascii="Times New Roman" w:hAnsi="Times New Roman" w:cs="Times New Roman"/>
          <w:sz w:val="24"/>
          <w:szCs w:val="24"/>
        </w:rPr>
        <w:t xml:space="preserve"> January 1,</w:t>
      </w:r>
      <w:r w:rsidR="00EF5701">
        <w:rPr>
          <w:rFonts w:ascii="Times New Roman" w:hAnsi="Times New Roman" w:cs="Times New Roman"/>
          <w:sz w:val="24"/>
          <w:szCs w:val="24"/>
        </w:rPr>
        <w:t xml:space="preserve"> </w:t>
      </w:r>
      <w:proofErr w:type="gramStart"/>
      <w:r w:rsidR="00EF5701">
        <w:rPr>
          <w:rFonts w:ascii="Times New Roman" w:hAnsi="Times New Roman" w:cs="Times New Roman"/>
          <w:sz w:val="24"/>
          <w:szCs w:val="24"/>
        </w:rPr>
        <w:t>202</w:t>
      </w:r>
      <w:r w:rsidR="0036210A">
        <w:rPr>
          <w:rFonts w:ascii="Times New Roman" w:hAnsi="Times New Roman" w:cs="Times New Roman"/>
          <w:sz w:val="24"/>
          <w:szCs w:val="24"/>
        </w:rPr>
        <w:t>1</w:t>
      </w:r>
      <w:proofErr w:type="gramEnd"/>
      <w:r w:rsidR="009C284A">
        <w:rPr>
          <w:rFonts w:ascii="Times New Roman" w:hAnsi="Times New Roman" w:cs="Times New Roman"/>
          <w:sz w:val="24"/>
          <w:szCs w:val="24"/>
        </w:rPr>
        <w:t xml:space="preserve"> and December 31,</w:t>
      </w:r>
      <w:r w:rsidR="00EF5701">
        <w:rPr>
          <w:rFonts w:ascii="Times New Roman" w:hAnsi="Times New Roman" w:cs="Times New Roman"/>
          <w:sz w:val="24"/>
          <w:szCs w:val="24"/>
        </w:rPr>
        <w:t xml:space="preserve"> 202</w:t>
      </w:r>
      <w:r w:rsidR="0036210A">
        <w:rPr>
          <w:rFonts w:ascii="Times New Roman" w:hAnsi="Times New Roman" w:cs="Times New Roman"/>
          <w:sz w:val="24"/>
          <w:szCs w:val="24"/>
        </w:rPr>
        <w:t>1</w:t>
      </w:r>
      <w:r w:rsidR="009D16C6" w:rsidRPr="0057066F">
        <w:rPr>
          <w:rFonts w:ascii="Times New Roman" w:hAnsi="Times New Roman" w:cs="Times New Roman"/>
          <w:sz w:val="24"/>
          <w:szCs w:val="24"/>
        </w:rPr>
        <w:t>,</w:t>
      </w:r>
      <w:r w:rsidRPr="00B353CD">
        <w:rPr>
          <w:rFonts w:ascii="Times New Roman" w:hAnsi="Times New Roman" w:cs="Times New Roman"/>
          <w:sz w:val="24"/>
          <w:szCs w:val="24"/>
        </w:rPr>
        <w:t xml:space="preserve"> </w:t>
      </w:r>
      <w:r w:rsidR="0036210A">
        <w:rPr>
          <w:rFonts w:ascii="Times New Roman" w:hAnsi="Times New Roman" w:cs="Times New Roman"/>
          <w:sz w:val="24"/>
          <w:szCs w:val="24"/>
        </w:rPr>
        <w:t xml:space="preserve">be </w:t>
      </w:r>
      <w:r w:rsidRPr="00B353CD">
        <w:rPr>
          <w:rFonts w:ascii="Times New Roman" w:hAnsi="Times New Roman" w:cs="Times New Roman"/>
          <w:sz w:val="24"/>
          <w:szCs w:val="24"/>
        </w:rPr>
        <w:t xml:space="preserve">identified in SSWS as enrolled in an adult education program at the Adult Secondary Education </w:t>
      </w:r>
      <w:r w:rsidR="009C284A">
        <w:rPr>
          <w:rFonts w:ascii="Times New Roman" w:hAnsi="Times New Roman" w:cs="Times New Roman"/>
          <w:sz w:val="24"/>
          <w:szCs w:val="24"/>
        </w:rPr>
        <w:t>(ASE) level</w:t>
      </w:r>
      <w:r w:rsidR="0036210A">
        <w:rPr>
          <w:rFonts w:ascii="Times New Roman" w:hAnsi="Times New Roman" w:cs="Times New Roman"/>
          <w:sz w:val="24"/>
          <w:szCs w:val="24"/>
        </w:rPr>
        <w:t>,</w:t>
      </w:r>
      <w:r w:rsidR="009C284A">
        <w:rPr>
          <w:rFonts w:ascii="Times New Roman" w:hAnsi="Times New Roman" w:cs="Times New Roman"/>
          <w:sz w:val="24"/>
          <w:szCs w:val="24"/>
        </w:rPr>
        <w:t xml:space="preserve"> </w:t>
      </w:r>
      <w:r w:rsidR="00F24166">
        <w:rPr>
          <w:rFonts w:ascii="Times New Roman" w:hAnsi="Times New Roman" w:cs="Times New Roman"/>
          <w:sz w:val="24"/>
          <w:szCs w:val="24"/>
        </w:rPr>
        <w:t xml:space="preserve">and </w:t>
      </w:r>
      <w:r w:rsidR="0036210A">
        <w:rPr>
          <w:rFonts w:ascii="Times New Roman" w:hAnsi="Times New Roman" w:cs="Times New Roman"/>
          <w:sz w:val="24"/>
          <w:szCs w:val="24"/>
        </w:rPr>
        <w:t>must not</w:t>
      </w:r>
      <w:r w:rsidR="00F24166">
        <w:rPr>
          <w:rFonts w:ascii="Times New Roman" w:hAnsi="Times New Roman" w:cs="Times New Roman"/>
          <w:sz w:val="24"/>
          <w:szCs w:val="24"/>
        </w:rPr>
        <w:t xml:space="preserve"> have already earned a secondary credential</w:t>
      </w:r>
      <w:r w:rsidR="0036210A">
        <w:rPr>
          <w:rFonts w:ascii="Times New Roman" w:hAnsi="Times New Roman" w:cs="Times New Roman"/>
          <w:sz w:val="24"/>
          <w:szCs w:val="24"/>
        </w:rPr>
        <w:t>.</w:t>
      </w:r>
      <w:r w:rsidR="00AF012F" w:rsidRPr="00B353CD">
        <w:rPr>
          <w:rFonts w:ascii="Times New Roman" w:hAnsi="Times New Roman" w:cs="Times New Roman"/>
          <w:sz w:val="24"/>
          <w:szCs w:val="24"/>
        </w:rPr>
        <w:t xml:space="preserve"> </w:t>
      </w:r>
      <w:r w:rsidRPr="00B353CD">
        <w:rPr>
          <w:rFonts w:ascii="Times New Roman" w:hAnsi="Times New Roman" w:cs="Times New Roman"/>
          <w:sz w:val="24"/>
          <w:szCs w:val="24"/>
        </w:rPr>
        <w:t xml:space="preserve">Determination of secondary credential attainment will be based on matching the records of </w:t>
      </w:r>
      <w:r w:rsidR="009D16C6" w:rsidRPr="00B353CD">
        <w:rPr>
          <w:rFonts w:ascii="Times New Roman" w:hAnsi="Times New Roman" w:cs="Times New Roman"/>
          <w:sz w:val="24"/>
          <w:szCs w:val="24"/>
        </w:rPr>
        <w:t xml:space="preserve">these </w:t>
      </w:r>
      <w:r w:rsidRPr="00B353CD">
        <w:rPr>
          <w:rFonts w:ascii="Times New Roman" w:hAnsi="Times New Roman" w:cs="Times New Roman"/>
          <w:sz w:val="24"/>
          <w:szCs w:val="24"/>
        </w:rPr>
        <w:t>adult education participants with GED</w:t>
      </w:r>
      <w:r w:rsidRPr="009C284A">
        <w:rPr>
          <w:rFonts w:ascii="Times New Roman" w:hAnsi="Times New Roman" w:cs="Times New Roman"/>
          <w:sz w:val="24"/>
          <w:szCs w:val="24"/>
          <w:vertAlign w:val="superscript"/>
        </w:rPr>
        <w:t>®</w:t>
      </w:r>
      <w:r w:rsidRPr="00B353CD">
        <w:rPr>
          <w:rFonts w:ascii="Times New Roman" w:hAnsi="Times New Roman" w:cs="Times New Roman"/>
          <w:sz w:val="24"/>
          <w:szCs w:val="24"/>
        </w:rPr>
        <w:t xml:space="preserve"> and NEDP completer data</w:t>
      </w:r>
      <w:r w:rsidR="009D16C6" w:rsidRPr="00B353CD">
        <w:rPr>
          <w:rFonts w:ascii="Times New Roman" w:hAnsi="Times New Roman" w:cs="Times New Roman"/>
          <w:sz w:val="24"/>
          <w:szCs w:val="24"/>
        </w:rPr>
        <w:t xml:space="preserve"> to identify how many earned a secondary credential while enrolled in an adult education program or within one year of exiting from the adult education program and who were either employed or enrolled in a postsecondary education or training program within one year of exiting from the adult education program</w:t>
      </w:r>
      <w:r w:rsidR="00AF012F" w:rsidRPr="00B353CD">
        <w:rPr>
          <w:rFonts w:ascii="Times New Roman" w:hAnsi="Times New Roman" w:cs="Times New Roman"/>
          <w:sz w:val="24"/>
          <w:szCs w:val="24"/>
        </w:rPr>
        <w:t xml:space="preserve">. </w:t>
      </w:r>
    </w:p>
    <w:p w14:paraId="2F2EBFAB" w14:textId="33A37A72" w:rsidR="007E126C" w:rsidRPr="00B353CD" w:rsidRDefault="007E126C" w:rsidP="00094246">
      <w:pPr>
        <w:spacing w:line="240" w:lineRule="auto"/>
        <w:ind w:left="1440"/>
        <w:rPr>
          <w:rFonts w:ascii="Times New Roman" w:hAnsi="Times New Roman" w:cs="Times New Roman"/>
          <w:sz w:val="24"/>
          <w:szCs w:val="24"/>
        </w:rPr>
      </w:pPr>
      <w:r w:rsidRPr="00B353CD">
        <w:rPr>
          <w:rFonts w:ascii="Times New Roman" w:hAnsi="Times New Roman" w:cs="Times New Roman"/>
          <w:sz w:val="24"/>
          <w:szCs w:val="24"/>
        </w:rPr>
        <w:t>N</w:t>
      </w:r>
      <w:r w:rsidR="005D595E" w:rsidRPr="00B353CD">
        <w:rPr>
          <w:rFonts w:ascii="Times New Roman" w:hAnsi="Times New Roman" w:cs="Times New Roman"/>
          <w:sz w:val="24"/>
          <w:szCs w:val="24"/>
        </w:rPr>
        <w:t>ote</w:t>
      </w:r>
      <w:r w:rsidRPr="00B353CD">
        <w:rPr>
          <w:rFonts w:ascii="Times New Roman" w:hAnsi="Times New Roman" w:cs="Times New Roman"/>
          <w:sz w:val="24"/>
          <w:szCs w:val="24"/>
        </w:rPr>
        <w:t>: Determination of postsecondary and secondary credential attainment may be supplemented by using the postsecondary and secondary credential attainment information entered in SSWS</w:t>
      </w:r>
      <w:r w:rsidR="00B46B2F" w:rsidRPr="00B353CD">
        <w:rPr>
          <w:rFonts w:ascii="Times New Roman" w:hAnsi="Times New Roman" w:cs="Times New Roman"/>
          <w:sz w:val="24"/>
          <w:szCs w:val="24"/>
        </w:rPr>
        <w:t xml:space="preserve"> and maintained in </w:t>
      </w:r>
      <w:r w:rsidR="0036210A">
        <w:rPr>
          <w:rFonts w:ascii="Times New Roman" w:hAnsi="Times New Roman" w:cs="Times New Roman"/>
          <w:sz w:val="24"/>
          <w:szCs w:val="24"/>
        </w:rPr>
        <w:t xml:space="preserve">the </w:t>
      </w:r>
      <w:r w:rsidR="00B46B2F" w:rsidRPr="00B353CD">
        <w:rPr>
          <w:rFonts w:ascii="Times New Roman" w:hAnsi="Times New Roman" w:cs="Times New Roman"/>
          <w:sz w:val="24"/>
          <w:szCs w:val="24"/>
        </w:rPr>
        <w:t>program’s student files</w:t>
      </w:r>
      <w:r w:rsidR="00AF012F" w:rsidRPr="00B353CD">
        <w:rPr>
          <w:rFonts w:ascii="Times New Roman" w:hAnsi="Times New Roman" w:cs="Times New Roman"/>
          <w:sz w:val="24"/>
          <w:szCs w:val="24"/>
        </w:rPr>
        <w:t xml:space="preserve">. </w:t>
      </w:r>
    </w:p>
    <w:p w14:paraId="3A2125D9" w14:textId="309E232A" w:rsidR="007E126C" w:rsidRPr="00B353CD" w:rsidRDefault="007E126C" w:rsidP="00B353CD">
      <w:pPr>
        <w:pStyle w:val="Heading2"/>
        <w:numPr>
          <w:ilvl w:val="0"/>
          <w:numId w:val="10"/>
        </w:numPr>
        <w:tabs>
          <w:tab w:val="left" w:pos="810"/>
        </w:tabs>
        <w:spacing w:before="0" w:after="120" w:line="240" w:lineRule="auto"/>
        <w:ind w:left="810"/>
        <w:rPr>
          <w:rFonts w:ascii="Times New Roman" w:hAnsi="Times New Roman" w:cs="Times New Roman"/>
          <w:color w:val="auto"/>
        </w:rPr>
      </w:pPr>
      <w:bookmarkStart w:id="9" w:name="_Toc105689119"/>
      <w:r w:rsidRPr="00B353CD">
        <w:rPr>
          <w:rFonts w:ascii="Times New Roman" w:hAnsi="Times New Roman" w:cs="Times New Roman"/>
          <w:color w:val="auto"/>
        </w:rPr>
        <w:t>MSG Eligibility</w:t>
      </w:r>
      <w:bookmarkEnd w:id="9"/>
      <w:r w:rsidRPr="00B353CD">
        <w:rPr>
          <w:rFonts w:ascii="Times New Roman" w:hAnsi="Times New Roman" w:cs="Times New Roman"/>
          <w:color w:val="auto"/>
        </w:rPr>
        <w:t xml:space="preserve"> </w:t>
      </w:r>
    </w:p>
    <w:p w14:paraId="24B5BE37" w14:textId="137E5594" w:rsidR="007E126C" w:rsidRPr="00B353CD" w:rsidRDefault="007E126C" w:rsidP="00B353CD">
      <w:pPr>
        <w:pStyle w:val="ListParagraph"/>
        <w:spacing w:after="120" w:line="240" w:lineRule="auto"/>
        <w:ind w:left="810"/>
        <w:contextualSpacing w:val="0"/>
        <w:rPr>
          <w:rFonts w:ascii="Times New Roman" w:hAnsi="Times New Roman" w:cs="Times New Roman"/>
          <w:sz w:val="24"/>
          <w:szCs w:val="24"/>
        </w:rPr>
      </w:pPr>
      <w:r w:rsidRPr="00B353CD">
        <w:rPr>
          <w:rFonts w:ascii="Times New Roman" w:hAnsi="Times New Roman" w:cs="Times New Roman"/>
          <w:sz w:val="24"/>
          <w:szCs w:val="24"/>
        </w:rPr>
        <w:t>MSG</w:t>
      </w:r>
      <w:r w:rsidR="00D7644B">
        <w:rPr>
          <w:rFonts w:ascii="Times New Roman" w:hAnsi="Times New Roman" w:cs="Times New Roman"/>
          <w:sz w:val="24"/>
          <w:szCs w:val="24"/>
        </w:rPr>
        <w:t xml:space="preserve"> eligibility is divided into five types of gains, </w:t>
      </w:r>
      <w:r w:rsidR="00605FE8">
        <w:rPr>
          <w:rFonts w:ascii="Times New Roman" w:hAnsi="Times New Roman" w:cs="Times New Roman"/>
          <w:sz w:val="24"/>
          <w:szCs w:val="24"/>
        </w:rPr>
        <w:t>Type 1 (</w:t>
      </w:r>
      <w:r w:rsidR="00D7644B">
        <w:rPr>
          <w:rFonts w:ascii="Times New Roman" w:hAnsi="Times New Roman" w:cs="Times New Roman"/>
          <w:sz w:val="24"/>
          <w:szCs w:val="24"/>
        </w:rPr>
        <w:t>EFL Gain</w:t>
      </w:r>
      <w:r w:rsidR="00605FE8">
        <w:rPr>
          <w:rFonts w:ascii="Times New Roman" w:hAnsi="Times New Roman" w:cs="Times New Roman"/>
          <w:sz w:val="24"/>
          <w:szCs w:val="24"/>
        </w:rPr>
        <w:t>)</w:t>
      </w:r>
      <w:r w:rsidR="00D7644B">
        <w:rPr>
          <w:rFonts w:ascii="Times New Roman" w:hAnsi="Times New Roman" w:cs="Times New Roman"/>
          <w:sz w:val="24"/>
          <w:szCs w:val="24"/>
        </w:rPr>
        <w:t>,</w:t>
      </w:r>
      <w:r w:rsidRPr="00B353CD">
        <w:rPr>
          <w:rFonts w:ascii="Times New Roman" w:hAnsi="Times New Roman" w:cs="Times New Roman"/>
          <w:sz w:val="24"/>
          <w:szCs w:val="24"/>
        </w:rPr>
        <w:t xml:space="preserve"> </w:t>
      </w:r>
      <w:r w:rsidR="00605FE8">
        <w:rPr>
          <w:rFonts w:ascii="Times New Roman" w:hAnsi="Times New Roman" w:cs="Times New Roman"/>
          <w:sz w:val="24"/>
          <w:szCs w:val="24"/>
        </w:rPr>
        <w:t>Type 2 (</w:t>
      </w:r>
      <w:r w:rsidRPr="00B353CD">
        <w:rPr>
          <w:rFonts w:ascii="Times New Roman" w:hAnsi="Times New Roman" w:cs="Times New Roman"/>
          <w:sz w:val="24"/>
          <w:szCs w:val="24"/>
        </w:rPr>
        <w:t>Secondary Credential Gain</w:t>
      </w:r>
      <w:r w:rsidR="00605FE8">
        <w:rPr>
          <w:rFonts w:ascii="Times New Roman" w:hAnsi="Times New Roman" w:cs="Times New Roman"/>
          <w:sz w:val="24"/>
          <w:szCs w:val="24"/>
        </w:rPr>
        <w:t>)</w:t>
      </w:r>
      <w:r w:rsidR="00D7644B">
        <w:rPr>
          <w:rFonts w:ascii="Times New Roman" w:hAnsi="Times New Roman" w:cs="Times New Roman"/>
          <w:sz w:val="24"/>
          <w:szCs w:val="24"/>
        </w:rPr>
        <w:t>, Type 3 (Postsecondary Transcript or Report Card), Type 4 (Prog</w:t>
      </w:r>
      <w:r w:rsidR="00847FC7">
        <w:rPr>
          <w:rFonts w:ascii="Times New Roman" w:hAnsi="Times New Roman" w:cs="Times New Roman"/>
          <w:sz w:val="24"/>
          <w:szCs w:val="24"/>
        </w:rPr>
        <w:t>r</w:t>
      </w:r>
      <w:r w:rsidR="00D7644B">
        <w:rPr>
          <w:rFonts w:ascii="Times New Roman" w:hAnsi="Times New Roman" w:cs="Times New Roman"/>
          <w:sz w:val="24"/>
          <w:szCs w:val="24"/>
        </w:rPr>
        <w:t>ess Towards Milestones), and Type 5 (Passage of an Exam or Progress in Attaining Skills).</w:t>
      </w:r>
      <w:r w:rsidR="00AF012F" w:rsidRPr="00B353CD">
        <w:rPr>
          <w:rFonts w:ascii="Times New Roman" w:hAnsi="Times New Roman" w:cs="Times New Roman"/>
          <w:sz w:val="24"/>
          <w:szCs w:val="24"/>
        </w:rPr>
        <w:t xml:space="preserve"> </w:t>
      </w:r>
      <w:r w:rsidRPr="00B353CD">
        <w:rPr>
          <w:rFonts w:ascii="Times New Roman" w:hAnsi="Times New Roman" w:cs="Times New Roman"/>
          <w:sz w:val="24"/>
          <w:szCs w:val="24"/>
        </w:rPr>
        <w:t>Requirements for each type are provided below.</w:t>
      </w:r>
      <w:r w:rsidR="00847FC7">
        <w:rPr>
          <w:rFonts w:ascii="Times New Roman" w:hAnsi="Times New Roman" w:cs="Times New Roman"/>
          <w:sz w:val="24"/>
          <w:szCs w:val="24"/>
        </w:rPr>
        <w:t xml:space="preserve"> While all participants are eligible to be recognized for demonstrating an EFL gain or earning a secondary credential, only IET </w:t>
      </w:r>
      <w:r w:rsidR="00F0524E">
        <w:rPr>
          <w:rFonts w:ascii="Times New Roman" w:hAnsi="Times New Roman" w:cs="Times New Roman"/>
          <w:sz w:val="24"/>
          <w:szCs w:val="24"/>
        </w:rPr>
        <w:t>and</w:t>
      </w:r>
      <w:r w:rsidR="00847FC7">
        <w:rPr>
          <w:rFonts w:ascii="Times New Roman" w:hAnsi="Times New Roman" w:cs="Times New Roman"/>
          <w:sz w:val="24"/>
          <w:szCs w:val="24"/>
        </w:rPr>
        <w:t xml:space="preserve"> Workplace Literacy students are eligible to be recognized for demonstrating a Type 3, Type 4, or Type 5 MSG. The MSG types are summarized below.</w:t>
      </w:r>
    </w:p>
    <w:p w14:paraId="6B4F0949" w14:textId="73946570" w:rsidR="007E126C" w:rsidRPr="00B353CD" w:rsidRDefault="00436F42" w:rsidP="00B353CD">
      <w:pPr>
        <w:pStyle w:val="ListParagraph"/>
        <w:numPr>
          <w:ilvl w:val="1"/>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lastRenderedPageBreak/>
        <w:t>EFL Gain</w:t>
      </w:r>
      <w:r w:rsidR="00F0524E">
        <w:rPr>
          <w:rFonts w:ascii="Times New Roman" w:hAnsi="Times New Roman" w:cs="Times New Roman"/>
          <w:sz w:val="24"/>
          <w:szCs w:val="24"/>
        </w:rPr>
        <w:t xml:space="preserve"> (Type 1 MSG)</w:t>
      </w:r>
      <w:r w:rsidRPr="00B353CD">
        <w:rPr>
          <w:rFonts w:ascii="Times New Roman" w:hAnsi="Times New Roman" w:cs="Times New Roman"/>
          <w:sz w:val="24"/>
          <w:szCs w:val="24"/>
        </w:rPr>
        <w:t xml:space="preserve"> – The</w:t>
      </w:r>
      <w:r w:rsidR="007E126C" w:rsidRPr="00B353CD">
        <w:rPr>
          <w:rFonts w:ascii="Times New Roman" w:hAnsi="Times New Roman" w:cs="Times New Roman"/>
          <w:sz w:val="24"/>
          <w:szCs w:val="24"/>
        </w:rPr>
        <w:t xml:space="preserve"> three types of EFL gain th</w:t>
      </w:r>
      <w:r w:rsidR="00905D76" w:rsidRPr="00B353CD">
        <w:rPr>
          <w:rFonts w:ascii="Times New Roman" w:hAnsi="Times New Roman" w:cs="Times New Roman"/>
          <w:sz w:val="24"/>
          <w:szCs w:val="24"/>
        </w:rPr>
        <w:t xml:space="preserve">at may be </w:t>
      </w:r>
      <w:r w:rsidRPr="00B353CD">
        <w:rPr>
          <w:rFonts w:ascii="Times New Roman" w:hAnsi="Times New Roman" w:cs="Times New Roman"/>
          <w:sz w:val="24"/>
          <w:szCs w:val="24"/>
        </w:rPr>
        <w:t xml:space="preserve">used to demonstrate </w:t>
      </w:r>
      <w:r w:rsidR="00905D76" w:rsidRPr="00B353CD">
        <w:rPr>
          <w:rFonts w:ascii="Times New Roman" w:hAnsi="Times New Roman" w:cs="Times New Roman"/>
          <w:sz w:val="24"/>
          <w:szCs w:val="24"/>
        </w:rPr>
        <w:t>MSG</w:t>
      </w:r>
      <w:r w:rsidRPr="00B353CD">
        <w:rPr>
          <w:rFonts w:ascii="Times New Roman" w:hAnsi="Times New Roman" w:cs="Times New Roman"/>
          <w:sz w:val="24"/>
          <w:szCs w:val="24"/>
        </w:rPr>
        <w:t xml:space="preserve"> and their requirements are provided below</w:t>
      </w:r>
      <w:r w:rsidR="00AF012F" w:rsidRPr="00B353CD">
        <w:rPr>
          <w:rFonts w:ascii="Times New Roman" w:hAnsi="Times New Roman" w:cs="Times New Roman"/>
          <w:sz w:val="24"/>
          <w:szCs w:val="24"/>
        </w:rPr>
        <w:t xml:space="preserve">. </w:t>
      </w:r>
      <w:r w:rsidRPr="00B353CD">
        <w:rPr>
          <w:rFonts w:ascii="Times New Roman" w:hAnsi="Times New Roman" w:cs="Times New Roman"/>
          <w:sz w:val="24"/>
          <w:szCs w:val="24"/>
        </w:rPr>
        <w:t>Remember that of the three, only “</w:t>
      </w:r>
      <w:r w:rsidR="00F0524E">
        <w:rPr>
          <w:rFonts w:ascii="Times New Roman" w:hAnsi="Times New Roman" w:cs="Times New Roman"/>
          <w:sz w:val="24"/>
          <w:szCs w:val="24"/>
        </w:rPr>
        <w:t>Transition</w:t>
      </w:r>
      <w:r w:rsidRPr="00B353CD">
        <w:rPr>
          <w:rFonts w:ascii="Times New Roman" w:hAnsi="Times New Roman" w:cs="Times New Roman"/>
          <w:sz w:val="24"/>
          <w:szCs w:val="24"/>
        </w:rPr>
        <w:t xml:space="preserve"> to Postsecondary</w:t>
      </w:r>
      <w:r w:rsidR="007E126C" w:rsidRPr="00B353CD">
        <w:rPr>
          <w:rFonts w:ascii="Times New Roman" w:hAnsi="Times New Roman" w:cs="Times New Roman"/>
          <w:sz w:val="24"/>
          <w:szCs w:val="24"/>
        </w:rPr>
        <w:t>” require</w:t>
      </w:r>
      <w:r w:rsidRPr="00B353CD">
        <w:rPr>
          <w:rFonts w:ascii="Times New Roman" w:hAnsi="Times New Roman" w:cs="Times New Roman"/>
          <w:sz w:val="24"/>
          <w:szCs w:val="24"/>
        </w:rPr>
        <w:t>s</w:t>
      </w:r>
      <w:r w:rsidR="007E126C" w:rsidRPr="00B353CD">
        <w:rPr>
          <w:rFonts w:ascii="Times New Roman" w:hAnsi="Times New Roman" w:cs="Times New Roman"/>
          <w:sz w:val="24"/>
          <w:szCs w:val="24"/>
        </w:rPr>
        <w:t xml:space="preserve"> an exit date.</w:t>
      </w:r>
    </w:p>
    <w:p w14:paraId="52243665" w14:textId="77777777" w:rsidR="007E126C" w:rsidRPr="00B353CD" w:rsidRDefault="007E126C" w:rsidP="00B353CD">
      <w:pPr>
        <w:pStyle w:val="ListParagraph"/>
        <w:numPr>
          <w:ilvl w:val="2"/>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Pre-test/Post-test Gain – </w:t>
      </w:r>
    </w:p>
    <w:p w14:paraId="5247AAB7" w14:textId="77777777" w:rsidR="007E126C" w:rsidRPr="00B353CD" w:rsidRDefault="007E126C" w:rsidP="00B353CD">
      <w:pPr>
        <w:pStyle w:val="ListParagraph"/>
        <w:numPr>
          <w:ilvl w:val="3"/>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The student must be a participant while enrolled in an adult education program.</w:t>
      </w:r>
    </w:p>
    <w:p w14:paraId="226D0925" w14:textId="61811447" w:rsidR="007E126C" w:rsidRPr="00B353CD" w:rsidRDefault="007E126C" w:rsidP="00B353CD">
      <w:pPr>
        <w:pStyle w:val="ListParagraph"/>
        <w:numPr>
          <w:ilvl w:val="3"/>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All test results used for </w:t>
      </w:r>
      <w:r w:rsidR="00575FB5" w:rsidRPr="00B353CD">
        <w:rPr>
          <w:rFonts w:ascii="Times New Roman" w:hAnsi="Times New Roman" w:cs="Times New Roman"/>
          <w:sz w:val="24"/>
          <w:szCs w:val="24"/>
        </w:rPr>
        <w:t>evaluating</w:t>
      </w:r>
      <w:r w:rsidRPr="00B353CD">
        <w:rPr>
          <w:rFonts w:ascii="Times New Roman" w:hAnsi="Times New Roman" w:cs="Times New Roman"/>
          <w:sz w:val="24"/>
          <w:szCs w:val="24"/>
        </w:rPr>
        <w:t xml:space="preserve"> a pre-test/post-test gain must be valid.</w:t>
      </w:r>
    </w:p>
    <w:p w14:paraId="4C04A20A" w14:textId="1F977151" w:rsidR="007E126C" w:rsidRPr="00B353CD" w:rsidRDefault="007E126C" w:rsidP="00B353CD">
      <w:pPr>
        <w:pStyle w:val="ListParagraph"/>
        <w:numPr>
          <w:ilvl w:val="3"/>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The post-test result must be one or more EFLs higher than the participant’s pre-test result</w:t>
      </w:r>
      <w:r w:rsidR="00AF012F" w:rsidRPr="00B353CD">
        <w:rPr>
          <w:rFonts w:ascii="Times New Roman" w:hAnsi="Times New Roman" w:cs="Times New Roman"/>
          <w:sz w:val="24"/>
          <w:szCs w:val="24"/>
        </w:rPr>
        <w:t xml:space="preserve">. </w:t>
      </w:r>
      <w:r w:rsidRPr="00B353CD">
        <w:rPr>
          <w:rFonts w:ascii="Times New Roman" w:hAnsi="Times New Roman" w:cs="Times New Roman"/>
          <w:sz w:val="24"/>
          <w:szCs w:val="24"/>
        </w:rPr>
        <w:t xml:space="preserve">Once a post-test EFL gain has been </w:t>
      </w:r>
      <w:r w:rsidR="00436F42" w:rsidRPr="00B353CD">
        <w:rPr>
          <w:rFonts w:ascii="Times New Roman" w:hAnsi="Times New Roman" w:cs="Times New Roman"/>
          <w:sz w:val="24"/>
          <w:szCs w:val="24"/>
        </w:rPr>
        <w:t>demonstrated</w:t>
      </w:r>
      <w:r w:rsidR="00847FC7">
        <w:rPr>
          <w:rFonts w:ascii="Times New Roman" w:hAnsi="Times New Roman" w:cs="Times New Roman"/>
          <w:sz w:val="24"/>
          <w:szCs w:val="24"/>
        </w:rPr>
        <w:t xml:space="preserve">, SSWS considers the </w:t>
      </w:r>
      <w:r w:rsidRPr="00B353CD">
        <w:rPr>
          <w:rFonts w:ascii="Times New Roman" w:hAnsi="Times New Roman" w:cs="Times New Roman"/>
          <w:sz w:val="24"/>
          <w:szCs w:val="24"/>
        </w:rPr>
        <w:t xml:space="preserve">EFL of the post-test </w:t>
      </w:r>
      <w:r w:rsidR="00847FC7">
        <w:rPr>
          <w:rFonts w:ascii="Times New Roman" w:hAnsi="Times New Roman" w:cs="Times New Roman"/>
          <w:sz w:val="24"/>
          <w:szCs w:val="24"/>
        </w:rPr>
        <w:t>to represent a</w:t>
      </w:r>
      <w:r w:rsidRPr="00B353CD">
        <w:rPr>
          <w:rFonts w:ascii="Times New Roman" w:hAnsi="Times New Roman" w:cs="Times New Roman"/>
          <w:sz w:val="24"/>
          <w:szCs w:val="24"/>
        </w:rPr>
        <w:t xml:space="preserve"> new pre-test EFL.</w:t>
      </w:r>
    </w:p>
    <w:p w14:paraId="68C92C0D" w14:textId="11448029" w:rsidR="007E126C" w:rsidRPr="00B353CD" w:rsidRDefault="00575FB5" w:rsidP="00B353CD">
      <w:pPr>
        <w:pStyle w:val="ListParagraph"/>
        <w:numPr>
          <w:ilvl w:val="3"/>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The test results in only those subjects approved for use for each state-approved test type are eligible </w:t>
      </w:r>
      <w:r w:rsidR="007E126C" w:rsidRPr="00B353CD">
        <w:rPr>
          <w:rFonts w:ascii="Times New Roman" w:hAnsi="Times New Roman" w:cs="Times New Roman"/>
          <w:sz w:val="24"/>
          <w:szCs w:val="24"/>
        </w:rPr>
        <w:t>for demonstration of a post-test gain.</w:t>
      </w:r>
    </w:p>
    <w:p w14:paraId="08ABE770" w14:textId="59ED6A48" w:rsidR="007E126C" w:rsidRPr="00B353CD" w:rsidRDefault="00F0524E" w:rsidP="00B353CD">
      <w:pPr>
        <w:pStyle w:val="ListParagraph"/>
        <w:numPr>
          <w:ilvl w:val="2"/>
          <w:numId w:val="10"/>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Transition to</w:t>
      </w:r>
      <w:r w:rsidR="007E126C" w:rsidRPr="00B353CD">
        <w:rPr>
          <w:rFonts w:ascii="Times New Roman" w:hAnsi="Times New Roman" w:cs="Times New Roman"/>
          <w:sz w:val="24"/>
          <w:szCs w:val="24"/>
        </w:rPr>
        <w:t xml:space="preserve"> Postsecondary – </w:t>
      </w:r>
    </w:p>
    <w:p w14:paraId="45DA58B4" w14:textId="77777777" w:rsidR="007E126C" w:rsidRPr="00B353CD" w:rsidRDefault="007E126C" w:rsidP="00B353CD">
      <w:pPr>
        <w:pStyle w:val="ListParagraph"/>
        <w:numPr>
          <w:ilvl w:val="3"/>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The student must be a participant while enrolled in an adult education program.</w:t>
      </w:r>
    </w:p>
    <w:p w14:paraId="13B9B9F5" w14:textId="3A59D400" w:rsidR="007E126C" w:rsidRPr="00B353CD" w:rsidRDefault="007E126C" w:rsidP="00B353CD">
      <w:pPr>
        <w:pStyle w:val="ListParagraph"/>
        <w:numPr>
          <w:ilvl w:val="3"/>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The student must exit the adult education program</w:t>
      </w:r>
      <w:r w:rsidR="00C00F9A" w:rsidRPr="00B353CD">
        <w:rPr>
          <w:rFonts w:ascii="Times New Roman" w:hAnsi="Times New Roman" w:cs="Times New Roman"/>
          <w:sz w:val="24"/>
          <w:szCs w:val="24"/>
        </w:rPr>
        <w:t xml:space="preserve"> and then </w:t>
      </w:r>
      <w:r w:rsidRPr="00B353CD">
        <w:rPr>
          <w:rFonts w:ascii="Times New Roman" w:hAnsi="Times New Roman" w:cs="Times New Roman"/>
          <w:sz w:val="24"/>
          <w:szCs w:val="24"/>
        </w:rPr>
        <w:t>enroll in a postsecondary education or training program.</w:t>
      </w:r>
    </w:p>
    <w:p w14:paraId="571F9849" w14:textId="3FE010FE" w:rsidR="007E126C" w:rsidRPr="00B353CD" w:rsidRDefault="007E126C" w:rsidP="00B353CD">
      <w:pPr>
        <w:pStyle w:val="ListParagraph"/>
        <w:numPr>
          <w:ilvl w:val="3"/>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Entry into the postsecondary education or training program must occur in the same program year as the </w:t>
      </w:r>
      <w:r w:rsidR="00575FB5" w:rsidRPr="00B353CD">
        <w:rPr>
          <w:rFonts w:ascii="Times New Roman" w:hAnsi="Times New Roman" w:cs="Times New Roman"/>
          <w:sz w:val="24"/>
          <w:szCs w:val="24"/>
        </w:rPr>
        <w:t xml:space="preserve">adult education </w:t>
      </w:r>
      <w:r w:rsidRPr="00B353CD">
        <w:rPr>
          <w:rFonts w:ascii="Times New Roman" w:hAnsi="Times New Roman" w:cs="Times New Roman"/>
          <w:sz w:val="24"/>
          <w:szCs w:val="24"/>
        </w:rPr>
        <w:t>program exit.</w:t>
      </w:r>
    </w:p>
    <w:p w14:paraId="0047C564" w14:textId="3386254F" w:rsidR="00C00F9A" w:rsidRPr="00B353CD" w:rsidRDefault="007E126C" w:rsidP="00B353CD">
      <w:pPr>
        <w:pStyle w:val="ListParagraph"/>
        <w:spacing w:after="120" w:line="240" w:lineRule="auto"/>
        <w:ind w:left="2880"/>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Note: </w:t>
      </w:r>
      <w:r w:rsidR="00575FB5" w:rsidRPr="00B353CD">
        <w:rPr>
          <w:rFonts w:ascii="Times New Roman" w:hAnsi="Times New Roman" w:cs="Times New Roman"/>
          <w:sz w:val="24"/>
          <w:szCs w:val="24"/>
        </w:rPr>
        <w:t>For a student to be recognized as demonstrating a “</w:t>
      </w:r>
      <w:r w:rsidR="00F0524E">
        <w:rPr>
          <w:rFonts w:ascii="Times New Roman" w:hAnsi="Times New Roman" w:cs="Times New Roman"/>
          <w:sz w:val="24"/>
          <w:szCs w:val="24"/>
        </w:rPr>
        <w:t>Transition to</w:t>
      </w:r>
      <w:r w:rsidR="00575FB5" w:rsidRPr="00B353CD">
        <w:rPr>
          <w:rFonts w:ascii="Times New Roman" w:hAnsi="Times New Roman" w:cs="Times New Roman"/>
          <w:sz w:val="24"/>
          <w:szCs w:val="24"/>
        </w:rPr>
        <w:t xml:space="preserve"> Postsecondary”</w:t>
      </w:r>
      <w:r w:rsidR="00C00F9A" w:rsidRPr="00B353CD">
        <w:rPr>
          <w:rFonts w:ascii="Times New Roman" w:hAnsi="Times New Roman" w:cs="Times New Roman"/>
          <w:sz w:val="24"/>
          <w:szCs w:val="24"/>
        </w:rPr>
        <w:t xml:space="preserve"> MSG, </w:t>
      </w:r>
      <w:r w:rsidR="00D839ED" w:rsidRPr="00B353CD">
        <w:rPr>
          <w:rFonts w:ascii="Times New Roman" w:hAnsi="Times New Roman" w:cs="Times New Roman"/>
          <w:sz w:val="24"/>
          <w:szCs w:val="24"/>
        </w:rPr>
        <w:t xml:space="preserve">entry of </w:t>
      </w:r>
      <w:r w:rsidR="00C00F9A" w:rsidRPr="00B353CD">
        <w:rPr>
          <w:rFonts w:ascii="Times New Roman" w:hAnsi="Times New Roman" w:cs="Times New Roman"/>
          <w:sz w:val="24"/>
          <w:szCs w:val="24"/>
        </w:rPr>
        <w:t xml:space="preserve">the required data must be </w:t>
      </w:r>
      <w:r w:rsidR="00696C92" w:rsidRPr="00B353CD">
        <w:rPr>
          <w:rFonts w:ascii="Times New Roman" w:hAnsi="Times New Roman" w:cs="Times New Roman"/>
          <w:sz w:val="24"/>
          <w:szCs w:val="24"/>
        </w:rPr>
        <w:t>in sequence</w:t>
      </w:r>
      <w:r w:rsidR="0074727A">
        <w:rPr>
          <w:rFonts w:ascii="Times New Roman" w:hAnsi="Times New Roman" w:cs="Times New Roman"/>
          <w:sz w:val="24"/>
          <w:szCs w:val="24"/>
        </w:rPr>
        <w:t xml:space="preserve"> (see </w:t>
      </w:r>
      <w:r w:rsidR="00F0524E">
        <w:rPr>
          <w:rFonts w:ascii="Times New Roman" w:hAnsi="Times New Roman" w:cs="Times New Roman"/>
          <w:sz w:val="24"/>
          <w:szCs w:val="24"/>
        </w:rPr>
        <w:t>Section</w:t>
      </w:r>
      <w:r w:rsidR="0074727A">
        <w:rPr>
          <w:rFonts w:ascii="Times New Roman" w:hAnsi="Times New Roman" w:cs="Times New Roman"/>
          <w:sz w:val="24"/>
          <w:szCs w:val="24"/>
        </w:rPr>
        <w:t xml:space="preserve"> 6A above)</w:t>
      </w:r>
      <w:r w:rsidR="00696C92" w:rsidRPr="00B353CD">
        <w:rPr>
          <w:rFonts w:ascii="Times New Roman" w:hAnsi="Times New Roman" w:cs="Times New Roman"/>
          <w:sz w:val="24"/>
          <w:szCs w:val="24"/>
        </w:rPr>
        <w:t xml:space="preserve">. </w:t>
      </w:r>
    </w:p>
    <w:p w14:paraId="40613284" w14:textId="2FE5DF7D" w:rsidR="00731DE2" w:rsidRPr="00B353CD" w:rsidRDefault="00731DE2" w:rsidP="00B353CD">
      <w:pPr>
        <w:pStyle w:val="ListParagraph"/>
        <w:numPr>
          <w:ilvl w:val="3"/>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If a student had </w:t>
      </w:r>
      <w:r w:rsidR="00D839ED" w:rsidRPr="00B353CD">
        <w:rPr>
          <w:rFonts w:ascii="Times New Roman" w:hAnsi="Times New Roman" w:cs="Times New Roman"/>
          <w:sz w:val="24"/>
          <w:szCs w:val="24"/>
        </w:rPr>
        <w:t>multiple</w:t>
      </w:r>
      <w:r w:rsidRPr="00B353CD">
        <w:rPr>
          <w:rFonts w:ascii="Times New Roman" w:hAnsi="Times New Roman" w:cs="Times New Roman"/>
          <w:sz w:val="24"/>
          <w:szCs w:val="24"/>
        </w:rPr>
        <w:t xml:space="preserve"> postsecondary enrollment</w:t>
      </w:r>
      <w:r w:rsidR="00D839ED" w:rsidRPr="00B353CD">
        <w:rPr>
          <w:rFonts w:ascii="Times New Roman" w:hAnsi="Times New Roman" w:cs="Times New Roman"/>
          <w:sz w:val="24"/>
          <w:szCs w:val="24"/>
        </w:rPr>
        <w:t>s</w:t>
      </w:r>
      <w:r w:rsidR="00C00F9A" w:rsidRPr="00B353CD">
        <w:rPr>
          <w:rFonts w:ascii="Times New Roman" w:hAnsi="Times New Roman" w:cs="Times New Roman"/>
          <w:sz w:val="24"/>
          <w:szCs w:val="24"/>
        </w:rPr>
        <w:t xml:space="preserve"> in a program year</w:t>
      </w:r>
      <w:r w:rsidR="00D839ED" w:rsidRPr="00B353CD">
        <w:rPr>
          <w:rFonts w:ascii="Times New Roman" w:hAnsi="Times New Roman" w:cs="Times New Roman"/>
          <w:sz w:val="24"/>
          <w:szCs w:val="24"/>
        </w:rPr>
        <w:t>, each separated by 90 days of inactivity</w:t>
      </w:r>
      <w:r w:rsidRPr="00B353CD">
        <w:rPr>
          <w:rFonts w:ascii="Times New Roman" w:hAnsi="Times New Roman" w:cs="Times New Roman"/>
          <w:sz w:val="24"/>
          <w:szCs w:val="24"/>
        </w:rPr>
        <w:t xml:space="preserve">, </w:t>
      </w:r>
      <w:r w:rsidR="00D839ED" w:rsidRPr="00B353CD">
        <w:rPr>
          <w:rFonts w:ascii="Times New Roman" w:hAnsi="Times New Roman" w:cs="Times New Roman"/>
          <w:sz w:val="24"/>
          <w:szCs w:val="24"/>
        </w:rPr>
        <w:t xml:space="preserve">and the postsecondary enrollment information had not yet been entered, </w:t>
      </w:r>
      <w:r w:rsidRPr="00B353CD">
        <w:rPr>
          <w:rFonts w:ascii="Times New Roman" w:hAnsi="Times New Roman" w:cs="Times New Roman"/>
          <w:sz w:val="24"/>
          <w:szCs w:val="24"/>
        </w:rPr>
        <w:t xml:space="preserve">the program should </w:t>
      </w:r>
      <w:r w:rsidR="00D839ED" w:rsidRPr="00B353CD">
        <w:rPr>
          <w:rFonts w:ascii="Times New Roman" w:hAnsi="Times New Roman" w:cs="Times New Roman"/>
          <w:sz w:val="24"/>
          <w:szCs w:val="24"/>
        </w:rPr>
        <w:t>use</w:t>
      </w:r>
      <w:r w:rsidRPr="00B353CD">
        <w:rPr>
          <w:rFonts w:ascii="Times New Roman" w:hAnsi="Times New Roman" w:cs="Times New Roman"/>
          <w:sz w:val="24"/>
          <w:szCs w:val="24"/>
        </w:rPr>
        <w:t xml:space="preserve"> the steps below</w:t>
      </w:r>
      <w:r w:rsidR="00D839ED" w:rsidRPr="00B353CD">
        <w:rPr>
          <w:rFonts w:ascii="Times New Roman" w:hAnsi="Times New Roman" w:cs="Times New Roman"/>
          <w:sz w:val="24"/>
          <w:szCs w:val="24"/>
        </w:rPr>
        <w:t xml:space="preserve"> to enter the postsecondary enrollment data</w:t>
      </w:r>
      <w:r w:rsidRPr="00B353CD">
        <w:rPr>
          <w:rFonts w:ascii="Times New Roman" w:hAnsi="Times New Roman" w:cs="Times New Roman"/>
          <w:sz w:val="24"/>
          <w:szCs w:val="24"/>
        </w:rPr>
        <w:t>:</w:t>
      </w:r>
    </w:p>
    <w:p w14:paraId="3C7B7F2C" w14:textId="710C46BB" w:rsidR="00731DE2" w:rsidRPr="00B353CD" w:rsidRDefault="00731DE2" w:rsidP="00094246">
      <w:pPr>
        <w:pStyle w:val="ListParagraph"/>
        <w:numPr>
          <w:ilvl w:val="4"/>
          <w:numId w:val="10"/>
        </w:numPr>
        <w:spacing w:after="8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Remove all adult education attendance </w:t>
      </w:r>
      <w:r w:rsidR="00D839ED" w:rsidRPr="00B353CD">
        <w:rPr>
          <w:rFonts w:ascii="Times New Roman" w:hAnsi="Times New Roman" w:cs="Times New Roman"/>
          <w:sz w:val="24"/>
          <w:szCs w:val="24"/>
        </w:rPr>
        <w:t>occurring</w:t>
      </w:r>
      <w:r w:rsidRPr="00B353CD">
        <w:rPr>
          <w:rFonts w:ascii="Times New Roman" w:hAnsi="Times New Roman" w:cs="Times New Roman"/>
          <w:sz w:val="24"/>
          <w:szCs w:val="24"/>
        </w:rPr>
        <w:t xml:space="preserve"> after the first postsecondary enrollment.</w:t>
      </w:r>
    </w:p>
    <w:p w14:paraId="3AD4A162" w14:textId="17C065F8" w:rsidR="00731DE2" w:rsidRPr="00B353CD" w:rsidRDefault="00731DE2" w:rsidP="00094246">
      <w:pPr>
        <w:pStyle w:val="ListParagraph"/>
        <w:numPr>
          <w:ilvl w:val="4"/>
          <w:numId w:val="10"/>
        </w:numPr>
        <w:spacing w:after="8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Enter the information for the first postsecondary enrollment.</w:t>
      </w:r>
    </w:p>
    <w:p w14:paraId="1E72E972" w14:textId="5FE4915E" w:rsidR="00731DE2" w:rsidRPr="00B353CD" w:rsidRDefault="00731DE2" w:rsidP="00094246">
      <w:pPr>
        <w:pStyle w:val="ListParagraph"/>
        <w:numPr>
          <w:ilvl w:val="4"/>
          <w:numId w:val="10"/>
        </w:numPr>
        <w:spacing w:after="8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Enter the adult education attendance leading to the second postsecondary enrollment.</w:t>
      </w:r>
    </w:p>
    <w:p w14:paraId="5EA9AAB3" w14:textId="52510480" w:rsidR="00731DE2" w:rsidRPr="00B353CD" w:rsidRDefault="00731DE2" w:rsidP="00094246">
      <w:pPr>
        <w:pStyle w:val="ListParagraph"/>
        <w:numPr>
          <w:ilvl w:val="4"/>
          <w:numId w:val="10"/>
        </w:numPr>
        <w:spacing w:after="8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Enter the information </w:t>
      </w:r>
      <w:r w:rsidR="00664BDC" w:rsidRPr="00B353CD">
        <w:rPr>
          <w:rFonts w:ascii="Times New Roman" w:hAnsi="Times New Roman" w:cs="Times New Roman"/>
          <w:sz w:val="24"/>
          <w:szCs w:val="24"/>
        </w:rPr>
        <w:t>for the second postse</w:t>
      </w:r>
      <w:r w:rsidRPr="00B353CD">
        <w:rPr>
          <w:rFonts w:ascii="Times New Roman" w:hAnsi="Times New Roman" w:cs="Times New Roman"/>
          <w:sz w:val="24"/>
          <w:szCs w:val="24"/>
        </w:rPr>
        <w:t>condary enrollment.</w:t>
      </w:r>
    </w:p>
    <w:p w14:paraId="633DA49E" w14:textId="6CBB3CDA" w:rsidR="00731DE2" w:rsidRPr="00B353CD" w:rsidRDefault="00664BDC" w:rsidP="00094246">
      <w:pPr>
        <w:pStyle w:val="ListParagraph"/>
        <w:numPr>
          <w:ilvl w:val="4"/>
          <w:numId w:val="10"/>
        </w:numPr>
        <w:spacing w:after="8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lastRenderedPageBreak/>
        <w:t>Repeat steps 3 and 4 for each additional postsecondary enrollment.</w:t>
      </w:r>
    </w:p>
    <w:p w14:paraId="72220FC5" w14:textId="77777777" w:rsidR="007E126C" w:rsidRPr="00B353CD" w:rsidRDefault="007E126C" w:rsidP="00B353CD">
      <w:pPr>
        <w:pStyle w:val="ListParagraph"/>
        <w:numPr>
          <w:ilvl w:val="2"/>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Transition from Diagnostic Phase to Generalized Assessment Phase (NEDP participants only) – </w:t>
      </w:r>
    </w:p>
    <w:p w14:paraId="1FC3DDF2" w14:textId="1F43CF86" w:rsidR="007E126C" w:rsidRPr="00B353CD" w:rsidRDefault="007E126C" w:rsidP="00B353CD">
      <w:pPr>
        <w:pStyle w:val="ListParagraph"/>
        <w:numPr>
          <w:ilvl w:val="3"/>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The student must be a participant while enrolled in NEDP</w:t>
      </w:r>
      <w:r w:rsidR="007C483F" w:rsidRPr="00B353CD">
        <w:rPr>
          <w:rFonts w:ascii="Times New Roman" w:hAnsi="Times New Roman" w:cs="Times New Roman"/>
          <w:sz w:val="24"/>
          <w:szCs w:val="24"/>
        </w:rPr>
        <w:t xml:space="preserve"> and identified as being in the Diagnostic Phase in the current program year</w:t>
      </w:r>
      <w:r w:rsidRPr="00B353CD">
        <w:rPr>
          <w:rFonts w:ascii="Times New Roman" w:hAnsi="Times New Roman" w:cs="Times New Roman"/>
          <w:sz w:val="24"/>
          <w:szCs w:val="24"/>
        </w:rPr>
        <w:t>.</w:t>
      </w:r>
    </w:p>
    <w:p w14:paraId="38265D9D" w14:textId="6AF5CB3A" w:rsidR="007E126C" w:rsidRPr="00B353CD" w:rsidRDefault="007C483F" w:rsidP="00B353CD">
      <w:pPr>
        <w:pStyle w:val="ListParagraph"/>
        <w:numPr>
          <w:ilvl w:val="3"/>
          <w:numId w:val="10"/>
        </w:numPr>
        <w:spacing w:after="12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To demonstrate the transition from the Diagnostic Phase to the Generalized Assessment Phase, programs must </w:t>
      </w:r>
      <w:r w:rsidR="007E126C" w:rsidRPr="00B353CD">
        <w:rPr>
          <w:rFonts w:ascii="Times New Roman" w:hAnsi="Times New Roman" w:cs="Times New Roman"/>
          <w:sz w:val="24"/>
          <w:szCs w:val="24"/>
        </w:rPr>
        <w:t xml:space="preserve">complete the </w:t>
      </w:r>
      <w:r w:rsidRPr="00B353CD">
        <w:rPr>
          <w:rFonts w:ascii="Times New Roman" w:hAnsi="Times New Roman" w:cs="Times New Roman"/>
          <w:sz w:val="24"/>
          <w:szCs w:val="24"/>
        </w:rPr>
        <w:t>information</w:t>
      </w:r>
      <w:r w:rsidR="007E126C" w:rsidRPr="00B353CD">
        <w:rPr>
          <w:rFonts w:ascii="Times New Roman" w:hAnsi="Times New Roman" w:cs="Times New Roman"/>
          <w:sz w:val="24"/>
          <w:szCs w:val="24"/>
        </w:rPr>
        <w:t xml:space="preserve"> for entering the Generalized Assessment Phase</w:t>
      </w:r>
      <w:r w:rsidRPr="00B353CD">
        <w:rPr>
          <w:rFonts w:ascii="Times New Roman" w:hAnsi="Times New Roman" w:cs="Times New Roman"/>
          <w:sz w:val="24"/>
          <w:szCs w:val="24"/>
        </w:rPr>
        <w:t xml:space="preserve"> in SSWS</w:t>
      </w:r>
      <w:r w:rsidR="007E126C" w:rsidRPr="00B353CD">
        <w:rPr>
          <w:rFonts w:ascii="Times New Roman" w:hAnsi="Times New Roman" w:cs="Times New Roman"/>
          <w:sz w:val="24"/>
          <w:szCs w:val="24"/>
        </w:rPr>
        <w:t>.</w:t>
      </w:r>
    </w:p>
    <w:p w14:paraId="32E21B90" w14:textId="6BC75EB6" w:rsidR="007E126C" w:rsidRDefault="00D839ED" w:rsidP="00094246">
      <w:pPr>
        <w:pStyle w:val="ListParagraph"/>
        <w:numPr>
          <w:ilvl w:val="1"/>
          <w:numId w:val="10"/>
        </w:numPr>
        <w:spacing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Secondary Credential Gain</w:t>
      </w:r>
      <w:r w:rsidR="00F0524E">
        <w:rPr>
          <w:rFonts w:ascii="Times New Roman" w:hAnsi="Times New Roman" w:cs="Times New Roman"/>
          <w:sz w:val="24"/>
          <w:szCs w:val="24"/>
        </w:rPr>
        <w:t xml:space="preserve"> (Type 2 MSG)</w:t>
      </w:r>
      <w:r w:rsidR="007E126C" w:rsidRPr="00B353CD">
        <w:rPr>
          <w:rFonts w:ascii="Times New Roman" w:hAnsi="Times New Roman" w:cs="Times New Roman"/>
          <w:sz w:val="24"/>
          <w:szCs w:val="24"/>
        </w:rPr>
        <w:t xml:space="preserve"> – Students that earn a secondary school diploma or recognized equivalent are </w:t>
      </w:r>
      <w:r w:rsidRPr="00B353CD">
        <w:rPr>
          <w:rFonts w:ascii="Times New Roman" w:hAnsi="Times New Roman" w:cs="Times New Roman"/>
          <w:sz w:val="24"/>
          <w:szCs w:val="24"/>
        </w:rPr>
        <w:t xml:space="preserve">eligible to be </w:t>
      </w:r>
      <w:r w:rsidR="007E126C" w:rsidRPr="00B353CD">
        <w:rPr>
          <w:rFonts w:ascii="Times New Roman" w:hAnsi="Times New Roman" w:cs="Times New Roman"/>
          <w:sz w:val="24"/>
          <w:szCs w:val="24"/>
        </w:rPr>
        <w:t>recognized for having earned an MSG</w:t>
      </w:r>
      <w:r w:rsidR="00AF012F" w:rsidRPr="00B353CD">
        <w:rPr>
          <w:rFonts w:ascii="Times New Roman" w:hAnsi="Times New Roman" w:cs="Times New Roman"/>
          <w:sz w:val="24"/>
          <w:szCs w:val="24"/>
        </w:rPr>
        <w:t xml:space="preserve">. </w:t>
      </w:r>
      <w:r w:rsidR="007E126C" w:rsidRPr="00B353CD">
        <w:rPr>
          <w:rFonts w:ascii="Times New Roman" w:hAnsi="Times New Roman" w:cs="Times New Roman"/>
          <w:sz w:val="24"/>
          <w:szCs w:val="24"/>
        </w:rPr>
        <w:t>To receive recognition, the student must be a participant in an adult education program during the program year in which the credential was earned</w:t>
      </w:r>
      <w:r w:rsidR="007C483F" w:rsidRPr="00B353CD">
        <w:rPr>
          <w:rFonts w:ascii="Times New Roman" w:hAnsi="Times New Roman" w:cs="Times New Roman"/>
          <w:sz w:val="24"/>
          <w:szCs w:val="24"/>
        </w:rPr>
        <w:t xml:space="preserve"> and information confirming completion of the diploma program </w:t>
      </w:r>
      <w:r w:rsidR="0074727A">
        <w:rPr>
          <w:rFonts w:ascii="Times New Roman" w:hAnsi="Times New Roman" w:cs="Times New Roman"/>
          <w:sz w:val="24"/>
          <w:szCs w:val="24"/>
        </w:rPr>
        <w:t>or GED</w:t>
      </w:r>
      <w:r w:rsidR="0074727A" w:rsidRPr="0074727A">
        <w:rPr>
          <w:rFonts w:ascii="Times New Roman" w:hAnsi="Times New Roman" w:cs="Times New Roman"/>
          <w:sz w:val="24"/>
          <w:szCs w:val="24"/>
          <w:vertAlign w:val="superscript"/>
        </w:rPr>
        <w:t>®</w:t>
      </w:r>
      <w:r w:rsidR="0074727A">
        <w:rPr>
          <w:rFonts w:ascii="Times New Roman" w:hAnsi="Times New Roman" w:cs="Times New Roman"/>
          <w:sz w:val="24"/>
          <w:szCs w:val="24"/>
        </w:rPr>
        <w:t xml:space="preserve"> </w:t>
      </w:r>
      <w:r w:rsidR="007C483F" w:rsidRPr="00B353CD">
        <w:rPr>
          <w:rFonts w:ascii="Times New Roman" w:hAnsi="Times New Roman" w:cs="Times New Roman"/>
          <w:sz w:val="24"/>
          <w:szCs w:val="24"/>
        </w:rPr>
        <w:t>entered in SSWS</w:t>
      </w:r>
      <w:r w:rsidR="007E126C" w:rsidRPr="00B353CD">
        <w:rPr>
          <w:rFonts w:ascii="Times New Roman" w:hAnsi="Times New Roman" w:cs="Times New Roman"/>
          <w:sz w:val="24"/>
          <w:szCs w:val="24"/>
        </w:rPr>
        <w:t>.</w:t>
      </w:r>
    </w:p>
    <w:p w14:paraId="51E9D1EF" w14:textId="498ED16E" w:rsidR="00F31AEB" w:rsidRDefault="00F31AEB" w:rsidP="00094246">
      <w:pPr>
        <w:pStyle w:val="ListParagraph"/>
        <w:numPr>
          <w:ilvl w:val="1"/>
          <w:numId w:val="10"/>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Type 3 MSG (Postsecondary Transcript or Report Card) – </w:t>
      </w:r>
    </w:p>
    <w:p w14:paraId="07055456" w14:textId="25D43BCE" w:rsidR="00AD0E94" w:rsidRDefault="00AD0E94" w:rsidP="00AD0E94">
      <w:pPr>
        <w:pStyle w:val="ListParagraph"/>
        <w:numPr>
          <w:ilvl w:val="3"/>
          <w:numId w:val="10"/>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The student must be a participant while enrolled in an adult education program.</w:t>
      </w:r>
    </w:p>
    <w:p w14:paraId="5A070A3A" w14:textId="38230219" w:rsidR="00AD0E94" w:rsidRDefault="00E962BF" w:rsidP="00AD0E94">
      <w:pPr>
        <w:pStyle w:val="ListParagraph"/>
        <w:numPr>
          <w:ilvl w:val="3"/>
          <w:numId w:val="10"/>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On the Student Demographic page, t</w:t>
      </w:r>
      <w:r w:rsidR="00AD0E94">
        <w:rPr>
          <w:rFonts w:ascii="Times New Roman" w:hAnsi="Times New Roman" w:cs="Times New Roman"/>
          <w:sz w:val="24"/>
          <w:szCs w:val="24"/>
        </w:rPr>
        <w:t>he student must be identified as either enrolled in an IET program or participating in a Workplace Adult Education and Literacy program.</w:t>
      </w:r>
    </w:p>
    <w:p w14:paraId="725BBCC8" w14:textId="77777777" w:rsidR="000F2F79" w:rsidRDefault="000F2F79" w:rsidP="000F2F79">
      <w:pPr>
        <w:pStyle w:val="ListParagraph"/>
        <w:numPr>
          <w:ilvl w:val="3"/>
          <w:numId w:val="10"/>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The student must be enrolled in a class identified as “IET” or “Workplace Adult Education and Literacy.” Program staff may select the appropriate class type in the dropdown menu of the “Class Type” field, located on the Class Details page for the class.</w:t>
      </w:r>
    </w:p>
    <w:p w14:paraId="5A322822" w14:textId="418BC032" w:rsidR="00AD0E94" w:rsidRPr="00D6516E" w:rsidRDefault="00E962BF" w:rsidP="00AD0E94">
      <w:pPr>
        <w:pStyle w:val="ListParagraph"/>
        <w:numPr>
          <w:ilvl w:val="3"/>
          <w:numId w:val="10"/>
        </w:numPr>
        <w:spacing w:line="240" w:lineRule="auto"/>
        <w:contextualSpacing w:val="0"/>
        <w:rPr>
          <w:rFonts w:ascii="Times New Roman" w:hAnsi="Times New Roman" w:cs="Times New Roman"/>
          <w:bCs/>
          <w:sz w:val="24"/>
          <w:szCs w:val="24"/>
        </w:rPr>
      </w:pPr>
      <w:r>
        <w:rPr>
          <w:rFonts w:ascii="Times New Roman" w:hAnsi="Times New Roman" w:cs="Times New Roman"/>
          <w:sz w:val="24"/>
          <w:szCs w:val="24"/>
        </w:rPr>
        <w:t xml:space="preserve">Click on the “Type 3: PS Transcript or Report Card” menu item and complete the information for all four fields. </w:t>
      </w:r>
      <w:r w:rsidR="00FD4F22">
        <w:rPr>
          <w:rFonts w:ascii="Times New Roman" w:hAnsi="Times New Roman" w:cs="Times New Roman"/>
          <w:sz w:val="24"/>
          <w:szCs w:val="24"/>
        </w:rPr>
        <w:t>While o</w:t>
      </w:r>
      <w:r>
        <w:rPr>
          <w:rFonts w:ascii="Times New Roman" w:hAnsi="Times New Roman" w:cs="Times New Roman"/>
          <w:sz w:val="24"/>
          <w:szCs w:val="24"/>
        </w:rPr>
        <w:t xml:space="preserve">nly the first three fields </w:t>
      </w:r>
      <w:r w:rsidR="00FD4F22">
        <w:rPr>
          <w:rFonts w:ascii="Times New Roman" w:hAnsi="Times New Roman" w:cs="Times New Roman"/>
          <w:sz w:val="24"/>
          <w:szCs w:val="24"/>
        </w:rPr>
        <w:t xml:space="preserve">have an asterisk and </w:t>
      </w:r>
      <w:r w:rsidR="00F400F1">
        <w:rPr>
          <w:rFonts w:ascii="Times New Roman" w:hAnsi="Times New Roman" w:cs="Times New Roman"/>
          <w:sz w:val="24"/>
          <w:szCs w:val="24"/>
        </w:rPr>
        <w:t xml:space="preserve">are </w:t>
      </w:r>
      <w:r w:rsidR="00FD4F22">
        <w:rPr>
          <w:rFonts w:ascii="Times New Roman" w:hAnsi="Times New Roman" w:cs="Times New Roman"/>
          <w:sz w:val="24"/>
          <w:szCs w:val="24"/>
        </w:rPr>
        <w:t>considered required</w:t>
      </w:r>
      <w:r>
        <w:rPr>
          <w:rFonts w:ascii="Times New Roman" w:hAnsi="Times New Roman" w:cs="Times New Roman"/>
          <w:sz w:val="24"/>
          <w:szCs w:val="24"/>
        </w:rPr>
        <w:t xml:space="preserve">, </w:t>
      </w:r>
      <w:r w:rsidR="00F0524E" w:rsidRPr="00D6516E">
        <w:rPr>
          <w:rFonts w:ascii="Times New Roman" w:hAnsi="Times New Roman" w:cs="Times New Roman"/>
          <w:bCs/>
          <w:sz w:val="24"/>
          <w:szCs w:val="24"/>
        </w:rPr>
        <w:t xml:space="preserve">a date must be entered in the fourth field, indicating when the student earned the required number of credit hours either as a full-time or part-time student </w:t>
      </w:r>
      <w:r w:rsidRPr="00D6516E">
        <w:rPr>
          <w:rFonts w:ascii="Times New Roman" w:hAnsi="Times New Roman" w:cs="Times New Roman"/>
          <w:bCs/>
          <w:sz w:val="24"/>
          <w:szCs w:val="24"/>
        </w:rPr>
        <w:t xml:space="preserve">for the student to be recognized for </w:t>
      </w:r>
      <w:r w:rsidR="00F400F1" w:rsidRPr="00D6516E">
        <w:rPr>
          <w:rFonts w:ascii="Times New Roman" w:hAnsi="Times New Roman" w:cs="Times New Roman"/>
          <w:bCs/>
          <w:sz w:val="24"/>
          <w:szCs w:val="24"/>
        </w:rPr>
        <w:t xml:space="preserve">demonstrating </w:t>
      </w:r>
      <w:r w:rsidRPr="00D6516E">
        <w:rPr>
          <w:rFonts w:ascii="Times New Roman" w:hAnsi="Times New Roman" w:cs="Times New Roman"/>
          <w:bCs/>
          <w:sz w:val="24"/>
          <w:szCs w:val="24"/>
        </w:rPr>
        <w:t>a Type 3 MSG</w:t>
      </w:r>
      <w:r w:rsidR="00FD4F22" w:rsidRPr="00D6516E">
        <w:rPr>
          <w:rFonts w:ascii="Times New Roman" w:hAnsi="Times New Roman" w:cs="Times New Roman"/>
          <w:bCs/>
          <w:sz w:val="24"/>
          <w:szCs w:val="24"/>
        </w:rPr>
        <w:t xml:space="preserve">. </w:t>
      </w:r>
    </w:p>
    <w:p w14:paraId="265912FB" w14:textId="76539B55" w:rsidR="00AD0E94" w:rsidRDefault="00AD0E94" w:rsidP="00094246">
      <w:pPr>
        <w:pStyle w:val="ListParagraph"/>
        <w:numPr>
          <w:ilvl w:val="1"/>
          <w:numId w:val="10"/>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Type 4 MSG (Progress Towards Milestones) – </w:t>
      </w:r>
    </w:p>
    <w:p w14:paraId="76D50492" w14:textId="77777777" w:rsidR="00FD4F22" w:rsidRDefault="00FD4F22" w:rsidP="00FD4F22">
      <w:pPr>
        <w:pStyle w:val="ListParagraph"/>
        <w:numPr>
          <w:ilvl w:val="3"/>
          <w:numId w:val="10"/>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The student must be a participant while enrolled in an adult education program.</w:t>
      </w:r>
    </w:p>
    <w:p w14:paraId="651D55D7" w14:textId="77777777" w:rsidR="00FD4F22" w:rsidRDefault="00FD4F22" w:rsidP="00FD4F22">
      <w:pPr>
        <w:pStyle w:val="ListParagraph"/>
        <w:numPr>
          <w:ilvl w:val="3"/>
          <w:numId w:val="10"/>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On the Student Demographic page, the student must be identified as either enrolled in an IET program or participating in a Workplace Adult Education and Literacy program.</w:t>
      </w:r>
    </w:p>
    <w:p w14:paraId="3172FC3D" w14:textId="4139842D" w:rsidR="00FD4F22" w:rsidRPr="00D6516E" w:rsidRDefault="00FD4F22" w:rsidP="00FD4F22">
      <w:pPr>
        <w:pStyle w:val="ListParagraph"/>
        <w:numPr>
          <w:ilvl w:val="3"/>
          <w:numId w:val="10"/>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The student must be enrolled in a class identified as “IET” or “Workplace Adult Education and Literacy.” </w:t>
      </w:r>
      <w:r w:rsidR="00C67445">
        <w:rPr>
          <w:rFonts w:ascii="Times New Roman" w:hAnsi="Times New Roman" w:cs="Times New Roman"/>
          <w:sz w:val="24"/>
          <w:szCs w:val="24"/>
        </w:rPr>
        <w:t>Program staff may select the appropriate class type in the dropdown menu of the “</w:t>
      </w:r>
      <w:r>
        <w:rPr>
          <w:rFonts w:ascii="Times New Roman" w:hAnsi="Times New Roman" w:cs="Times New Roman"/>
          <w:sz w:val="24"/>
          <w:szCs w:val="24"/>
        </w:rPr>
        <w:t>Class Type</w:t>
      </w:r>
      <w:r w:rsidR="00C67445">
        <w:rPr>
          <w:rFonts w:ascii="Times New Roman" w:hAnsi="Times New Roman" w:cs="Times New Roman"/>
          <w:sz w:val="24"/>
          <w:szCs w:val="24"/>
        </w:rPr>
        <w:t xml:space="preserve">” field, located </w:t>
      </w:r>
      <w:r>
        <w:rPr>
          <w:rFonts w:ascii="Times New Roman" w:hAnsi="Times New Roman" w:cs="Times New Roman"/>
          <w:sz w:val="24"/>
          <w:szCs w:val="24"/>
        </w:rPr>
        <w:t>on the Class Details page for the class.</w:t>
      </w:r>
    </w:p>
    <w:p w14:paraId="007B08CA" w14:textId="5DF5C183" w:rsidR="00FD4F22" w:rsidRPr="00F400F1" w:rsidRDefault="000F2F79" w:rsidP="00FD4F22">
      <w:pPr>
        <w:pStyle w:val="ListParagraph"/>
        <w:numPr>
          <w:ilvl w:val="3"/>
          <w:numId w:val="10"/>
        </w:numPr>
        <w:spacing w:line="240" w:lineRule="auto"/>
        <w:contextualSpacing w:val="0"/>
        <w:rPr>
          <w:rFonts w:ascii="Times New Roman" w:hAnsi="Times New Roman" w:cs="Times New Roman"/>
          <w:b/>
          <w:sz w:val="24"/>
          <w:szCs w:val="24"/>
        </w:rPr>
      </w:pPr>
      <w:r w:rsidRPr="00D6516E">
        <w:rPr>
          <w:rFonts w:ascii="Times New Roman" w:hAnsi="Times New Roman" w:cs="Times New Roman"/>
          <w:sz w:val="24"/>
          <w:szCs w:val="24"/>
        </w:rPr>
        <w:t>Click on the “Type 4</w:t>
      </w:r>
      <w:r w:rsidR="00FD4F22" w:rsidRPr="00D6516E">
        <w:rPr>
          <w:rFonts w:ascii="Times New Roman" w:hAnsi="Times New Roman" w:cs="Times New Roman"/>
          <w:sz w:val="24"/>
          <w:szCs w:val="24"/>
        </w:rPr>
        <w:t>: P</w:t>
      </w:r>
      <w:r w:rsidRPr="00D6516E">
        <w:rPr>
          <w:rFonts w:ascii="Times New Roman" w:hAnsi="Times New Roman" w:cs="Times New Roman"/>
          <w:sz w:val="24"/>
          <w:szCs w:val="24"/>
        </w:rPr>
        <w:t>rogress towards Milestones</w:t>
      </w:r>
      <w:r w:rsidR="00FD4F22" w:rsidRPr="00D6516E">
        <w:rPr>
          <w:rFonts w:ascii="Times New Roman" w:hAnsi="Times New Roman" w:cs="Times New Roman"/>
          <w:sz w:val="24"/>
          <w:szCs w:val="24"/>
        </w:rPr>
        <w:t>” menu item</w:t>
      </w:r>
      <w:r w:rsidR="00FD4F22">
        <w:rPr>
          <w:rFonts w:ascii="Times New Roman" w:hAnsi="Times New Roman" w:cs="Times New Roman"/>
          <w:sz w:val="24"/>
          <w:szCs w:val="24"/>
        </w:rPr>
        <w:t xml:space="preserve"> and complete the information for all four </w:t>
      </w:r>
      <w:r>
        <w:rPr>
          <w:rFonts w:ascii="Times New Roman" w:hAnsi="Times New Roman" w:cs="Times New Roman"/>
          <w:sz w:val="24"/>
          <w:szCs w:val="24"/>
        </w:rPr>
        <w:t xml:space="preserve">required </w:t>
      </w:r>
      <w:r w:rsidR="00FD4F22">
        <w:rPr>
          <w:rFonts w:ascii="Times New Roman" w:hAnsi="Times New Roman" w:cs="Times New Roman"/>
          <w:sz w:val="24"/>
          <w:szCs w:val="24"/>
        </w:rPr>
        <w:t>fields</w:t>
      </w:r>
      <w:r>
        <w:rPr>
          <w:rFonts w:ascii="Times New Roman" w:hAnsi="Times New Roman" w:cs="Times New Roman"/>
          <w:sz w:val="24"/>
          <w:szCs w:val="24"/>
        </w:rPr>
        <w:t xml:space="preserve"> (indicated by a red asterisk). </w:t>
      </w:r>
      <w:r w:rsidR="00D6516E" w:rsidRPr="00D6516E">
        <w:rPr>
          <w:rFonts w:ascii="Times New Roman" w:hAnsi="Times New Roman" w:cs="Times New Roman"/>
          <w:bCs/>
          <w:sz w:val="24"/>
          <w:szCs w:val="24"/>
        </w:rPr>
        <w:t xml:space="preserve">A date must be entered in the “Date Milestone was Met” field, indicating when the milestone was achieved </w:t>
      </w:r>
      <w:r w:rsidR="00D6516E">
        <w:rPr>
          <w:rFonts w:ascii="Times New Roman" w:hAnsi="Times New Roman" w:cs="Times New Roman"/>
          <w:bCs/>
          <w:sz w:val="24"/>
          <w:szCs w:val="24"/>
        </w:rPr>
        <w:t>f</w:t>
      </w:r>
      <w:r w:rsidR="00FD4F22" w:rsidRPr="00D6516E">
        <w:rPr>
          <w:rFonts w:ascii="Times New Roman" w:hAnsi="Times New Roman" w:cs="Times New Roman"/>
          <w:bCs/>
          <w:sz w:val="24"/>
          <w:szCs w:val="24"/>
        </w:rPr>
        <w:t>or the stude</w:t>
      </w:r>
      <w:r w:rsidRPr="00D6516E">
        <w:rPr>
          <w:rFonts w:ascii="Times New Roman" w:hAnsi="Times New Roman" w:cs="Times New Roman"/>
          <w:bCs/>
          <w:sz w:val="24"/>
          <w:szCs w:val="24"/>
        </w:rPr>
        <w:t xml:space="preserve">nt to be recognized </w:t>
      </w:r>
      <w:r w:rsidR="00D6516E">
        <w:rPr>
          <w:rFonts w:ascii="Times New Roman" w:hAnsi="Times New Roman" w:cs="Times New Roman"/>
          <w:bCs/>
          <w:sz w:val="24"/>
          <w:szCs w:val="24"/>
        </w:rPr>
        <w:t>as</w:t>
      </w:r>
      <w:r w:rsidRPr="00D6516E">
        <w:rPr>
          <w:rFonts w:ascii="Times New Roman" w:hAnsi="Times New Roman" w:cs="Times New Roman"/>
          <w:bCs/>
          <w:sz w:val="24"/>
          <w:szCs w:val="24"/>
        </w:rPr>
        <w:t xml:space="preserve"> demonstrating a Type 4</w:t>
      </w:r>
      <w:r w:rsidR="00FD4F22" w:rsidRPr="00D6516E">
        <w:rPr>
          <w:rFonts w:ascii="Times New Roman" w:hAnsi="Times New Roman" w:cs="Times New Roman"/>
          <w:bCs/>
          <w:sz w:val="24"/>
          <w:szCs w:val="24"/>
        </w:rPr>
        <w:t xml:space="preserve"> MSG</w:t>
      </w:r>
      <w:r w:rsidRPr="00D6516E">
        <w:rPr>
          <w:rFonts w:ascii="Times New Roman" w:hAnsi="Times New Roman" w:cs="Times New Roman"/>
          <w:bCs/>
          <w:sz w:val="24"/>
          <w:szCs w:val="24"/>
        </w:rPr>
        <w:t>.</w:t>
      </w:r>
    </w:p>
    <w:p w14:paraId="76EFACC4" w14:textId="204B50E9" w:rsidR="000F2F79" w:rsidRDefault="000F2F79" w:rsidP="00FD4F22">
      <w:pPr>
        <w:pStyle w:val="ListParagraph"/>
        <w:numPr>
          <w:ilvl w:val="3"/>
          <w:numId w:val="10"/>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If “Other” was selected under the “Established Measurable Milestone” dropdown, </w:t>
      </w:r>
      <w:r w:rsidR="009F4AB6">
        <w:rPr>
          <w:rFonts w:ascii="Times New Roman" w:hAnsi="Times New Roman" w:cs="Times New Roman"/>
          <w:sz w:val="24"/>
          <w:szCs w:val="24"/>
        </w:rPr>
        <w:t>program staff must enter a brief description in the field labeled, “Description of Other Milestone,” for the student to be recognized for a Type 4 MSG. If “Other” is not selected, then the “Description of Other Milestone” field may be left blank.</w:t>
      </w:r>
    </w:p>
    <w:p w14:paraId="1B9E0B4D" w14:textId="31F237CF" w:rsidR="00AD0E94" w:rsidRPr="00D6516E" w:rsidRDefault="00AD0E94" w:rsidP="00D6516E">
      <w:pPr>
        <w:pStyle w:val="ListParagraph"/>
        <w:numPr>
          <w:ilvl w:val="1"/>
          <w:numId w:val="10"/>
        </w:numPr>
        <w:rPr>
          <w:rFonts w:ascii="Times New Roman" w:hAnsi="Times New Roman" w:cs="Times New Roman"/>
          <w:sz w:val="24"/>
          <w:szCs w:val="24"/>
        </w:rPr>
      </w:pPr>
      <w:r w:rsidRPr="00D6516E">
        <w:rPr>
          <w:rFonts w:ascii="Times New Roman" w:hAnsi="Times New Roman" w:cs="Times New Roman"/>
          <w:sz w:val="24"/>
          <w:szCs w:val="24"/>
        </w:rPr>
        <w:t xml:space="preserve">Type 5 MSG (Passing an Exam or Progress in Attaining Skills) – </w:t>
      </w:r>
    </w:p>
    <w:p w14:paraId="0E6E12D0" w14:textId="77777777" w:rsidR="00FD4F22" w:rsidRDefault="00FD4F22" w:rsidP="00FD4F22">
      <w:pPr>
        <w:pStyle w:val="ListParagraph"/>
        <w:numPr>
          <w:ilvl w:val="3"/>
          <w:numId w:val="10"/>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The student must be a participant while enrolled in an adult education program.</w:t>
      </w:r>
    </w:p>
    <w:p w14:paraId="2FD46F42" w14:textId="77777777" w:rsidR="00FD4F22" w:rsidRDefault="00FD4F22" w:rsidP="00FD4F22">
      <w:pPr>
        <w:pStyle w:val="ListParagraph"/>
        <w:numPr>
          <w:ilvl w:val="3"/>
          <w:numId w:val="10"/>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On the Student Demographic page, the student must be identified as either enrolled in an IET program or participating in a Workplace Adult Education and Literacy program.</w:t>
      </w:r>
    </w:p>
    <w:p w14:paraId="30033D40" w14:textId="77777777" w:rsidR="000F2F79" w:rsidRDefault="000F2F79" w:rsidP="000F2F79">
      <w:pPr>
        <w:pStyle w:val="ListParagraph"/>
        <w:numPr>
          <w:ilvl w:val="3"/>
          <w:numId w:val="10"/>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The student must be enrolled in a class identified as “IET” or “Workplace Adult Education and Literacy.” Program staff may select the appropriate class type in the dropdown menu of the “Class Type” field, located on the Class Details page for the class.</w:t>
      </w:r>
    </w:p>
    <w:p w14:paraId="727F8B60" w14:textId="43B17DD5" w:rsidR="00FD4F22" w:rsidRPr="00D6516E" w:rsidRDefault="00FD4F22" w:rsidP="00FD4F22">
      <w:pPr>
        <w:pStyle w:val="ListParagraph"/>
        <w:numPr>
          <w:ilvl w:val="3"/>
          <w:numId w:val="10"/>
        </w:numPr>
        <w:spacing w:line="240" w:lineRule="auto"/>
        <w:contextualSpacing w:val="0"/>
        <w:rPr>
          <w:rFonts w:ascii="Times New Roman" w:hAnsi="Times New Roman" w:cs="Times New Roman"/>
          <w:bCs/>
          <w:sz w:val="24"/>
          <w:szCs w:val="24"/>
        </w:rPr>
      </w:pPr>
      <w:r>
        <w:rPr>
          <w:rFonts w:ascii="Times New Roman" w:hAnsi="Times New Roman" w:cs="Times New Roman"/>
          <w:sz w:val="24"/>
          <w:szCs w:val="24"/>
        </w:rPr>
        <w:t>Click o</w:t>
      </w:r>
      <w:r w:rsidR="009F4AB6">
        <w:rPr>
          <w:rFonts w:ascii="Times New Roman" w:hAnsi="Times New Roman" w:cs="Times New Roman"/>
          <w:sz w:val="24"/>
          <w:szCs w:val="24"/>
        </w:rPr>
        <w:t>n the “Type 5</w:t>
      </w:r>
      <w:r>
        <w:rPr>
          <w:rFonts w:ascii="Times New Roman" w:hAnsi="Times New Roman" w:cs="Times New Roman"/>
          <w:sz w:val="24"/>
          <w:szCs w:val="24"/>
        </w:rPr>
        <w:t xml:space="preserve">: </w:t>
      </w:r>
      <w:r w:rsidR="009F4AB6">
        <w:rPr>
          <w:rFonts w:ascii="Times New Roman" w:hAnsi="Times New Roman" w:cs="Times New Roman"/>
          <w:sz w:val="24"/>
          <w:szCs w:val="24"/>
        </w:rPr>
        <w:t>Occupational Exam</w:t>
      </w:r>
      <w:r>
        <w:rPr>
          <w:rFonts w:ascii="Times New Roman" w:hAnsi="Times New Roman" w:cs="Times New Roman"/>
          <w:sz w:val="24"/>
          <w:szCs w:val="24"/>
        </w:rPr>
        <w:t xml:space="preserve">” menu item and complete the information for all four fields. While only the first three fields have an asterisk and </w:t>
      </w:r>
      <w:r w:rsidR="00D6516E">
        <w:rPr>
          <w:rFonts w:ascii="Times New Roman" w:hAnsi="Times New Roman" w:cs="Times New Roman"/>
          <w:sz w:val="24"/>
          <w:szCs w:val="24"/>
        </w:rPr>
        <w:t xml:space="preserve">are </w:t>
      </w:r>
      <w:r>
        <w:rPr>
          <w:rFonts w:ascii="Times New Roman" w:hAnsi="Times New Roman" w:cs="Times New Roman"/>
          <w:sz w:val="24"/>
          <w:szCs w:val="24"/>
        </w:rPr>
        <w:t xml:space="preserve">considered required, </w:t>
      </w:r>
      <w:r w:rsidRPr="00D6516E">
        <w:rPr>
          <w:rFonts w:ascii="Times New Roman" w:hAnsi="Times New Roman" w:cs="Times New Roman"/>
          <w:bCs/>
          <w:sz w:val="24"/>
          <w:szCs w:val="24"/>
        </w:rPr>
        <w:t xml:space="preserve">a date must be entered in the fourth field, indicating when the student earned the </w:t>
      </w:r>
      <w:r w:rsidR="009F4AB6" w:rsidRPr="00D6516E">
        <w:rPr>
          <w:rFonts w:ascii="Times New Roman" w:hAnsi="Times New Roman" w:cs="Times New Roman"/>
          <w:bCs/>
          <w:sz w:val="24"/>
          <w:szCs w:val="24"/>
        </w:rPr>
        <w:t>credential or passed the qualifying exam</w:t>
      </w:r>
      <w:r w:rsidR="00D6516E" w:rsidRPr="00D6516E">
        <w:rPr>
          <w:rFonts w:ascii="Times New Roman" w:hAnsi="Times New Roman" w:cs="Times New Roman"/>
          <w:bCs/>
          <w:sz w:val="24"/>
          <w:szCs w:val="24"/>
        </w:rPr>
        <w:t xml:space="preserve"> for the student to be recognized for demonstrating a Type 5 MSG</w:t>
      </w:r>
      <w:r w:rsidRPr="00D6516E">
        <w:rPr>
          <w:rFonts w:ascii="Times New Roman" w:hAnsi="Times New Roman" w:cs="Times New Roman"/>
          <w:bCs/>
          <w:sz w:val="24"/>
          <w:szCs w:val="24"/>
        </w:rPr>
        <w:t>.</w:t>
      </w:r>
    </w:p>
    <w:p w14:paraId="108328FA" w14:textId="464C7AA2" w:rsidR="009F4AB6" w:rsidRPr="0046583C" w:rsidRDefault="009F4AB6" w:rsidP="00FD4F22">
      <w:pPr>
        <w:pStyle w:val="ListParagraph"/>
        <w:numPr>
          <w:ilvl w:val="3"/>
          <w:numId w:val="10"/>
        </w:numPr>
        <w:spacing w:line="240" w:lineRule="auto"/>
        <w:contextualSpacing w:val="0"/>
        <w:rPr>
          <w:rFonts w:ascii="Times New Roman" w:hAnsi="Times New Roman" w:cs="Times New Roman"/>
          <w:sz w:val="24"/>
          <w:szCs w:val="24"/>
        </w:rPr>
      </w:pPr>
      <w:r>
        <w:rPr>
          <w:rFonts w:ascii="Times New Roman" w:hAnsi="Times New Roman" w:cs="Times New Roman"/>
          <w:b/>
          <w:sz w:val="24"/>
          <w:szCs w:val="24"/>
        </w:rPr>
        <w:t xml:space="preserve">Important: </w:t>
      </w:r>
      <w:r w:rsidRPr="0046583C">
        <w:rPr>
          <w:rFonts w:ascii="Times New Roman" w:hAnsi="Times New Roman" w:cs="Times New Roman"/>
          <w:sz w:val="24"/>
          <w:szCs w:val="24"/>
        </w:rPr>
        <w:t xml:space="preserve">For students to be recognized for demonstrating a Type 5 MSG </w:t>
      </w:r>
      <w:proofErr w:type="gramStart"/>
      <w:r w:rsidRPr="0046583C">
        <w:rPr>
          <w:rFonts w:ascii="Times New Roman" w:hAnsi="Times New Roman" w:cs="Times New Roman"/>
          <w:sz w:val="24"/>
          <w:szCs w:val="24"/>
        </w:rPr>
        <w:t>as a result of</w:t>
      </w:r>
      <w:proofErr w:type="gramEnd"/>
      <w:r w:rsidRPr="0046583C">
        <w:rPr>
          <w:rFonts w:ascii="Times New Roman" w:hAnsi="Times New Roman" w:cs="Times New Roman"/>
          <w:sz w:val="24"/>
          <w:szCs w:val="24"/>
        </w:rPr>
        <w:t xml:space="preserve"> earning a credential, the credential information must be entered in the “Type 5: Occupational Exam” menu item. If program staff enters Type 5 MSG credential information under the “PS Ed/Training </w:t>
      </w:r>
      <w:proofErr w:type="spellStart"/>
      <w:r w:rsidRPr="0046583C">
        <w:rPr>
          <w:rFonts w:ascii="Times New Roman" w:hAnsi="Times New Roman" w:cs="Times New Roman"/>
          <w:sz w:val="24"/>
          <w:szCs w:val="24"/>
        </w:rPr>
        <w:t>Pgm</w:t>
      </w:r>
      <w:proofErr w:type="spellEnd"/>
      <w:r w:rsidRPr="0046583C">
        <w:rPr>
          <w:rFonts w:ascii="Times New Roman" w:hAnsi="Times New Roman" w:cs="Times New Roman"/>
          <w:sz w:val="24"/>
          <w:szCs w:val="24"/>
        </w:rPr>
        <w:t xml:space="preserve">” menu item instead, the student will not be credited with </w:t>
      </w:r>
      <w:r w:rsidR="00714F75" w:rsidRPr="0046583C">
        <w:rPr>
          <w:rFonts w:ascii="Times New Roman" w:hAnsi="Times New Roman" w:cs="Times New Roman"/>
          <w:sz w:val="24"/>
          <w:szCs w:val="24"/>
        </w:rPr>
        <w:t>a Type 5 MSG.</w:t>
      </w:r>
    </w:p>
    <w:p w14:paraId="334E2877" w14:textId="0FD2EBFA" w:rsidR="00E92A98" w:rsidRPr="00B353CD" w:rsidRDefault="00E92A98" w:rsidP="00B353CD">
      <w:pPr>
        <w:pStyle w:val="Heading2"/>
        <w:numPr>
          <w:ilvl w:val="0"/>
          <w:numId w:val="10"/>
        </w:numPr>
        <w:tabs>
          <w:tab w:val="left" w:pos="810"/>
        </w:tabs>
        <w:spacing w:after="120"/>
        <w:rPr>
          <w:rFonts w:ascii="Times New Roman" w:hAnsi="Times New Roman" w:cs="Times New Roman"/>
          <w:color w:val="auto"/>
        </w:rPr>
      </w:pPr>
      <w:bookmarkStart w:id="10" w:name="_Toc105689120"/>
      <w:r w:rsidRPr="00B353CD">
        <w:rPr>
          <w:rFonts w:ascii="Times New Roman" w:hAnsi="Times New Roman" w:cs="Times New Roman"/>
          <w:color w:val="auto"/>
        </w:rPr>
        <w:lastRenderedPageBreak/>
        <w:t>Checking Data Displayed in NRS Tables</w:t>
      </w:r>
      <w:bookmarkEnd w:id="10"/>
    </w:p>
    <w:p w14:paraId="4C0B7B69" w14:textId="7CA534F6" w:rsidR="00E92A98" w:rsidRPr="00B353CD" w:rsidRDefault="00E25379" w:rsidP="00B353CD">
      <w:pPr>
        <w:spacing w:after="120" w:line="240" w:lineRule="auto"/>
        <w:ind w:left="720"/>
        <w:rPr>
          <w:rFonts w:ascii="Times New Roman" w:hAnsi="Times New Roman" w:cs="Times New Roman"/>
          <w:sz w:val="24"/>
          <w:szCs w:val="24"/>
        </w:rPr>
      </w:pPr>
      <w:r w:rsidRPr="00B353CD">
        <w:rPr>
          <w:rFonts w:ascii="Times New Roman" w:hAnsi="Times New Roman" w:cs="Times New Roman"/>
          <w:sz w:val="24"/>
          <w:szCs w:val="24"/>
        </w:rPr>
        <w:t xml:space="preserve">It is strongly recommended that programs develop a system to check data entered in SSWS with data maintained in student and staff files as part of their year-end close out. While programs are encouraged to double-check </w:t>
      </w:r>
      <w:proofErr w:type="gramStart"/>
      <w:r w:rsidRPr="00B353CD">
        <w:rPr>
          <w:rFonts w:ascii="Times New Roman" w:hAnsi="Times New Roman" w:cs="Times New Roman"/>
          <w:sz w:val="24"/>
          <w:szCs w:val="24"/>
        </w:rPr>
        <w:t>all of</w:t>
      </w:r>
      <w:proofErr w:type="gramEnd"/>
      <w:r w:rsidRPr="00B353CD">
        <w:rPr>
          <w:rFonts w:ascii="Times New Roman" w:hAnsi="Times New Roman" w:cs="Times New Roman"/>
          <w:sz w:val="24"/>
          <w:szCs w:val="24"/>
        </w:rPr>
        <w:t xml:space="preserve"> the data entered, some items to review are provided below: </w:t>
      </w:r>
    </w:p>
    <w:p w14:paraId="738BBC5D" w14:textId="18E30927" w:rsidR="005E7C87" w:rsidRPr="00B353CD" w:rsidRDefault="005E7C87" w:rsidP="00094246">
      <w:pPr>
        <w:pStyle w:val="ListParagraph"/>
        <w:numPr>
          <w:ilvl w:val="1"/>
          <w:numId w:val="10"/>
        </w:numPr>
        <w:spacing w:after="8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Table</w:t>
      </w:r>
      <w:r w:rsidR="00E25379" w:rsidRPr="00B353CD">
        <w:rPr>
          <w:rFonts w:ascii="Times New Roman" w:hAnsi="Times New Roman" w:cs="Times New Roman"/>
          <w:sz w:val="24"/>
          <w:szCs w:val="24"/>
        </w:rPr>
        <w:t>s</w:t>
      </w:r>
      <w:r w:rsidRPr="00B353CD">
        <w:rPr>
          <w:rFonts w:ascii="Times New Roman" w:hAnsi="Times New Roman" w:cs="Times New Roman"/>
          <w:sz w:val="24"/>
          <w:szCs w:val="24"/>
        </w:rPr>
        <w:t xml:space="preserve"> 1</w:t>
      </w:r>
      <w:r w:rsidR="00E25379" w:rsidRPr="00B353CD">
        <w:rPr>
          <w:rFonts w:ascii="Times New Roman" w:hAnsi="Times New Roman" w:cs="Times New Roman"/>
          <w:sz w:val="24"/>
          <w:szCs w:val="24"/>
        </w:rPr>
        <w:t>, 2, 3, and 4</w:t>
      </w:r>
      <w:r w:rsidRPr="00B353CD">
        <w:rPr>
          <w:rFonts w:ascii="Times New Roman" w:hAnsi="Times New Roman" w:cs="Times New Roman"/>
          <w:sz w:val="24"/>
          <w:szCs w:val="24"/>
        </w:rPr>
        <w:t xml:space="preserve">: Do the enrollment </w:t>
      </w:r>
      <w:r w:rsidR="00285817" w:rsidRPr="00B353CD">
        <w:rPr>
          <w:rFonts w:ascii="Times New Roman" w:hAnsi="Times New Roman" w:cs="Times New Roman"/>
          <w:sz w:val="24"/>
          <w:szCs w:val="24"/>
        </w:rPr>
        <w:t>totals</w:t>
      </w:r>
      <w:r w:rsidRPr="00B353CD">
        <w:rPr>
          <w:rFonts w:ascii="Times New Roman" w:hAnsi="Times New Roman" w:cs="Times New Roman"/>
          <w:sz w:val="24"/>
          <w:szCs w:val="24"/>
        </w:rPr>
        <w:t xml:space="preserve"> match </w:t>
      </w:r>
      <w:r w:rsidR="00285817" w:rsidRPr="00B353CD">
        <w:rPr>
          <w:rFonts w:ascii="Times New Roman" w:hAnsi="Times New Roman" w:cs="Times New Roman"/>
          <w:sz w:val="24"/>
          <w:szCs w:val="24"/>
        </w:rPr>
        <w:t xml:space="preserve">across all four NRS tables and does the total match local </w:t>
      </w:r>
      <w:r w:rsidRPr="00B353CD">
        <w:rPr>
          <w:rFonts w:ascii="Times New Roman" w:hAnsi="Times New Roman" w:cs="Times New Roman"/>
          <w:sz w:val="24"/>
          <w:szCs w:val="24"/>
        </w:rPr>
        <w:t>attendance records?</w:t>
      </w:r>
    </w:p>
    <w:p w14:paraId="42EE0ABC" w14:textId="4B8434AB" w:rsidR="00E92A98" w:rsidRPr="00B353CD" w:rsidRDefault="009048FB" w:rsidP="00094246">
      <w:pPr>
        <w:pStyle w:val="ListParagraph"/>
        <w:numPr>
          <w:ilvl w:val="1"/>
          <w:numId w:val="10"/>
        </w:numPr>
        <w:spacing w:after="8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Table 3: </w:t>
      </w:r>
      <w:r w:rsidR="00E92A98" w:rsidRPr="00B353CD">
        <w:rPr>
          <w:rFonts w:ascii="Times New Roman" w:hAnsi="Times New Roman" w:cs="Times New Roman"/>
          <w:sz w:val="24"/>
          <w:szCs w:val="24"/>
        </w:rPr>
        <w:t xml:space="preserve">Does the number of participants by program type </w:t>
      </w:r>
      <w:r w:rsidRPr="00B353CD">
        <w:rPr>
          <w:rFonts w:ascii="Times New Roman" w:hAnsi="Times New Roman" w:cs="Times New Roman"/>
          <w:sz w:val="24"/>
          <w:szCs w:val="24"/>
        </w:rPr>
        <w:t xml:space="preserve">and IET participation </w:t>
      </w:r>
      <w:r w:rsidR="00E92A98" w:rsidRPr="00B353CD">
        <w:rPr>
          <w:rFonts w:ascii="Times New Roman" w:hAnsi="Times New Roman" w:cs="Times New Roman"/>
          <w:sz w:val="24"/>
          <w:szCs w:val="24"/>
        </w:rPr>
        <w:t xml:space="preserve">match </w:t>
      </w:r>
      <w:r w:rsidR="00285817" w:rsidRPr="00B353CD">
        <w:rPr>
          <w:rFonts w:ascii="Times New Roman" w:hAnsi="Times New Roman" w:cs="Times New Roman"/>
          <w:sz w:val="24"/>
          <w:szCs w:val="24"/>
        </w:rPr>
        <w:t xml:space="preserve">placement and </w:t>
      </w:r>
      <w:r w:rsidRPr="00B353CD">
        <w:rPr>
          <w:rFonts w:ascii="Times New Roman" w:hAnsi="Times New Roman" w:cs="Times New Roman"/>
          <w:sz w:val="24"/>
          <w:szCs w:val="24"/>
        </w:rPr>
        <w:t>attendance records</w:t>
      </w:r>
      <w:r w:rsidR="00E92A98" w:rsidRPr="00B353CD">
        <w:rPr>
          <w:rFonts w:ascii="Times New Roman" w:hAnsi="Times New Roman" w:cs="Times New Roman"/>
          <w:sz w:val="24"/>
          <w:szCs w:val="24"/>
        </w:rPr>
        <w:t>?</w:t>
      </w:r>
    </w:p>
    <w:p w14:paraId="52783462" w14:textId="550DA960" w:rsidR="005E7C87" w:rsidRPr="00B353CD" w:rsidRDefault="005E7C87" w:rsidP="00094246">
      <w:pPr>
        <w:pStyle w:val="ListParagraph"/>
        <w:numPr>
          <w:ilvl w:val="1"/>
          <w:numId w:val="10"/>
        </w:numPr>
        <w:spacing w:after="8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Table 4: Is the number of exempted participants displayed in Column </w:t>
      </w:r>
      <w:proofErr w:type="gramStart"/>
      <w:r w:rsidRPr="00B353CD">
        <w:rPr>
          <w:rFonts w:ascii="Times New Roman" w:hAnsi="Times New Roman" w:cs="Times New Roman"/>
          <w:sz w:val="24"/>
          <w:szCs w:val="24"/>
        </w:rPr>
        <w:t>C</w:t>
      </w:r>
      <w:proofErr w:type="gramEnd"/>
      <w:r w:rsidR="00FA46ED" w:rsidRPr="00B353CD">
        <w:rPr>
          <w:rFonts w:ascii="Times New Roman" w:hAnsi="Times New Roman" w:cs="Times New Roman"/>
          <w:sz w:val="24"/>
          <w:szCs w:val="24"/>
        </w:rPr>
        <w:t xml:space="preserve"> correct</w:t>
      </w:r>
      <w:r w:rsidRPr="00B353CD">
        <w:rPr>
          <w:rFonts w:ascii="Times New Roman" w:hAnsi="Times New Roman" w:cs="Times New Roman"/>
          <w:sz w:val="24"/>
          <w:szCs w:val="24"/>
        </w:rPr>
        <w:t>?</w:t>
      </w:r>
    </w:p>
    <w:p w14:paraId="24D87301" w14:textId="2DB1F7C4" w:rsidR="00285817" w:rsidRPr="00B353CD" w:rsidRDefault="00285817" w:rsidP="00094246">
      <w:pPr>
        <w:pStyle w:val="ListParagraph"/>
        <w:numPr>
          <w:ilvl w:val="1"/>
          <w:numId w:val="10"/>
        </w:numPr>
        <w:spacing w:after="8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Table 4: </w:t>
      </w:r>
      <w:r w:rsidR="00BC1F7F" w:rsidRPr="00B353CD">
        <w:rPr>
          <w:rFonts w:ascii="Times New Roman" w:hAnsi="Times New Roman" w:cs="Times New Roman"/>
          <w:sz w:val="24"/>
          <w:szCs w:val="24"/>
        </w:rPr>
        <w:t>Are</w:t>
      </w:r>
      <w:r w:rsidRPr="00B353CD">
        <w:rPr>
          <w:rFonts w:ascii="Times New Roman" w:hAnsi="Times New Roman" w:cs="Times New Roman"/>
          <w:sz w:val="24"/>
          <w:szCs w:val="24"/>
        </w:rPr>
        <w:t xml:space="preserve"> the MSGs reported under Columns D, E, K, and L </w:t>
      </w:r>
      <w:r w:rsidR="00FA67EE" w:rsidRPr="00B353CD">
        <w:rPr>
          <w:rFonts w:ascii="Times New Roman" w:hAnsi="Times New Roman" w:cs="Times New Roman"/>
          <w:sz w:val="24"/>
          <w:szCs w:val="24"/>
        </w:rPr>
        <w:t>consistent with program records</w:t>
      </w:r>
      <w:r w:rsidRPr="00B353CD">
        <w:rPr>
          <w:rFonts w:ascii="Times New Roman" w:hAnsi="Times New Roman" w:cs="Times New Roman"/>
          <w:sz w:val="24"/>
          <w:szCs w:val="24"/>
        </w:rPr>
        <w:t>?</w:t>
      </w:r>
    </w:p>
    <w:p w14:paraId="180E2BF1" w14:textId="1FDBBAE2" w:rsidR="009048FB" w:rsidRPr="00B353CD" w:rsidRDefault="009048FB" w:rsidP="00094246">
      <w:pPr>
        <w:pStyle w:val="ListParagraph"/>
        <w:numPr>
          <w:ilvl w:val="1"/>
          <w:numId w:val="10"/>
        </w:numPr>
        <w:spacing w:after="8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Table 4A: Is the number of NEDP transition</w:t>
      </w:r>
      <w:r w:rsidR="00285817" w:rsidRPr="00B353CD">
        <w:rPr>
          <w:rFonts w:ascii="Times New Roman" w:hAnsi="Times New Roman" w:cs="Times New Roman"/>
          <w:sz w:val="24"/>
          <w:szCs w:val="24"/>
        </w:rPr>
        <w:t xml:space="preserve"> EFL gains</w:t>
      </w:r>
      <w:r w:rsidRPr="00B353CD">
        <w:rPr>
          <w:rFonts w:ascii="Times New Roman" w:hAnsi="Times New Roman" w:cs="Times New Roman"/>
          <w:sz w:val="24"/>
          <w:szCs w:val="24"/>
        </w:rPr>
        <w:t xml:space="preserve"> reported in Column </w:t>
      </w:r>
      <w:proofErr w:type="gramStart"/>
      <w:r w:rsidR="005E7C87" w:rsidRPr="00B353CD">
        <w:rPr>
          <w:rFonts w:ascii="Times New Roman" w:hAnsi="Times New Roman" w:cs="Times New Roman"/>
          <w:sz w:val="24"/>
          <w:szCs w:val="24"/>
        </w:rPr>
        <w:t>G</w:t>
      </w:r>
      <w:proofErr w:type="gramEnd"/>
      <w:r w:rsidR="00285817" w:rsidRPr="00B353CD">
        <w:rPr>
          <w:rFonts w:ascii="Times New Roman" w:hAnsi="Times New Roman" w:cs="Times New Roman"/>
          <w:sz w:val="24"/>
          <w:szCs w:val="24"/>
        </w:rPr>
        <w:t xml:space="preserve"> correct</w:t>
      </w:r>
      <w:r w:rsidRPr="00B353CD">
        <w:rPr>
          <w:rFonts w:ascii="Times New Roman" w:hAnsi="Times New Roman" w:cs="Times New Roman"/>
          <w:sz w:val="24"/>
          <w:szCs w:val="24"/>
        </w:rPr>
        <w:t xml:space="preserve">? </w:t>
      </w:r>
    </w:p>
    <w:p w14:paraId="72B8762B" w14:textId="4AA38D9E" w:rsidR="009048FB" w:rsidRPr="00B353CD" w:rsidRDefault="009048FB" w:rsidP="00094246">
      <w:pPr>
        <w:pStyle w:val="ListParagraph"/>
        <w:numPr>
          <w:ilvl w:val="1"/>
          <w:numId w:val="10"/>
        </w:numPr>
        <w:spacing w:after="8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Table 4A: </w:t>
      </w:r>
      <w:r w:rsidR="00750AC3">
        <w:rPr>
          <w:rFonts w:ascii="Times New Roman" w:hAnsi="Times New Roman" w:cs="Times New Roman"/>
          <w:sz w:val="24"/>
          <w:szCs w:val="24"/>
        </w:rPr>
        <w:t>I</w:t>
      </w:r>
      <w:r w:rsidRPr="00B353CD">
        <w:rPr>
          <w:rFonts w:ascii="Times New Roman" w:hAnsi="Times New Roman" w:cs="Times New Roman"/>
          <w:sz w:val="24"/>
          <w:szCs w:val="24"/>
        </w:rPr>
        <w:t xml:space="preserve">s the number of postsecondary </w:t>
      </w:r>
      <w:proofErr w:type="gramStart"/>
      <w:r w:rsidR="00285817" w:rsidRPr="00B353CD">
        <w:rPr>
          <w:rFonts w:ascii="Times New Roman" w:hAnsi="Times New Roman" w:cs="Times New Roman"/>
          <w:sz w:val="24"/>
          <w:szCs w:val="24"/>
        </w:rPr>
        <w:t>enrollment</w:t>
      </w:r>
      <w:proofErr w:type="gramEnd"/>
      <w:r w:rsidR="00285817" w:rsidRPr="00B353CD">
        <w:rPr>
          <w:rFonts w:ascii="Times New Roman" w:hAnsi="Times New Roman" w:cs="Times New Roman"/>
          <w:sz w:val="24"/>
          <w:szCs w:val="24"/>
        </w:rPr>
        <w:t xml:space="preserve"> EFL gains</w:t>
      </w:r>
      <w:r w:rsidRPr="00B353CD">
        <w:rPr>
          <w:rFonts w:ascii="Times New Roman" w:hAnsi="Times New Roman" w:cs="Times New Roman"/>
          <w:sz w:val="24"/>
          <w:szCs w:val="24"/>
        </w:rPr>
        <w:t xml:space="preserve"> reported in Column </w:t>
      </w:r>
      <w:r w:rsidR="005E7C87" w:rsidRPr="00B353CD">
        <w:rPr>
          <w:rFonts w:ascii="Times New Roman" w:hAnsi="Times New Roman" w:cs="Times New Roman"/>
          <w:sz w:val="24"/>
          <w:szCs w:val="24"/>
        </w:rPr>
        <w:t>I</w:t>
      </w:r>
      <w:r w:rsidR="00285817" w:rsidRPr="00B353CD">
        <w:rPr>
          <w:rFonts w:ascii="Times New Roman" w:hAnsi="Times New Roman" w:cs="Times New Roman"/>
          <w:sz w:val="24"/>
          <w:szCs w:val="24"/>
        </w:rPr>
        <w:t xml:space="preserve"> </w:t>
      </w:r>
      <w:r w:rsidR="00750AC3">
        <w:rPr>
          <w:rFonts w:ascii="Times New Roman" w:hAnsi="Times New Roman" w:cs="Times New Roman"/>
          <w:sz w:val="24"/>
          <w:szCs w:val="24"/>
        </w:rPr>
        <w:t>consistent with internal records</w:t>
      </w:r>
      <w:r w:rsidRPr="00B353CD">
        <w:rPr>
          <w:rFonts w:ascii="Times New Roman" w:hAnsi="Times New Roman" w:cs="Times New Roman"/>
          <w:sz w:val="24"/>
          <w:szCs w:val="24"/>
        </w:rPr>
        <w:t>?</w:t>
      </w:r>
      <w:r w:rsidR="000C7356">
        <w:rPr>
          <w:rFonts w:ascii="Times New Roman" w:hAnsi="Times New Roman" w:cs="Times New Roman"/>
          <w:sz w:val="24"/>
          <w:szCs w:val="24"/>
        </w:rPr>
        <w:t xml:space="preserve"> </w:t>
      </w:r>
    </w:p>
    <w:p w14:paraId="71ADB557" w14:textId="473DA3AB" w:rsidR="00285817" w:rsidRPr="00B353CD" w:rsidRDefault="00285817" w:rsidP="00094246">
      <w:pPr>
        <w:pStyle w:val="ListParagraph"/>
        <w:numPr>
          <w:ilvl w:val="1"/>
          <w:numId w:val="10"/>
        </w:numPr>
        <w:spacing w:after="8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Table 4A: Are the number of participants </w:t>
      </w:r>
      <w:r w:rsidR="0007619E" w:rsidRPr="00B353CD">
        <w:rPr>
          <w:rFonts w:ascii="Times New Roman" w:hAnsi="Times New Roman" w:cs="Times New Roman"/>
          <w:sz w:val="24"/>
          <w:szCs w:val="24"/>
        </w:rPr>
        <w:t>achieving a literacy-based post-test gain and a math-based post-test gain taken together consistent with the number of participants that achieved a post-test gain?</w:t>
      </w:r>
    </w:p>
    <w:p w14:paraId="22BCBC34" w14:textId="36806AB5" w:rsidR="0007619E" w:rsidRPr="00B353CD" w:rsidRDefault="0007619E" w:rsidP="00094246">
      <w:pPr>
        <w:pStyle w:val="ListParagraph"/>
        <w:numPr>
          <w:ilvl w:val="1"/>
          <w:numId w:val="10"/>
        </w:numPr>
        <w:spacing w:after="8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Table 6: Does the total number of students with an Employment Status match the total reported on NRS Tables 1, 2, 3, and 4?</w:t>
      </w:r>
    </w:p>
    <w:p w14:paraId="6EE2865B" w14:textId="439AF228" w:rsidR="0007619E" w:rsidRDefault="0007619E" w:rsidP="00094246">
      <w:pPr>
        <w:pStyle w:val="ListParagraph"/>
        <w:numPr>
          <w:ilvl w:val="1"/>
          <w:numId w:val="10"/>
        </w:numPr>
        <w:spacing w:after="8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Table 6: Does the total for item H above match the total reported under Highest Degree or Level of School Completed?</w:t>
      </w:r>
    </w:p>
    <w:p w14:paraId="2A48BB54" w14:textId="1544D65A" w:rsidR="00F400F1" w:rsidRPr="00B353CD" w:rsidRDefault="00F400F1" w:rsidP="00094246">
      <w:pPr>
        <w:pStyle w:val="ListParagraph"/>
        <w:numPr>
          <w:ilvl w:val="1"/>
          <w:numId w:val="10"/>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Table 6: Does the total number of Workplace Literacy students match attendance records?</w:t>
      </w:r>
    </w:p>
    <w:p w14:paraId="2EA1F8EA" w14:textId="748D68A4" w:rsidR="009048FB" w:rsidRPr="00B353CD" w:rsidRDefault="009048FB" w:rsidP="00094246">
      <w:pPr>
        <w:pStyle w:val="ListParagraph"/>
        <w:numPr>
          <w:ilvl w:val="1"/>
          <w:numId w:val="10"/>
        </w:numPr>
        <w:spacing w:after="8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Table 8: Do the enrollment numbers of Family Literacy participants match attendance records?</w:t>
      </w:r>
    </w:p>
    <w:p w14:paraId="2F08584D" w14:textId="79084957" w:rsidR="00E92A98" w:rsidRPr="00B353CD" w:rsidRDefault="009048FB" w:rsidP="00094246">
      <w:pPr>
        <w:pStyle w:val="ListParagraph"/>
        <w:numPr>
          <w:ilvl w:val="1"/>
          <w:numId w:val="10"/>
        </w:numPr>
        <w:spacing w:after="8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 xml:space="preserve">Table 9: </w:t>
      </w:r>
      <w:r w:rsidR="00E92A98" w:rsidRPr="00B353CD">
        <w:rPr>
          <w:rFonts w:ascii="Times New Roman" w:hAnsi="Times New Roman" w:cs="Times New Roman"/>
          <w:sz w:val="24"/>
          <w:szCs w:val="24"/>
        </w:rPr>
        <w:t xml:space="preserve">Do the </w:t>
      </w:r>
      <w:r w:rsidRPr="00B353CD">
        <w:rPr>
          <w:rFonts w:ascii="Times New Roman" w:hAnsi="Times New Roman" w:cs="Times New Roman"/>
          <w:sz w:val="24"/>
          <w:szCs w:val="24"/>
        </w:rPr>
        <w:t xml:space="preserve">enrollment </w:t>
      </w:r>
      <w:r w:rsidR="00E92A98" w:rsidRPr="00B353CD">
        <w:rPr>
          <w:rFonts w:ascii="Times New Roman" w:hAnsi="Times New Roman" w:cs="Times New Roman"/>
          <w:sz w:val="24"/>
          <w:szCs w:val="24"/>
        </w:rPr>
        <w:t>number</w:t>
      </w:r>
      <w:r w:rsidRPr="00B353CD">
        <w:rPr>
          <w:rFonts w:ascii="Times New Roman" w:hAnsi="Times New Roman" w:cs="Times New Roman"/>
          <w:sz w:val="24"/>
          <w:szCs w:val="24"/>
        </w:rPr>
        <w:t>s</w:t>
      </w:r>
      <w:r w:rsidR="00E92A98" w:rsidRPr="00B353CD">
        <w:rPr>
          <w:rFonts w:ascii="Times New Roman" w:hAnsi="Times New Roman" w:cs="Times New Roman"/>
          <w:sz w:val="24"/>
          <w:szCs w:val="24"/>
        </w:rPr>
        <w:t xml:space="preserve"> of IELCE participants match attendance records?</w:t>
      </w:r>
    </w:p>
    <w:p w14:paraId="378A97D7" w14:textId="770DBC47" w:rsidR="00997B0E" w:rsidRDefault="009048FB" w:rsidP="0049374D">
      <w:pPr>
        <w:pStyle w:val="ListParagraph"/>
        <w:numPr>
          <w:ilvl w:val="1"/>
          <w:numId w:val="10"/>
        </w:numPr>
        <w:spacing w:after="80" w:line="240" w:lineRule="auto"/>
        <w:contextualSpacing w:val="0"/>
        <w:rPr>
          <w:rFonts w:ascii="Times New Roman" w:hAnsi="Times New Roman" w:cs="Times New Roman"/>
          <w:sz w:val="24"/>
          <w:szCs w:val="24"/>
        </w:rPr>
      </w:pPr>
      <w:r w:rsidRPr="00B353CD">
        <w:rPr>
          <w:rFonts w:ascii="Times New Roman" w:hAnsi="Times New Roman" w:cs="Times New Roman"/>
          <w:sz w:val="24"/>
          <w:szCs w:val="24"/>
        </w:rPr>
        <w:t>Table 10: Do</w:t>
      </w:r>
      <w:r w:rsidR="00E92A98" w:rsidRPr="00B353CD">
        <w:rPr>
          <w:rFonts w:ascii="Times New Roman" w:hAnsi="Times New Roman" w:cs="Times New Roman"/>
          <w:sz w:val="24"/>
          <w:szCs w:val="24"/>
        </w:rPr>
        <w:t xml:space="preserve"> the </w:t>
      </w:r>
      <w:r w:rsidRPr="00B353CD">
        <w:rPr>
          <w:rFonts w:ascii="Times New Roman" w:hAnsi="Times New Roman" w:cs="Times New Roman"/>
          <w:sz w:val="24"/>
          <w:szCs w:val="24"/>
        </w:rPr>
        <w:t xml:space="preserve">enrollment </w:t>
      </w:r>
      <w:r w:rsidR="00E92A98" w:rsidRPr="00B353CD">
        <w:rPr>
          <w:rFonts w:ascii="Times New Roman" w:hAnsi="Times New Roman" w:cs="Times New Roman"/>
          <w:sz w:val="24"/>
          <w:szCs w:val="24"/>
        </w:rPr>
        <w:t>number</w:t>
      </w:r>
      <w:r w:rsidRPr="00B353CD">
        <w:rPr>
          <w:rFonts w:ascii="Times New Roman" w:hAnsi="Times New Roman" w:cs="Times New Roman"/>
          <w:sz w:val="24"/>
          <w:szCs w:val="24"/>
        </w:rPr>
        <w:t>s</w:t>
      </w:r>
      <w:r w:rsidR="00E92A98" w:rsidRPr="00B353CD">
        <w:rPr>
          <w:rFonts w:ascii="Times New Roman" w:hAnsi="Times New Roman" w:cs="Times New Roman"/>
          <w:sz w:val="24"/>
          <w:szCs w:val="24"/>
        </w:rPr>
        <w:t xml:space="preserve"> of C&amp;I participants match attendance records?</w:t>
      </w:r>
    </w:p>
    <w:p w14:paraId="64FCE401" w14:textId="62F1EB10" w:rsidR="002605BB" w:rsidRPr="0049374D" w:rsidRDefault="002605BB" w:rsidP="0049374D">
      <w:pPr>
        <w:pStyle w:val="ListParagraph"/>
        <w:numPr>
          <w:ilvl w:val="1"/>
          <w:numId w:val="10"/>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Table 11: Do the enrollment numbers of IET participants match attendance records? </w:t>
      </w:r>
    </w:p>
    <w:sectPr w:rsidR="002605BB" w:rsidRPr="0049374D" w:rsidSect="00D30715">
      <w:footerReference w:type="default" r:id="rId12"/>
      <w:footerReference w:type="first" r:id="rId13"/>
      <w:type w:val="continuous"/>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C44B" w14:textId="77777777" w:rsidR="00A00417" w:rsidRDefault="00A00417" w:rsidP="009A7A83">
      <w:pPr>
        <w:spacing w:after="0" w:line="240" w:lineRule="auto"/>
      </w:pPr>
      <w:r>
        <w:separator/>
      </w:r>
    </w:p>
  </w:endnote>
  <w:endnote w:type="continuationSeparator" w:id="0">
    <w:p w14:paraId="70B19BD4" w14:textId="77777777" w:rsidR="00A00417" w:rsidRDefault="00A00417" w:rsidP="009A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272200"/>
      <w:docPartObj>
        <w:docPartGallery w:val="Page Numbers (Bottom of Page)"/>
        <w:docPartUnique/>
      </w:docPartObj>
    </w:sdtPr>
    <w:sdtEndPr>
      <w:rPr>
        <w:noProof/>
      </w:rPr>
    </w:sdtEndPr>
    <w:sdtContent>
      <w:p w14:paraId="4BE3459D" w14:textId="76A04EB3" w:rsidR="00C67445" w:rsidRPr="001679A3" w:rsidRDefault="001679A3" w:rsidP="001679A3">
        <w:pPr>
          <w:pStyle w:val="Footer"/>
          <w:jc w:val="center"/>
          <w:rPr>
            <w:rFonts w:ascii="Times New Roman" w:hAnsi="Times New Roman" w:cs="Times New Roman"/>
            <w:noProof/>
            <w:sz w:val="24"/>
            <w:szCs w:val="24"/>
          </w:rPr>
        </w:pPr>
        <w:r w:rsidRPr="00011697">
          <w:rPr>
            <w:rFonts w:ascii="Times New Roman" w:hAnsi="Times New Roman" w:cs="Times New Roman"/>
            <w:i/>
            <w:iCs/>
          </w:rPr>
          <w:t>May 23,</w:t>
        </w:r>
        <w:r w:rsidR="00011697">
          <w:rPr>
            <w:rFonts w:ascii="Times New Roman" w:hAnsi="Times New Roman" w:cs="Times New Roman"/>
            <w:i/>
            <w:iCs/>
          </w:rPr>
          <w:t xml:space="preserve"> </w:t>
        </w:r>
        <w:r w:rsidRPr="00011697">
          <w:rPr>
            <w:rFonts w:ascii="Times New Roman" w:hAnsi="Times New Roman" w:cs="Times New Roman"/>
            <w:i/>
            <w:iCs/>
          </w:rPr>
          <w:t>202</w:t>
        </w:r>
        <w:r w:rsidR="00011697">
          <w:rPr>
            <w:rFonts w:ascii="Times New Roman" w:hAnsi="Times New Roman" w:cs="Times New Roman"/>
            <w:i/>
            <w:iCs/>
          </w:rPr>
          <w:t>3</w:t>
        </w:r>
        <w:r>
          <w:tab/>
        </w:r>
        <w:r>
          <w:tab/>
        </w:r>
        <w:r w:rsidR="00C67445" w:rsidRPr="00290C4B">
          <w:rPr>
            <w:rFonts w:ascii="Times New Roman" w:hAnsi="Times New Roman" w:cs="Times New Roman"/>
            <w:sz w:val="24"/>
            <w:szCs w:val="24"/>
          </w:rPr>
          <w:fldChar w:fldCharType="begin"/>
        </w:r>
        <w:r w:rsidR="00C67445" w:rsidRPr="00290C4B">
          <w:rPr>
            <w:rFonts w:ascii="Times New Roman" w:hAnsi="Times New Roman" w:cs="Times New Roman"/>
            <w:sz w:val="24"/>
            <w:szCs w:val="24"/>
          </w:rPr>
          <w:instrText xml:space="preserve"> PAGE   \* MERGEFORMAT </w:instrText>
        </w:r>
        <w:r w:rsidR="00C67445" w:rsidRPr="00290C4B">
          <w:rPr>
            <w:rFonts w:ascii="Times New Roman" w:hAnsi="Times New Roman" w:cs="Times New Roman"/>
            <w:sz w:val="24"/>
            <w:szCs w:val="24"/>
          </w:rPr>
          <w:fldChar w:fldCharType="separate"/>
        </w:r>
        <w:r w:rsidR="001E3134">
          <w:rPr>
            <w:rFonts w:ascii="Times New Roman" w:hAnsi="Times New Roman" w:cs="Times New Roman"/>
            <w:noProof/>
            <w:sz w:val="24"/>
            <w:szCs w:val="24"/>
          </w:rPr>
          <w:t>14</w:t>
        </w:r>
        <w:r w:rsidR="00C67445" w:rsidRPr="00290C4B">
          <w:rPr>
            <w:rFonts w:ascii="Times New Roman" w:hAnsi="Times New Roman" w:cs="Times New Roman"/>
            <w:noProof/>
            <w:sz w:val="24"/>
            <w:szCs w:val="24"/>
          </w:rPr>
          <w:fldChar w:fldCharType="end"/>
        </w:r>
      </w:p>
    </w:sdtContent>
  </w:sdt>
  <w:p w14:paraId="07CCC0B7" w14:textId="1B955B7B" w:rsidR="00C67445" w:rsidRDefault="00C67445" w:rsidP="002A7A5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FF54E" w14:textId="12D89438" w:rsidR="00C67445" w:rsidRPr="005734E0" w:rsidRDefault="00C67445" w:rsidP="007E126C">
    <w:pPr>
      <w:pStyle w:val="Footer"/>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3D37" w14:textId="77777777" w:rsidR="00A00417" w:rsidRDefault="00A00417" w:rsidP="009A7A83">
      <w:pPr>
        <w:spacing w:after="0" w:line="240" w:lineRule="auto"/>
      </w:pPr>
      <w:r>
        <w:separator/>
      </w:r>
    </w:p>
  </w:footnote>
  <w:footnote w:type="continuationSeparator" w:id="0">
    <w:p w14:paraId="25E74FDB" w14:textId="77777777" w:rsidR="00A00417" w:rsidRDefault="00A00417" w:rsidP="009A7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1EC"/>
    <w:multiLevelType w:val="hybridMultilevel"/>
    <w:tmpl w:val="1DF6F0E6"/>
    <w:lvl w:ilvl="0" w:tplc="DD6650E6">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07D4B"/>
    <w:multiLevelType w:val="hybridMultilevel"/>
    <w:tmpl w:val="2674A4BA"/>
    <w:lvl w:ilvl="0" w:tplc="63C88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1E7C51"/>
    <w:multiLevelType w:val="hybridMultilevel"/>
    <w:tmpl w:val="E59042AA"/>
    <w:lvl w:ilvl="0" w:tplc="513E37FA">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8F58BF"/>
    <w:multiLevelType w:val="hybridMultilevel"/>
    <w:tmpl w:val="04268F5A"/>
    <w:lvl w:ilvl="0" w:tplc="F56A92D4">
      <w:start w:val="1"/>
      <w:numFmt w:val="lowerLetter"/>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4761D"/>
    <w:multiLevelType w:val="hybridMultilevel"/>
    <w:tmpl w:val="A7F8686A"/>
    <w:lvl w:ilvl="0" w:tplc="02F85E60">
      <w:start w:val="1"/>
      <w:numFmt w:val="lowerLetter"/>
      <w:lvlText w:val="%1."/>
      <w:lvlJc w:val="left"/>
      <w:pPr>
        <w:ind w:left="720" w:hanging="360"/>
      </w:pPr>
      <w:rPr>
        <w:rFonts w:ascii="Times New Roman" w:eastAsiaTheme="minorEastAsia"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75A9A"/>
    <w:multiLevelType w:val="hybridMultilevel"/>
    <w:tmpl w:val="4D6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73396"/>
    <w:multiLevelType w:val="hybridMultilevel"/>
    <w:tmpl w:val="2F540A4A"/>
    <w:lvl w:ilvl="0" w:tplc="6F6CFC82">
      <w:start w:val="1"/>
      <w:numFmt w:val="decimal"/>
      <w:lvlText w:val="%1."/>
      <w:lvlJc w:val="left"/>
      <w:pPr>
        <w:ind w:left="720" w:hanging="360"/>
      </w:pPr>
      <w:rPr>
        <w:rFonts w:hint="default"/>
        <w:b/>
        <w:color w:val="auto"/>
      </w:rPr>
    </w:lvl>
    <w:lvl w:ilvl="1" w:tplc="04090015">
      <w:start w:val="1"/>
      <w:numFmt w:val="upperLetter"/>
      <w:lvlText w:val="%2."/>
      <w:lvlJc w:val="left"/>
      <w:pPr>
        <w:ind w:left="1440" w:hanging="360"/>
      </w:pPr>
    </w:lvl>
    <w:lvl w:ilvl="2" w:tplc="04090013">
      <w:start w:val="1"/>
      <w:numFmt w:val="upperRoman"/>
      <w:lvlText w:val="%3."/>
      <w:lvlJc w:val="right"/>
      <w:pPr>
        <w:ind w:left="2160" w:hanging="180"/>
      </w:pPr>
      <w:rPr>
        <w:b w:val="0"/>
      </w:rPr>
    </w:lvl>
    <w:lvl w:ilvl="3" w:tplc="F7566722">
      <w:start w:val="1"/>
      <w:numFmt w:val="lowerLetter"/>
      <w:lvlText w:val="%4."/>
      <w:lvlJc w:val="left"/>
      <w:pPr>
        <w:ind w:left="2880" w:hanging="360"/>
      </w:pPr>
      <w:rPr>
        <w:b w:val="0"/>
        <w:bCs/>
      </w:rPr>
    </w:lvl>
    <w:lvl w:ilvl="4" w:tplc="A0CAE608">
      <w:start w:val="1"/>
      <w:numFmt w:val="decimal"/>
      <w:lvlText w:val="%5."/>
      <w:lvlJc w:val="left"/>
      <w:pPr>
        <w:ind w:left="3600" w:hanging="360"/>
      </w:pPr>
      <w:rPr>
        <w:rFonts w:ascii="Times New Roman" w:eastAsiaTheme="minorEastAsia"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E48DB"/>
    <w:multiLevelType w:val="hybridMultilevel"/>
    <w:tmpl w:val="E402BB02"/>
    <w:lvl w:ilvl="0" w:tplc="2714AD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F97124"/>
    <w:multiLevelType w:val="hybridMultilevel"/>
    <w:tmpl w:val="F30A7C20"/>
    <w:lvl w:ilvl="0" w:tplc="04090015">
      <w:start w:val="1"/>
      <w:numFmt w:val="upp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9" w15:restartNumberingAfterBreak="0">
    <w:nsid w:val="45C1311D"/>
    <w:multiLevelType w:val="hybridMultilevel"/>
    <w:tmpl w:val="274A9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00294"/>
    <w:multiLevelType w:val="hybridMultilevel"/>
    <w:tmpl w:val="ABEE6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C10D7"/>
    <w:multiLevelType w:val="hybridMultilevel"/>
    <w:tmpl w:val="403CC7A4"/>
    <w:lvl w:ilvl="0" w:tplc="1C9858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6A133F"/>
    <w:multiLevelType w:val="hybridMultilevel"/>
    <w:tmpl w:val="F624458E"/>
    <w:lvl w:ilvl="0" w:tplc="4F14215A">
      <w:start w:val="1"/>
      <w:numFmt w:val="decimal"/>
      <w:lvlText w:val="%1."/>
      <w:lvlJc w:val="left"/>
      <w:pPr>
        <w:ind w:left="580" w:hanging="360"/>
      </w:pPr>
      <w:rPr>
        <w:rFonts w:hint="default"/>
        <w:color w:val="0000FF" w:themeColor="hyperlink"/>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15:restartNumberingAfterBreak="0">
    <w:nsid w:val="7A0D0D69"/>
    <w:multiLevelType w:val="hybridMultilevel"/>
    <w:tmpl w:val="62C45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3"/>
  </w:num>
  <w:num w:numId="5">
    <w:abstractNumId w:val="9"/>
  </w:num>
  <w:num w:numId="6">
    <w:abstractNumId w:val="4"/>
  </w:num>
  <w:num w:numId="7">
    <w:abstractNumId w:val="7"/>
  </w:num>
  <w:num w:numId="8">
    <w:abstractNumId w:val="11"/>
  </w:num>
  <w:num w:numId="9">
    <w:abstractNumId w:val="0"/>
  </w:num>
  <w:num w:numId="10">
    <w:abstractNumId w:val="6"/>
  </w:num>
  <w:num w:numId="11">
    <w:abstractNumId w:val="12"/>
  </w:num>
  <w:num w:numId="12">
    <w:abstractNumId w:val="13"/>
  </w:num>
  <w:num w:numId="13">
    <w:abstractNumId w:val="8"/>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40"/>
    <w:rsid w:val="00001839"/>
    <w:rsid w:val="00001CDB"/>
    <w:rsid w:val="0000490D"/>
    <w:rsid w:val="00005CEF"/>
    <w:rsid w:val="00010A92"/>
    <w:rsid w:val="00011697"/>
    <w:rsid w:val="0001357F"/>
    <w:rsid w:val="00015728"/>
    <w:rsid w:val="0002169A"/>
    <w:rsid w:val="0002553C"/>
    <w:rsid w:val="00027535"/>
    <w:rsid w:val="000329AF"/>
    <w:rsid w:val="000338B4"/>
    <w:rsid w:val="00033AD6"/>
    <w:rsid w:val="0004344D"/>
    <w:rsid w:val="00053DC8"/>
    <w:rsid w:val="00060A81"/>
    <w:rsid w:val="00060C6E"/>
    <w:rsid w:val="0006614B"/>
    <w:rsid w:val="00070736"/>
    <w:rsid w:val="00070AFF"/>
    <w:rsid w:val="00073759"/>
    <w:rsid w:val="0007619E"/>
    <w:rsid w:val="0008176F"/>
    <w:rsid w:val="00086DA5"/>
    <w:rsid w:val="00094246"/>
    <w:rsid w:val="00095745"/>
    <w:rsid w:val="000A1B7E"/>
    <w:rsid w:val="000A2B7E"/>
    <w:rsid w:val="000A36DE"/>
    <w:rsid w:val="000B185B"/>
    <w:rsid w:val="000B1A3F"/>
    <w:rsid w:val="000B69EF"/>
    <w:rsid w:val="000C0BD3"/>
    <w:rsid w:val="000C0FB7"/>
    <w:rsid w:val="000C42B4"/>
    <w:rsid w:val="000C6428"/>
    <w:rsid w:val="000C7356"/>
    <w:rsid w:val="000D030E"/>
    <w:rsid w:val="000D1EB3"/>
    <w:rsid w:val="000D4F75"/>
    <w:rsid w:val="000D6751"/>
    <w:rsid w:val="000E0C89"/>
    <w:rsid w:val="000E260D"/>
    <w:rsid w:val="000F1829"/>
    <w:rsid w:val="000F2F79"/>
    <w:rsid w:val="00103158"/>
    <w:rsid w:val="001077AB"/>
    <w:rsid w:val="00115648"/>
    <w:rsid w:val="00122C50"/>
    <w:rsid w:val="001245D5"/>
    <w:rsid w:val="00124808"/>
    <w:rsid w:val="00125DD2"/>
    <w:rsid w:val="001263A0"/>
    <w:rsid w:val="00134179"/>
    <w:rsid w:val="00134274"/>
    <w:rsid w:val="00134616"/>
    <w:rsid w:val="00135A27"/>
    <w:rsid w:val="001409C7"/>
    <w:rsid w:val="00141DAB"/>
    <w:rsid w:val="001505F3"/>
    <w:rsid w:val="00150933"/>
    <w:rsid w:val="00151DFD"/>
    <w:rsid w:val="00155BC6"/>
    <w:rsid w:val="00156CA2"/>
    <w:rsid w:val="00165154"/>
    <w:rsid w:val="001666CB"/>
    <w:rsid w:val="00166CCC"/>
    <w:rsid w:val="001679A3"/>
    <w:rsid w:val="0017157E"/>
    <w:rsid w:val="00184658"/>
    <w:rsid w:val="001861EF"/>
    <w:rsid w:val="00187C8B"/>
    <w:rsid w:val="00192F91"/>
    <w:rsid w:val="00193CF8"/>
    <w:rsid w:val="00195876"/>
    <w:rsid w:val="00196920"/>
    <w:rsid w:val="001A1AB3"/>
    <w:rsid w:val="001A3894"/>
    <w:rsid w:val="001A47C6"/>
    <w:rsid w:val="001A7111"/>
    <w:rsid w:val="001B7764"/>
    <w:rsid w:val="001C0A33"/>
    <w:rsid w:val="001C106A"/>
    <w:rsid w:val="001C4662"/>
    <w:rsid w:val="001D06E1"/>
    <w:rsid w:val="001D2477"/>
    <w:rsid w:val="001D5FD6"/>
    <w:rsid w:val="001D68E7"/>
    <w:rsid w:val="001E19DE"/>
    <w:rsid w:val="001E2F9E"/>
    <w:rsid w:val="001E3134"/>
    <w:rsid w:val="001E5ECB"/>
    <w:rsid w:val="001E7790"/>
    <w:rsid w:val="001F4522"/>
    <w:rsid w:val="001F5860"/>
    <w:rsid w:val="001F7346"/>
    <w:rsid w:val="002024CC"/>
    <w:rsid w:val="002045DF"/>
    <w:rsid w:val="00207708"/>
    <w:rsid w:val="002108AA"/>
    <w:rsid w:val="0021138F"/>
    <w:rsid w:val="002131D9"/>
    <w:rsid w:val="00214CFA"/>
    <w:rsid w:val="00220443"/>
    <w:rsid w:val="0022668F"/>
    <w:rsid w:val="00231586"/>
    <w:rsid w:val="00233AD1"/>
    <w:rsid w:val="00234185"/>
    <w:rsid w:val="0024386F"/>
    <w:rsid w:val="00243B5F"/>
    <w:rsid w:val="00246357"/>
    <w:rsid w:val="002600E6"/>
    <w:rsid w:val="002605BB"/>
    <w:rsid w:val="0026142D"/>
    <w:rsid w:val="00263228"/>
    <w:rsid w:val="002634E6"/>
    <w:rsid w:val="002654C2"/>
    <w:rsid w:val="00265B79"/>
    <w:rsid w:val="0026756A"/>
    <w:rsid w:val="00270EA6"/>
    <w:rsid w:val="002719C7"/>
    <w:rsid w:val="00280478"/>
    <w:rsid w:val="00281D96"/>
    <w:rsid w:val="002827BD"/>
    <w:rsid w:val="00285817"/>
    <w:rsid w:val="002906A8"/>
    <w:rsid w:val="00290C4B"/>
    <w:rsid w:val="002A0FDC"/>
    <w:rsid w:val="002A1D36"/>
    <w:rsid w:val="002A41C2"/>
    <w:rsid w:val="002A478A"/>
    <w:rsid w:val="002A65CA"/>
    <w:rsid w:val="002A76D7"/>
    <w:rsid w:val="002A7A57"/>
    <w:rsid w:val="002A7E8C"/>
    <w:rsid w:val="002B2E71"/>
    <w:rsid w:val="002B2F9F"/>
    <w:rsid w:val="002B3588"/>
    <w:rsid w:val="002B655C"/>
    <w:rsid w:val="002C00E4"/>
    <w:rsid w:val="002C3F9A"/>
    <w:rsid w:val="002C4281"/>
    <w:rsid w:val="002C4D99"/>
    <w:rsid w:val="002C727B"/>
    <w:rsid w:val="002D0521"/>
    <w:rsid w:val="002D4962"/>
    <w:rsid w:val="002E27DF"/>
    <w:rsid w:val="002E5951"/>
    <w:rsid w:val="002E69AA"/>
    <w:rsid w:val="002F17D1"/>
    <w:rsid w:val="002F2712"/>
    <w:rsid w:val="002F2753"/>
    <w:rsid w:val="002F4274"/>
    <w:rsid w:val="002F63A0"/>
    <w:rsid w:val="002F79EF"/>
    <w:rsid w:val="00300493"/>
    <w:rsid w:val="00304111"/>
    <w:rsid w:val="003041B9"/>
    <w:rsid w:val="00307C2D"/>
    <w:rsid w:val="00321FA7"/>
    <w:rsid w:val="003275B6"/>
    <w:rsid w:val="003351BF"/>
    <w:rsid w:val="00335BA4"/>
    <w:rsid w:val="00337E36"/>
    <w:rsid w:val="00340479"/>
    <w:rsid w:val="00342A2A"/>
    <w:rsid w:val="00351550"/>
    <w:rsid w:val="0035202B"/>
    <w:rsid w:val="00353D52"/>
    <w:rsid w:val="003540B8"/>
    <w:rsid w:val="00355FB2"/>
    <w:rsid w:val="00360F07"/>
    <w:rsid w:val="00361676"/>
    <w:rsid w:val="003617D3"/>
    <w:rsid w:val="0036210A"/>
    <w:rsid w:val="003641E9"/>
    <w:rsid w:val="00364E31"/>
    <w:rsid w:val="00372FBF"/>
    <w:rsid w:val="003769F8"/>
    <w:rsid w:val="0038124F"/>
    <w:rsid w:val="00382E64"/>
    <w:rsid w:val="003872C9"/>
    <w:rsid w:val="003878C4"/>
    <w:rsid w:val="00392460"/>
    <w:rsid w:val="00392E46"/>
    <w:rsid w:val="003A08C7"/>
    <w:rsid w:val="003A1323"/>
    <w:rsid w:val="003A344B"/>
    <w:rsid w:val="003A710B"/>
    <w:rsid w:val="003A7C7D"/>
    <w:rsid w:val="003B1BD2"/>
    <w:rsid w:val="003B54F0"/>
    <w:rsid w:val="003C012C"/>
    <w:rsid w:val="003C3AEB"/>
    <w:rsid w:val="003C718A"/>
    <w:rsid w:val="003D01A4"/>
    <w:rsid w:val="003D1BA8"/>
    <w:rsid w:val="003D2BA3"/>
    <w:rsid w:val="003D370A"/>
    <w:rsid w:val="003D5898"/>
    <w:rsid w:val="003D6130"/>
    <w:rsid w:val="003D640B"/>
    <w:rsid w:val="003E026E"/>
    <w:rsid w:val="003E3942"/>
    <w:rsid w:val="003E4EAE"/>
    <w:rsid w:val="003E6543"/>
    <w:rsid w:val="003E7250"/>
    <w:rsid w:val="003E7952"/>
    <w:rsid w:val="003F4B7C"/>
    <w:rsid w:val="003F7FB0"/>
    <w:rsid w:val="00401A5A"/>
    <w:rsid w:val="00403C66"/>
    <w:rsid w:val="0041233F"/>
    <w:rsid w:val="0042753D"/>
    <w:rsid w:val="00430AB1"/>
    <w:rsid w:val="00431957"/>
    <w:rsid w:val="00432DBD"/>
    <w:rsid w:val="00436F42"/>
    <w:rsid w:val="0044147D"/>
    <w:rsid w:val="00444708"/>
    <w:rsid w:val="00444A59"/>
    <w:rsid w:val="00450B17"/>
    <w:rsid w:val="004518B0"/>
    <w:rsid w:val="004524BD"/>
    <w:rsid w:val="00457266"/>
    <w:rsid w:val="00462523"/>
    <w:rsid w:val="00462647"/>
    <w:rsid w:val="004655A9"/>
    <w:rsid w:val="0046583C"/>
    <w:rsid w:val="00465E7D"/>
    <w:rsid w:val="00470C0B"/>
    <w:rsid w:val="004713F8"/>
    <w:rsid w:val="0047296A"/>
    <w:rsid w:val="00472BAD"/>
    <w:rsid w:val="00472F30"/>
    <w:rsid w:val="00476AD3"/>
    <w:rsid w:val="00477416"/>
    <w:rsid w:val="00480C90"/>
    <w:rsid w:val="00481ED0"/>
    <w:rsid w:val="00487A08"/>
    <w:rsid w:val="004907A0"/>
    <w:rsid w:val="00492035"/>
    <w:rsid w:val="00493186"/>
    <w:rsid w:val="0049374D"/>
    <w:rsid w:val="0049787F"/>
    <w:rsid w:val="004A4179"/>
    <w:rsid w:val="004A4957"/>
    <w:rsid w:val="004A647D"/>
    <w:rsid w:val="004A7088"/>
    <w:rsid w:val="004B16F0"/>
    <w:rsid w:val="004B30CE"/>
    <w:rsid w:val="004B37DB"/>
    <w:rsid w:val="004B5001"/>
    <w:rsid w:val="004B5EC9"/>
    <w:rsid w:val="004B6A1A"/>
    <w:rsid w:val="004C0865"/>
    <w:rsid w:val="004C3D50"/>
    <w:rsid w:val="004C41FD"/>
    <w:rsid w:val="004C4686"/>
    <w:rsid w:val="004C4B1B"/>
    <w:rsid w:val="004C50D4"/>
    <w:rsid w:val="004C526D"/>
    <w:rsid w:val="004C52D3"/>
    <w:rsid w:val="004D1F7C"/>
    <w:rsid w:val="004E0015"/>
    <w:rsid w:val="004E041C"/>
    <w:rsid w:val="004E0835"/>
    <w:rsid w:val="004E2243"/>
    <w:rsid w:val="004E6DCE"/>
    <w:rsid w:val="004F0337"/>
    <w:rsid w:val="004F155A"/>
    <w:rsid w:val="004F58E8"/>
    <w:rsid w:val="004F5FE2"/>
    <w:rsid w:val="004F7A17"/>
    <w:rsid w:val="00500B7A"/>
    <w:rsid w:val="005014B7"/>
    <w:rsid w:val="00505A40"/>
    <w:rsid w:val="00515FE6"/>
    <w:rsid w:val="00516F13"/>
    <w:rsid w:val="005265E9"/>
    <w:rsid w:val="0053060F"/>
    <w:rsid w:val="005308A8"/>
    <w:rsid w:val="005310F1"/>
    <w:rsid w:val="00536DBE"/>
    <w:rsid w:val="00545150"/>
    <w:rsid w:val="00546702"/>
    <w:rsid w:val="005522C7"/>
    <w:rsid w:val="0055263A"/>
    <w:rsid w:val="00554B66"/>
    <w:rsid w:val="00555D96"/>
    <w:rsid w:val="0056267A"/>
    <w:rsid w:val="005673E1"/>
    <w:rsid w:val="0057066F"/>
    <w:rsid w:val="005712DD"/>
    <w:rsid w:val="005734E0"/>
    <w:rsid w:val="00573CCE"/>
    <w:rsid w:val="00575FB5"/>
    <w:rsid w:val="00576B18"/>
    <w:rsid w:val="00583B41"/>
    <w:rsid w:val="005850C4"/>
    <w:rsid w:val="00586E6D"/>
    <w:rsid w:val="0059022E"/>
    <w:rsid w:val="0059070F"/>
    <w:rsid w:val="00591AAC"/>
    <w:rsid w:val="0059245B"/>
    <w:rsid w:val="0059339A"/>
    <w:rsid w:val="005A487A"/>
    <w:rsid w:val="005B0496"/>
    <w:rsid w:val="005B09B0"/>
    <w:rsid w:val="005B5ABA"/>
    <w:rsid w:val="005B5B01"/>
    <w:rsid w:val="005C1A99"/>
    <w:rsid w:val="005C496E"/>
    <w:rsid w:val="005C4B01"/>
    <w:rsid w:val="005D0381"/>
    <w:rsid w:val="005D595E"/>
    <w:rsid w:val="005E54C3"/>
    <w:rsid w:val="005E7C87"/>
    <w:rsid w:val="005F666E"/>
    <w:rsid w:val="005F7C62"/>
    <w:rsid w:val="00600067"/>
    <w:rsid w:val="0060022C"/>
    <w:rsid w:val="00603688"/>
    <w:rsid w:val="00603B7A"/>
    <w:rsid w:val="00605FE8"/>
    <w:rsid w:val="00606E3A"/>
    <w:rsid w:val="00607262"/>
    <w:rsid w:val="00607BBF"/>
    <w:rsid w:val="00611B4A"/>
    <w:rsid w:val="00613075"/>
    <w:rsid w:val="006158B8"/>
    <w:rsid w:val="00620A1A"/>
    <w:rsid w:val="00622579"/>
    <w:rsid w:val="00622A1D"/>
    <w:rsid w:val="00623A09"/>
    <w:rsid w:val="00627404"/>
    <w:rsid w:val="00635380"/>
    <w:rsid w:val="00653E63"/>
    <w:rsid w:val="00655215"/>
    <w:rsid w:val="006615F8"/>
    <w:rsid w:val="0066214F"/>
    <w:rsid w:val="0066288C"/>
    <w:rsid w:val="00663B8B"/>
    <w:rsid w:val="00664BDC"/>
    <w:rsid w:val="00664D9D"/>
    <w:rsid w:val="006650FF"/>
    <w:rsid w:val="00665C07"/>
    <w:rsid w:val="006716E9"/>
    <w:rsid w:val="00677278"/>
    <w:rsid w:val="00677979"/>
    <w:rsid w:val="0068034A"/>
    <w:rsid w:val="00680FBE"/>
    <w:rsid w:val="00681445"/>
    <w:rsid w:val="00690C74"/>
    <w:rsid w:val="00692A2A"/>
    <w:rsid w:val="00696C92"/>
    <w:rsid w:val="006A3B67"/>
    <w:rsid w:val="006A787C"/>
    <w:rsid w:val="006B20B4"/>
    <w:rsid w:val="006B38EC"/>
    <w:rsid w:val="006B3ADA"/>
    <w:rsid w:val="006B4BD4"/>
    <w:rsid w:val="006B4DBF"/>
    <w:rsid w:val="006C3632"/>
    <w:rsid w:val="006C3F18"/>
    <w:rsid w:val="006C46FA"/>
    <w:rsid w:val="006C5E4B"/>
    <w:rsid w:val="006E0AED"/>
    <w:rsid w:val="006E519F"/>
    <w:rsid w:val="006E53AE"/>
    <w:rsid w:val="006E60E6"/>
    <w:rsid w:val="006F16CD"/>
    <w:rsid w:val="006F2F63"/>
    <w:rsid w:val="006F5BBF"/>
    <w:rsid w:val="00701529"/>
    <w:rsid w:val="0070212E"/>
    <w:rsid w:val="00702306"/>
    <w:rsid w:val="007035CA"/>
    <w:rsid w:val="00705D2B"/>
    <w:rsid w:val="00714F75"/>
    <w:rsid w:val="007266A6"/>
    <w:rsid w:val="00730C5D"/>
    <w:rsid w:val="00731DE2"/>
    <w:rsid w:val="007356CC"/>
    <w:rsid w:val="00735E37"/>
    <w:rsid w:val="00740E22"/>
    <w:rsid w:val="00741E80"/>
    <w:rsid w:val="007428F9"/>
    <w:rsid w:val="00743372"/>
    <w:rsid w:val="007453CB"/>
    <w:rsid w:val="00745ED6"/>
    <w:rsid w:val="0074727A"/>
    <w:rsid w:val="0075041D"/>
    <w:rsid w:val="007506EF"/>
    <w:rsid w:val="00750AC3"/>
    <w:rsid w:val="00757D47"/>
    <w:rsid w:val="00760FF1"/>
    <w:rsid w:val="0076141D"/>
    <w:rsid w:val="007645DF"/>
    <w:rsid w:val="0077337E"/>
    <w:rsid w:val="00775A72"/>
    <w:rsid w:val="00780766"/>
    <w:rsid w:val="00781E6D"/>
    <w:rsid w:val="00781E9B"/>
    <w:rsid w:val="0078508E"/>
    <w:rsid w:val="00785DFF"/>
    <w:rsid w:val="0078692D"/>
    <w:rsid w:val="007939EA"/>
    <w:rsid w:val="007A09AE"/>
    <w:rsid w:val="007A41C1"/>
    <w:rsid w:val="007B2D06"/>
    <w:rsid w:val="007B3BCC"/>
    <w:rsid w:val="007B4483"/>
    <w:rsid w:val="007B55F9"/>
    <w:rsid w:val="007C0707"/>
    <w:rsid w:val="007C2683"/>
    <w:rsid w:val="007C36EB"/>
    <w:rsid w:val="007C43A0"/>
    <w:rsid w:val="007C483F"/>
    <w:rsid w:val="007D36C0"/>
    <w:rsid w:val="007D6DCD"/>
    <w:rsid w:val="007D7E26"/>
    <w:rsid w:val="007E126C"/>
    <w:rsid w:val="007E1958"/>
    <w:rsid w:val="007E69F4"/>
    <w:rsid w:val="007F1FD6"/>
    <w:rsid w:val="007F4039"/>
    <w:rsid w:val="007F46D9"/>
    <w:rsid w:val="007F661B"/>
    <w:rsid w:val="007F6AF8"/>
    <w:rsid w:val="007F6DD4"/>
    <w:rsid w:val="00801447"/>
    <w:rsid w:val="00803772"/>
    <w:rsid w:val="00804794"/>
    <w:rsid w:val="008102DD"/>
    <w:rsid w:val="0081031A"/>
    <w:rsid w:val="00811B8A"/>
    <w:rsid w:val="00816AE7"/>
    <w:rsid w:val="00821917"/>
    <w:rsid w:val="00822356"/>
    <w:rsid w:val="00825949"/>
    <w:rsid w:val="00825F4A"/>
    <w:rsid w:val="00830ABC"/>
    <w:rsid w:val="00831651"/>
    <w:rsid w:val="00831AAF"/>
    <w:rsid w:val="00833D04"/>
    <w:rsid w:val="0083629C"/>
    <w:rsid w:val="0084042B"/>
    <w:rsid w:val="0084235F"/>
    <w:rsid w:val="0084572A"/>
    <w:rsid w:val="00845BD1"/>
    <w:rsid w:val="008460AF"/>
    <w:rsid w:val="00847FC7"/>
    <w:rsid w:val="00852279"/>
    <w:rsid w:val="00852EE7"/>
    <w:rsid w:val="00853877"/>
    <w:rsid w:val="00853FC8"/>
    <w:rsid w:val="00854BD0"/>
    <w:rsid w:val="00855FBA"/>
    <w:rsid w:val="00864D44"/>
    <w:rsid w:val="0086763F"/>
    <w:rsid w:val="0087055E"/>
    <w:rsid w:val="00870808"/>
    <w:rsid w:val="00874178"/>
    <w:rsid w:val="00874344"/>
    <w:rsid w:val="008770E2"/>
    <w:rsid w:val="00892BE0"/>
    <w:rsid w:val="00894929"/>
    <w:rsid w:val="00897094"/>
    <w:rsid w:val="008A036A"/>
    <w:rsid w:val="008A19A0"/>
    <w:rsid w:val="008B01A0"/>
    <w:rsid w:val="008B3A71"/>
    <w:rsid w:val="008B525F"/>
    <w:rsid w:val="008C4199"/>
    <w:rsid w:val="008C54E0"/>
    <w:rsid w:val="008C76F5"/>
    <w:rsid w:val="008C7DC1"/>
    <w:rsid w:val="008E2921"/>
    <w:rsid w:val="008F02CD"/>
    <w:rsid w:val="008F085C"/>
    <w:rsid w:val="008F2C68"/>
    <w:rsid w:val="008F3D90"/>
    <w:rsid w:val="008F4D2E"/>
    <w:rsid w:val="008F4E7D"/>
    <w:rsid w:val="009006EB"/>
    <w:rsid w:val="009038EB"/>
    <w:rsid w:val="009048FB"/>
    <w:rsid w:val="00905D76"/>
    <w:rsid w:val="00906117"/>
    <w:rsid w:val="00906A71"/>
    <w:rsid w:val="00907A62"/>
    <w:rsid w:val="00910A11"/>
    <w:rsid w:val="009160D4"/>
    <w:rsid w:val="00920E4C"/>
    <w:rsid w:val="00923170"/>
    <w:rsid w:val="00924DE3"/>
    <w:rsid w:val="00925B74"/>
    <w:rsid w:val="00925EBF"/>
    <w:rsid w:val="00933941"/>
    <w:rsid w:val="00936D34"/>
    <w:rsid w:val="00940DEC"/>
    <w:rsid w:val="00941445"/>
    <w:rsid w:val="00942559"/>
    <w:rsid w:val="009443CF"/>
    <w:rsid w:val="00945363"/>
    <w:rsid w:val="00947150"/>
    <w:rsid w:val="009509BD"/>
    <w:rsid w:val="00954A3D"/>
    <w:rsid w:val="00956B93"/>
    <w:rsid w:val="00960CD2"/>
    <w:rsid w:val="00963E32"/>
    <w:rsid w:val="00964F42"/>
    <w:rsid w:val="00965218"/>
    <w:rsid w:val="0096699E"/>
    <w:rsid w:val="009702C4"/>
    <w:rsid w:val="00987AEA"/>
    <w:rsid w:val="009939D3"/>
    <w:rsid w:val="00994253"/>
    <w:rsid w:val="009974F8"/>
    <w:rsid w:val="00997B0E"/>
    <w:rsid w:val="009A1A1D"/>
    <w:rsid w:val="009A1C26"/>
    <w:rsid w:val="009A1DC9"/>
    <w:rsid w:val="009A2327"/>
    <w:rsid w:val="009A7A83"/>
    <w:rsid w:val="009B32C2"/>
    <w:rsid w:val="009B4A9D"/>
    <w:rsid w:val="009B4C59"/>
    <w:rsid w:val="009C180C"/>
    <w:rsid w:val="009C284A"/>
    <w:rsid w:val="009C2F28"/>
    <w:rsid w:val="009C4065"/>
    <w:rsid w:val="009C57B5"/>
    <w:rsid w:val="009C7187"/>
    <w:rsid w:val="009D0C79"/>
    <w:rsid w:val="009D16C6"/>
    <w:rsid w:val="009D3589"/>
    <w:rsid w:val="009E0EC8"/>
    <w:rsid w:val="009E2F21"/>
    <w:rsid w:val="009E3F27"/>
    <w:rsid w:val="009E7F36"/>
    <w:rsid w:val="009F19CC"/>
    <w:rsid w:val="009F37B2"/>
    <w:rsid w:val="009F4AB6"/>
    <w:rsid w:val="00A000E9"/>
    <w:rsid w:val="00A00417"/>
    <w:rsid w:val="00A032FE"/>
    <w:rsid w:val="00A07FE1"/>
    <w:rsid w:val="00A12052"/>
    <w:rsid w:val="00A20C56"/>
    <w:rsid w:val="00A2761F"/>
    <w:rsid w:val="00A322C6"/>
    <w:rsid w:val="00A32C55"/>
    <w:rsid w:val="00A3325F"/>
    <w:rsid w:val="00A377E2"/>
    <w:rsid w:val="00A4499C"/>
    <w:rsid w:val="00A44D14"/>
    <w:rsid w:val="00A5144E"/>
    <w:rsid w:val="00A515DD"/>
    <w:rsid w:val="00A52A6A"/>
    <w:rsid w:val="00A54558"/>
    <w:rsid w:val="00A60809"/>
    <w:rsid w:val="00A620F6"/>
    <w:rsid w:val="00A742B1"/>
    <w:rsid w:val="00A81A85"/>
    <w:rsid w:val="00A8340C"/>
    <w:rsid w:val="00A83601"/>
    <w:rsid w:val="00A8413B"/>
    <w:rsid w:val="00A86331"/>
    <w:rsid w:val="00A93323"/>
    <w:rsid w:val="00A936EA"/>
    <w:rsid w:val="00A94ACC"/>
    <w:rsid w:val="00A965E6"/>
    <w:rsid w:val="00AA0AB4"/>
    <w:rsid w:val="00AA46E7"/>
    <w:rsid w:val="00AA4904"/>
    <w:rsid w:val="00AB04ED"/>
    <w:rsid w:val="00AB1B03"/>
    <w:rsid w:val="00AB3801"/>
    <w:rsid w:val="00AC375F"/>
    <w:rsid w:val="00AC5417"/>
    <w:rsid w:val="00AD0E94"/>
    <w:rsid w:val="00AD395B"/>
    <w:rsid w:val="00AD3A46"/>
    <w:rsid w:val="00AD3AB5"/>
    <w:rsid w:val="00AD7103"/>
    <w:rsid w:val="00AE488B"/>
    <w:rsid w:val="00AE5512"/>
    <w:rsid w:val="00AE5DDC"/>
    <w:rsid w:val="00AE7D4B"/>
    <w:rsid w:val="00AF012F"/>
    <w:rsid w:val="00AF048B"/>
    <w:rsid w:val="00AF14AC"/>
    <w:rsid w:val="00AF62D4"/>
    <w:rsid w:val="00B01DDE"/>
    <w:rsid w:val="00B026D0"/>
    <w:rsid w:val="00B04E8C"/>
    <w:rsid w:val="00B070A1"/>
    <w:rsid w:val="00B07405"/>
    <w:rsid w:val="00B109B4"/>
    <w:rsid w:val="00B125A7"/>
    <w:rsid w:val="00B13E27"/>
    <w:rsid w:val="00B14234"/>
    <w:rsid w:val="00B14FAF"/>
    <w:rsid w:val="00B22109"/>
    <w:rsid w:val="00B229A1"/>
    <w:rsid w:val="00B24030"/>
    <w:rsid w:val="00B26F46"/>
    <w:rsid w:val="00B34AF0"/>
    <w:rsid w:val="00B353CD"/>
    <w:rsid w:val="00B361EF"/>
    <w:rsid w:val="00B362FA"/>
    <w:rsid w:val="00B42DC0"/>
    <w:rsid w:val="00B44CDC"/>
    <w:rsid w:val="00B4517C"/>
    <w:rsid w:val="00B460EC"/>
    <w:rsid w:val="00B46B2F"/>
    <w:rsid w:val="00B50333"/>
    <w:rsid w:val="00B5143C"/>
    <w:rsid w:val="00B55525"/>
    <w:rsid w:val="00B656A0"/>
    <w:rsid w:val="00B65A58"/>
    <w:rsid w:val="00B6633C"/>
    <w:rsid w:val="00B6693D"/>
    <w:rsid w:val="00B66E91"/>
    <w:rsid w:val="00B670D6"/>
    <w:rsid w:val="00B74CAC"/>
    <w:rsid w:val="00B766A4"/>
    <w:rsid w:val="00B77106"/>
    <w:rsid w:val="00B831CB"/>
    <w:rsid w:val="00B84589"/>
    <w:rsid w:val="00B87CCC"/>
    <w:rsid w:val="00B942A3"/>
    <w:rsid w:val="00B96EEE"/>
    <w:rsid w:val="00BA227A"/>
    <w:rsid w:val="00BA3B5B"/>
    <w:rsid w:val="00BB0394"/>
    <w:rsid w:val="00BB4335"/>
    <w:rsid w:val="00BB6DC9"/>
    <w:rsid w:val="00BB70F7"/>
    <w:rsid w:val="00BC1809"/>
    <w:rsid w:val="00BC1F7F"/>
    <w:rsid w:val="00BC2C08"/>
    <w:rsid w:val="00BC3B16"/>
    <w:rsid w:val="00BC457F"/>
    <w:rsid w:val="00BD1154"/>
    <w:rsid w:val="00BD31A7"/>
    <w:rsid w:val="00BD5C5C"/>
    <w:rsid w:val="00BD7A92"/>
    <w:rsid w:val="00BE1930"/>
    <w:rsid w:val="00BE3015"/>
    <w:rsid w:val="00BE6634"/>
    <w:rsid w:val="00BF045A"/>
    <w:rsid w:val="00BF328D"/>
    <w:rsid w:val="00C00E1E"/>
    <w:rsid w:val="00C00F9A"/>
    <w:rsid w:val="00C0215D"/>
    <w:rsid w:val="00C02DB9"/>
    <w:rsid w:val="00C0396C"/>
    <w:rsid w:val="00C04417"/>
    <w:rsid w:val="00C05244"/>
    <w:rsid w:val="00C05F0F"/>
    <w:rsid w:val="00C116BA"/>
    <w:rsid w:val="00C12557"/>
    <w:rsid w:val="00C14496"/>
    <w:rsid w:val="00C16CAD"/>
    <w:rsid w:val="00C17948"/>
    <w:rsid w:val="00C22ECB"/>
    <w:rsid w:val="00C26385"/>
    <w:rsid w:val="00C351E2"/>
    <w:rsid w:val="00C35419"/>
    <w:rsid w:val="00C376C6"/>
    <w:rsid w:val="00C41B81"/>
    <w:rsid w:val="00C43BD2"/>
    <w:rsid w:val="00C4485F"/>
    <w:rsid w:val="00C44CF3"/>
    <w:rsid w:val="00C4543A"/>
    <w:rsid w:val="00C45D92"/>
    <w:rsid w:val="00C45FE0"/>
    <w:rsid w:val="00C622D3"/>
    <w:rsid w:val="00C66365"/>
    <w:rsid w:val="00C67445"/>
    <w:rsid w:val="00C70379"/>
    <w:rsid w:val="00C70402"/>
    <w:rsid w:val="00C90D6D"/>
    <w:rsid w:val="00C96E28"/>
    <w:rsid w:val="00CA06D8"/>
    <w:rsid w:val="00CA31F1"/>
    <w:rsid w:val="00CA3D6F"/>
    <w:rsid w:val="00CA419D"/>
    <w:rsid w:val="00CA585D"/>
    <w:rsid w:val="00CA6CB6"/>
    <w:rsid w:val="00CB304E"/>
    <w:rsid w:val="00CB4B00"/>
    <w:rsid w:val="00CB4FBD"/>
    <w:rsid w:val="00CC550F"/>
    <w:rsid w:val="00CD34E4"/>
    <w:rsid w:val="00CD764A"/>
    <w:rsid w:val="00CE2C85"/>
    <w:rsid w:val="00CE4506"/>
    <w:rsid w:val="00CE5FDF"/>
    <w:rsid w:val="00CF336F"/>
    <w:rsid w:val="00D036DD"/>
    <w:rsid w:val="00D03E13"/>
    <w:rsid w:val="00D07316"/>
    <w:rsid w:val="00D0790D"/>
    <w:rsid w:val="00D150D6"/>
    <w:rsid w:val="00D16FDF"/>
    <w:rsid w:val="00D233B4"/>
    <w:rsid w:val="00D2346E"/>
    <w:rsid w:val="00D260F7"/>
    <w:rsid w:val="00D30715"/>
    <w:rsid w:val="00D32B11"/>
    <w:rsid w:val="00D368E7"/>
    <w:rsid w:val="00D376B6"/>
    <w:rsid w:val="00D44B0D"/>
    <w:rsid w:val="00D44F7C"/>
    <w:rsid w:val="00D532F5"/>
    <w:rsid w:val="00D53B21"/>
    <w:rsid w:val="00D60413"/>
    <w:rsid w:val="00D60CAC"/>
    <w:rsid w:val="00D645C0"/>
    <w:rsid w:val="00D6516E"/>
    <w:rsid w:val="00D67AD7"/>
    <w:rsid w:val="00D7177C"/>
    <w:rsid w:val="00D71D3A"/>
    <w:rsid w:val="00D754D0"/>
    <w:rsid w:val="00D7644B"/>
    <w:rsid w:val="00D77E43"/>
    <w:rsid w:val="00D77F5D"/>
    <w:rsid w:val="00D8000E"/>
    <w:rsid w:val="00D80547"/>
    <w:rsid w:val="00D839ED"/>
    <w:rsid w:val="00D8715F"/>
    <w:rsid w:val="00DB3F3D"/>
    <w:rsid w:val="00DB4851"/>
    <w:rsid w:val="00DB5067"/>
    <w:rsid w:val="00DB5930"/>
    <w:rsid w:val="00DB5F97"/>
    <w:rsid w:val="00DB6FA8"/>
    <w:rsid w:val="00DC3232"/>
    <w:rsid w:val="00DC3658"/>
    <w:rsid w:val="00DC6367"/>
    <w:rsid w:val="00DC69BD"/>
    <w:rsid w:val="00DD68D6"/>
    <w:rsid w:val="00DE0CB3"/>
    <w:rsid w:val="00DE3960"/>
    <w:rsid w:val="00DE7676"/>
    <w:rsid w:val="00DF2079"/>
    <w:rsid w:val="00DF2155"/>
    <w:rsid w:val="00DF59F3"/>
    <w:rsid w:val="00E04238"/>
    <w:rsid w:val="00E045C0"/>
    <w:rsid w:val="00E06768"/>
    <w:rsid w:val="00E14C85"/>
    <w:rsid w:val="00E16659"/>
    <w:rsid w:val="00E20907"/>
    <w:rsid w:val="00E21F1F"/>
    <w:rsid w:val="00E23676"/>
    <w:rsid w:val="00E23FAB"/>
    <w:rsid w:val="00E25379"/>
    <w:rsid w:val="00E25C98"/>
    <w:rsid w:val="00E326CC"/>
    <w:rsid w:val="00E33BE4"/>
    <w:rsid w:val="00E34610"/>
    <w:rsid w:val="00E52671"/>
    <w:rsid w:val="00E54391"/>
    <w:rsid w:val="00E61252"/>
    <w:rsid w:val="00E61662"/>
    <w:rsid w:val="00E6619B"/>
    <w:rsid w:val="00E6678E"/>
    <w:rsid w:val="00E7147A"/>
    <w:rsid w:val="00E7357C"/>
    <w:rsid w:val="00E842B8"/>
    <w:rsid w:val="00E92A2A"/>
    <w:rsid w:val="00E92A98"/>
    <w:rsid w:val="00E962BF"/>
    <w:rsid w:val="00E967A7"/>
    <w:rsid w:val="00E969F3"/>
    <w:rsid w:val="00EA26F3"/>
    <w:rsid w:val="00EA28EB"/>
    <w:rsid w:val="00EA2998"/>
    <w:rsid w:val="00EA30D5"/>
    <w:rsid w:val="00EA3E01"/>
    <w:rsid w:val="00EA3F9C"/>
    <w:rsid w:val="00EA5D42"/>
    <w:rsid w:val="00EB0343"/>
    <w:rsid w:val="00EB39B7"/>
    <w:rsid w:val="00EB5678"/>
    <w:rsid w:val="00EB762E"/>
    <w:rsid w:val="00EC6389"/>
    <w:rsid w:val="00EC6933"/>
    <w:rsid w:val="00EC7674"/>
    <w:rsid w:val="00ED2A7E"/>
    <w:rsid w:val="00ED36FA"/>
    <w:rsid w:val="00ED585D"/>
    <w:rsid w:val="00ED5C76"/>
    <w:rsid w:val="00ED7C98"/>
    <w:rsid w:val="00EE4881"/>
    <w:rsid w:val="00EF315C"/>
    <w:rsid w:val="00EF5701"/>
    <w:rsid w:val="00EF6111"/>
    <w:rsid w:val="00EF7640"/>
    <w:rsid w:val="00F0524E"/>
    <w:rsid w:val="00F06E7E"/>
    <w:rsid w:val="00F075A7"/>
    <w:rsid w:val="00F11B35"/>
    <w:rsid w:val="00F16480"/>
    <w:rsid w:val="00F17EDB"/>
    <w:rsid w:val="00F23104"/>
    <w:rsid w:val="00F23D3C"/>
    <w:rsid w:val="00F24166"/>
    <w:rsid w:val="00F24188"/>
    <w:rsid w:val="00F27012"/>
    <w:rsid w:val="00F2737D"/>
    <w:rsid w:val="00F312DE"/>
    <w:rsid w:val="00F31AEB"/>
    <w:rsid w:val="00F32167"/>
    <w:rsid w:val="00F400F1"/>
    <w:rsid w:val="00F4026E"/>
    <w:rsid w:val="00F40936"/>
    <w:rsid w:val="00F41F57"/>
    <w:rsid w:val="00F4417B"/>
    <w:rsid w:val="00F45F4E"/>
    <w:rsid w:val="00F531DD"/>
    <w:rsid w:val="00F53968"/>
    <w:rsid w:val="00F53AA2"/>
    <w:rsid w:val="00F53E40"/>
    <w:rsid w:val="00F541A6"/>
    <w:rsid w:val="00F6324D"/>
    <w:rsid w:val="00F70FBD"/>
    <w:rsid w:val="00F7231E"/>
    <w:rsid w:val="00F73B19"/>
    <w:rsid w:val="00F76743"/>
    <w:rsid w:val="00F77AA7"/>
    <w:rsid w:val="00F815FD"/>
    <w:rsid w:val="00F827FD"/>
    <w:rsid w:val="00F84F59"/>
    <w:rsid w:val="00F9506F"/>
    <w:rsid w:val="00F96EFD"/>
    <w:rsid w:val="00FA1901"/>
    <w:rsid w:val="00FA2056"/>
    <w:rsid w:val="00FA46ED"/>
    <w:rsid w:val="00FA5223"/>
    <w:rsid w:val="00FA67EE"/>
    <w:rsid w:val="00FB08D5"/>
    <w:rsid w:val="00FB242D"/>
    <w:rsid w:val="00FB4C17"/>
    <w:rsid w:val="00FB4FDD"/>
    <w:rsid w:val="00FB56EA"/>
    <w:rsid w:val="00FB6A77"/>
    <w:rsid w:val="00FC1C4A"/>
    <w:rsid w:val="00FC22C4"/>
    <w:rsid w:val="00FC2482"/>
    <w:rsid w:val="00FC3523"/>
    <w:rsid w:val="00FC40CE"/>
    <w:rsid w:val="00FC415A"/>
    <w:rsid w:val="00FC54FA"/>
    <w:rsid w:val="00FC7BDB"/>
    <w:rsid w:val="00FD0133"/>
    <w:rsid w:val="00FD1A66"/>
    <w:rsid w:val="00FD2DE0"/>
    <w:rsid w:val="00FD4356"/>
    <w:rsid w:val="00FD4F22"/>
    <w:rsid w:val="00FE02AC"/>
    <w:rsid w:val="00FE1D10"/>
    <w:rsid w:val="00FE1F0F"/>
    <w:rsid w:val="00FE2201"/>
    <w:rsid w:val="00FE2F55"/>
    <w:rsid w:val="00FE4BBE"/>
    <w:rsid w:val="00FF1226"/>
    <w:rsid w:val="00FF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9EF155"/>
  <w15:docId w15:val="{706CA258-9C04-4E94-84E5-74240648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D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26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0A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81E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1B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460"/>
    <w:rPr>
      <w:rFonts w:ascii="Tahoma" w:hAnsi="Tahoma" w:cs="Tahoma"/>
      <w:sz w:val="16"/>
      <w:szCs w:val="16"/>
    </w:rPr>
  </w:style>
  <w:style w:type="character" w:styleId="Hyperlink">
    <w:name w:val="Hyperlink"/>
    <w:basedOn w:val="DefaultParagraphFont"/>
    <w:uiPriority w:val="99"/>
    <w:unhideWhenUsed/>
    <w:rsid w:val="00833D04"/>
    <w:rPr>
      <w:color w:val="0000FF" w:themeColor="hyperlink"/>
      <w:u w:val="single"/>
    </w:rPr>
  </w:style>
  <w:style w:type="paragraph" w:styleId="Header">
    <w:name w:val="header"/>
    <w:basedOn w:val="Normal"/>
    <w:link w:val="HeaderChar"/>
    <w:uiPriority w:val="99"/>
    <w:unhideWhenUsed/>
    <w:rsid w:val="009A7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A83"/>
  </w:style>
  <w:style w:type="paragraph" w:styleId="Footer">
    <w:name w:val="footer"/>
    <w:basedOn w:val="Normal"/>
    <w:link w:val="FooterChar"/>
    <w:uiPriority w:val="99"/>
    <w:unhideWhenUsed/>
    <w:rsid w:val="009A7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A83"/>
  </w:style>
  <w:style w:type="paragraph" w:styleId="FootnoteText">
    <w:name w:val="footnote text"/>
    <w:basedOn w:val="Normal"/>
    <w:link w:val="FootnoteTextChar"/>
    <w:uiPriority w:val="99"/>
    <w:semiHidden/>
    <w:unhideWhenUsed/>
    <w:rsid w:val="008047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794"/>
    <w:rPr>
      <w:sz w:val="20"/>
      <w:szCs w:val="20"/>
    </w:rPr>
  </w:style>
  <w:style w:type="character" w:styleId="FootnoteReference">
    <w:name w:val="footnote reference"/>
    <w:basedOn w:val="DefaultParagraphFont"/>
    <w:uiPriority w:val="99"/>
    <w:semiHidden/>
    <w:unhideWhenUsed/>
    <w:rsid w:val="00804794"/>
    <w:rPr>
      <w:vertAlign w:val="superscript"/>
    </w:rPr>
  </w:style>
  <w:style w:type="table" w:styleId="TableGrid">
    <w:name w:val="Table Grid"/>
    <w:basedOn w:val="TableNormal"/>
    <w:uiPriority w:val="59"/>
    <w:rsid w:val="006E6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72BAD"/>
    <w:pPr>
      <w:ind w:left="720"/>
      <w:contextualSpacing/>
    </w:pPr>
  </w:style>
  <w:style w:type="character" w:styleId="CommentReference">
    <w:name w:val="annotation reference"/>
    <w:basedOn w:val="DefaultParagraphFont"/>
    <w:uiPriority w:val="99"/>
    <w:semiHidden/>
    <w:unhideWhenUsed/>
    <w:rsid w:val="00C45D92"/>
    <w:rPr>
      <w:sz w:val="16"/>
      <w:szCs w:val="16"/>
    </w:rPr>
  </w:style>
  <w:style w:type="paragraph" w:styleId="CommentText">
    <w:name w:val="annotation text"/>
    <w:basedOn w:val="Normal"/>
    <w:link w:val="CommentTextChar"/>
    <w:uiPriority w:val="99"/>
    <w:unhideWhenUsed/>
    <w:rsid w:val="00C45D92"/>
    <w:pPr>
      <w:spacing w:line="240" w:lineRule="auto"/>
    </w:pPr>
    <w:rPr>
      <w:sz w:val="20"/>
      <w:szCs w:val="20"/>
    </w:rPr>
  </w:style>
  <w:style w:type="character" w:customStyle="1" w:styleId="CommentTextChar">
    <w:name w:val="Comment Text Char"/>
    <w:basedOn w:val="DefaultParagraphFont"/>
    <w:link w:val="CommentText"/>
    <w:uiPriority w:val="99"/>
    <w:rsid w:val="00C45D92"/>
    <w:rPr>
      <w:sz w:val="20"/>
      <w:szCs w:val="20"/>
    </w:rPr>
  </w:style>
  <w:style w:type="paragraph" w:styleId="CommentSubject">
    <w:name w:val="annotation subject"/>
    <w:basedOn w:val="CommentText"/>
    <w:next w:val="CommentText"/>
    <w:link w:val="CommentSubjectChar"/>
    <w:uiPriority w:val="99"/>
    <w:semiHidden/>
    <w:unhideWhenUsed/>
    <w:rsid w:val="00C45D92"/>
    <w:rPr>
      <w:b/>
      <w:bCs/>
    </w:rPr>
  </w:style>
  <w:style w:type="character" w:customStyle="1" w:styleId="CommentSubjectChar">
    <w:name w:val="Comment Subject Char"/>
    <w:basedOn w:val="CommentTextChar"/>
    <w:link w:val="CommentSubject"/>
    <w:uiPriority w:val="99"/>
    <w:semiHidden/>
    <w:rsid w:val="00C45D92"/>
    <w:rPr>
      <w:b/>
      <w:bCs/>
      <w:sz w:val="20"/>
      <w:szCs w:val="20"/>
    </w:rPr>
  </w:style>
  <w:style w:type="character" w:customStyle="1" w:styleId="sectionheadtitle1">
    <w:name w:val="sectionheadtitle1"/>
    <w:basedOn w:val="DefaultParagraphFont"/>
    <w:rsid w:val="0087055E"/>
    <w:rPr>
      <w:b/>
      <w:bCs/>
      <w:strike w:val="0"/>
      <w:dstrike w:val="0"/>
      <w:color w:val="5B5B5B"/>
      <w:sz w:val="29"/>
      <w:szCs w:val="29"/>
      <w:u w:val="none"/>
      <w:effect w:val="none"/>
    </w:rPr>
  </w:style>
  <w:style w:type="character" w:customStyle="1" w:styleId="Heading2Char">
    <w:name w:val="Heading 2 Char"/>
    <w:basedOn w:val="DefaultParagraphFont"/>
    <w:link w:val="Heading2"/>
    <w:uiPriority w:val="9"/>
    <w:rsid w:val="000E26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0A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1E6D"/>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7B2D0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B2D06"/>
    <w:pPr>
      <w:outlineLvl w:val="9"/>
    </w:pPr>
    <w:rPr>
      <w:lang w:eastAsia="ja-JP"/>
    </w:rPr>
  </w:style>
  <w:style w:type="paragraph" w:styleId="TOC2">
    <w:name w:val="toc 2"/>
    <w:basedOn w:val="Normal"/>
    <w:next w:val="Normal"/>
    <w:autoRedefine/>
    <w:uiPriority w:val="39"/>
    <w:unhideWhenUsed/>
    <w:rsid w:val="00CA419D"/>
    <w:pPr>
      <w:tabs>
        <w:tab w:val="left" w:pos="540"/>
        <w:tab w:val="right" w:leader="dot" w:pos="9350"/>
      </w:tabs>
      <w:spacing w:after="100"/>
      <w:ind w:left="220"/>
    </w:pPr>
    <w:rPr>
      <w:rFonts w:ascii="Times New Roman" w:hAnsi="Times New Roman" w:cs="Times New Roman"/>
      <w:noProof/>
    </w:rPr>
  </w:style>
  <w:style w:type="paragraph" w:styleId="TOC3">
    <w:name w:val="toc 3"/>
    <w:basedOn w:val="Normal"/>
    <w:next w:val="Normal"/>
    <w:autoRedefine/>
    <w:uiPriority w:val="39"/>
    <w:unhideWhenUsed/>
    <w:rsid w:val="007B2D06"/>
    <w:pPr>
      <w:spacing w:after="100"/>
      <w:ind w:left="440"/>
    </w:pPr>
  </w:style>
  <w:style w:type="paragraph" w:styleId="Title">
    <w:name w:val="Title"/>
    <w:basedOn w:val="Normal"/>
    <w:next w:val="Normal"/>
    <w:link w:val="TitleChar"/>
    <w:qFormat/>
    <w:rsid w:val="00AA0A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A0AB4"/>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6E0AED"/>
    <w:pPr>
      <w:tabs>
        <w:tab w:val="right" w:leader="dot" w:pos="9350"/>
      </w:tabs>
      <w:spacing w:after="100"/>
    </w:pPr>
    <w:rPr>
      <w:rFonts w:ascii="Times New Roman" w:hAnsi="Times New Roman" w:cs="Times New Roman"/>
      <w:noProof/>
      <w:sz w:val="24"/>
      <w:szCs w:val="24"/>
    </w:rPr>
  </w:style>
  <w:style w:type="character" w:styleId="FollowedHyperlink">
    <w:name w:val="FollowedHyperlink"/>
    <w:basedOn w:val="DefaultParagraphFont"/>
    <w:uiPriority w:val="99"/>
    <w:semiHidden/>
    <w:unhideWhenUsed/>
    <w:rsid w:val="00C05244"/>
    <w:rPr>
      <w:color w:val="800080" w:themeColor="followedHyperlink"/>
      <w:u w:val="single"/>
    </w:rPr>
  </w:style>
  <w:style w:type="paragraph" w:styleId="Revision">
    <w:name w:val="Revision"/>
    <w:hidden/>
    <w:uiPriority w:val="99"/>
    <w:semiHidden/>
    <w:rsid w:val="000C7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11323">
      <w:bodyDiv w:val="1"/>
      <w:marLeft w:val="0"/>
      <w:marRight w:val="0"/>
      <w:marTop w:val="0"/>
      <w:marBottom w:val="0"/>
      <w:divBdr>
        <w:top w:val="none" w:sz="0" w:space="0" w:color="auto"/>
        <w:left w:val="none" w:sz="0" w:space="0" w:color="auto"/>
        <w:bottom w:val="none" w:sz="0" w:space="0" w:color="auto"/>
        <w:right w:val="none" w:sz="0" w:space="0" w:color="auto"/>
      </w:divBdr>
    </w:div>
    <w:div w:id="1180773129">
      <w:bodyDiv w:val="1"/>
      <w:marLeft w:val="0"/>
      <w:marRight w:val="0"/>
      <w:marTop w:val="0"/>
      <w:marBottom w:val="0"/>
      <w:divBdr>
        <w:top w:val="none" w:sz="0" w:space="0" w:color="auto"/>
        <w:left w:val="none" w:sz="0" w:space="0" w:color="auto"/>
        <w:bottom w:val="none" w:sz="0" w:space="0" w:color="auto"/>
        <w:right w:val="none" w:sz="0" w:space="0" w:color="auto"/>
      </w:divBdr>
    </w:div>
    <w:div w:id="1245913669">
      <w:bodyDiv w:val="1"/>
      <w:marLeft w:val="0"/>
      <w:marRight w:val="0"/>
      <w:marTop w:val="0"/>
      <w:marBottom w:val="0"/>
      <w:divBdr>
        <w:top w:val="none" w:sz="0" w:space="0" w:color="auto"/>
        <w:left w:val="none" w:sz="0" w:space="0" w:color="auto"/>
        <w:bottom w:val="none" w:sz="0" w:space="0" w:color="auto"/>
        <w:right w:val="none" w:sz="0" w:space="0" w:color="auto"/>
      </w:divBdr>
    </w:div>
    <w:div w:id="1344092651">
      <w:bodyDiv w:val="1"/>
      <w:marLeft w:val="0"/>
      <w:marRight w:val="0"/>
      <w:marTop w:val="0"/>
      <w:marBottom w:val="0"/>
      <w:divBdr>
        <w:top w:val="none" w:sz="0" w:space="0" w:color="auto"/>
        <w:left w:val="none" w:sz="0" w:space="0" w:color="auto"/>
        <w:bottom w:val="none" w:sz="0" w:space="0" w:color="auto"/>
        <w:right w:val="none" w:sz="0" w:space="0" w:color="auto"/>
      </w:divBdr>
    </w:div>
    <w:div w:id="150342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4730/638053295011830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AEL@doe.virginia.gov" TargetMode="External"/><Relationship Id="rId4" Type="http://schemas.openxmlformats.org/officeDocument/2006/relationships/settings" Target="settings.xml"/><Relationship Id="rId9" Type="http://schemas.openxmlformats.org/officeDocument/2006/relationships/hyperlink" Target="mailto:OAEL@doe.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5B500-216F-4185-8AE0-C72459EA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4874</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End-of-Year Guidance 2020-2021</vt:lpstr>
    </vt:vector>
  </TitlesOfParts>
  <Company>Virginia IT Infrastructure Partnership</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End-of-Year Guidance 2022-2023</dc:title>
  <dc:creator>Thomas Suh</dc:creator>
  <cp:lastModifiedBy>Silver-pacuilla, Heidi (DOE)</cp:lastModifiedBy>
  <cp:revision>3</cp:revision>
  <cp:lastPrinted>2022-06-17T16:00:00Z</cp:lastPrinted>
  <dcterms:created xsi:type="dcterms:W3CDTF">2023-06-01T18:56:00Z</dcterms:created>
  <dcterms:modified xsi:type="dcterms:W3CDTF">2023-06-01T18:57:00Z</dcterms:modified>
</cp:coreProperties>
</file>