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71" w:type="dxa"/>
        <w:tblInd w:w="50" w:type="dxa"/>
        <w:tblCellMar>
          <w:top w:w="48" w:type="dxa"/>
          <w:left w:w="115" w:type="dxa"/>
          <w:right w:w="285" w:type="dxa"/>
        </w:tblCellMar>
        <w:tblLook w:val="04A0" w:firstRow="1" w:lastRow="0" w:firstColumn="1" w:lastColumn="0" w:noHBand="0" w:noVBand="1"/>
      </w:tblPr>
      <w:tblGrid>
        <w:gridCol w:w="9271"/>
      </w:tblGrid>
      <w:tr w:rsidR="00457E1C" w14:paraId="1ABCE9C3" w14:textId="77777777" w:rsidTr="00457E1C">
        <w:trPr>
          <w:trHeight w:val="1618"/>
        </w:trPr>
        <w:tc>
          <w:tcPr>
            <w:tcW w:w="9271" w:type="dxa"/>
            <w:tcBorders>
              <w:top w:val="double" w:sz="15" w:space="0" w:color="000000"/>
              <w:left w:val="double" w:sz="15" w:space="0" w:color="000000"/>
              <w:bottom w:val="double" w:sz="15" w:space="0" w:color="000000"/>
              <w:right w:val="double" w:sz="15" w:space="0" w:color="000000"/>
            </w:tcBorders>
          </w:tcPr>
          <w:p w14:paraId="67C41577" w14:textId="77777777" w:rsidR="00457E1C" w:rsidRPr="00457E1C" w:rsidRDefault="00457E1C" w:rsidP="00DF127F">
            <w:pPr>
              <w:spacing w:after="278"/>
              <w:ind w:right="996"/>
              <w:jc w:val="right"/>
              <w:rPr>
                <w:sz w:val="18"/>
                <w:szCs w:val="18"/>
              </w:rPr>
            </w:pPr>
            <w:bookmarkStart w:id="0" w:name="_GoBack"/>
            <w:bookmarkEnd w:id="0"/>
          </w:p>
          <w:p w14:paraId="68785B15" w14:textId="77777777" w:rsidR="00457E1C" w:rsidRDefault="00457E1C" w:rsidP="00CE3CB7">
            <w:pPr>
              <w:spacing w:after="0" w:line="240" w:lineRule="auto"/>
              <w:ind w:left="67" w:right="56"/>
              <w:jc w:val="center"/>
            </w:pPr>
            <w:r>
              <w:rPr>
                <w:noProof/>
              </w:rPr>
              <w:drawing>
                <wp:anchor distT="0" distB="0" distL="114300" distR="114300" simplePos="0" relativeHeight="251661312" behindDoc="0" locked="0" layoutInCell="1" allowOverlap="0" wp14:anchorId="5C6096A2" wp14:editId="007FB8EB">
                  <wp:simplePos x="0" y="0"/>
                  <wp:positionH relativeFrom="column">
                    <wp:posOffset>5037087</wp:posOffset>
                  </wp:positionH>
                  <wp:positionV relativeFrom="paragraph">
                    <wp:posOffset>-37173</wp:posOffset>
                  </wp:positionV>
                  <wp:extent cx="633095" cy="641769"/>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7"/>
                          <a:stretch>
                            <a:fillRect/>
                          </a:stretch>
                        </pic:blipFill>
                        <pic:spPr>
                          <a:xfrm>
                            <a:off x="0" y="0"/>
                            <a:ext cx="633095" cy="641769"/>
                          </a:xfrm>
                          <a:prstGeom prst="rect">
                            <a:avLst/>
                          </a:prstGeom>
                        </pic:spPr>
                      </pic:pic>
                    </a:graphicData>
                  </a:graphic>
                </wp:anchor>
              </w:drawing>
            </w:r>
            <w:r>
              <w:rPr>
                <w:rFonts w:eastAsia="Times New Roman" w:cs="Times New Roman"/>
                <w:b/>
                <w:sz w:val="36"/>
              </w:rPr>
              <w:t xml:space="preserve">Advisory Board on Teacher Education  </w:t>
            </w:r>
          </w:p>
          <w:p w14:paraId="42BF75B0" w14:textId="77777777" w:rsidR="00457E1C" w:rsidRDefault="00457E1C" w:rsidP="00CE3CB7">
            <w:pPr>
              <w:spacing w:after="0" w:line="240" w:lineRule="auto"/>
              <w:ind w:left="74" w:right="56"/>
              <w:jc w:val="center"/>
              <w:rPr>
                <w:rFonts w:eastAsia="Times New Roman" w:cs="Times New Roman"/>
                <w:color w:val="323E4F"/>
              </w:rPr>
            </w:pPr>
            <w:r>
              <w:rPr>
                <w:rFonts w:eastAsia="Times New Roman" w:cs="Times New Roman"/>
                <w:b/>
                <w:sz w:val="36"/>
              </w:rPr>
              <w:t>and Licensure</w:t>
            </w:r>
          </w:p>
          <w:p w14:paraId="194582F0" w14:textId="4403040E" w:rsidR="00457E1C" w:rsidRDefault="00457E1C" w:rsidP="00457E1C">
            <w:pPr>
              <w:spacing w:after="0"/>
              <w:ind w:left="74" w:right="56"/>
              <w:jc w:val="center"/>
            </w:pPr>
          </w:p>
        </w:tc>
      </w:tr>
    </w:tbl>
    <w:p w14:paraId="387CFFA7" w14:textId="77777777" w:rsidR="006E633D" w:rsidRPr="006E633D" w:rsidRDefault="006E633D" w:rsidP="003C08F7">
      <w:pPr>
        <w:autoSpaceDE w:val="0"/>
        <w:autoSpaceDN w:val="0"/>
        <w:adjustRightInd w:val="0"/>
        <w:spacing w:after="0"/>
        <w:ind w:left="1440" w:hanging="1440"/>
        <w:rPr>
          <w:rFonts w:eastAsia="Calibri" w:cs="Times New Roman"/>
          <w:b/>
          <w:szCs w:val="24"/>
        </w:rPr>
      </w:pPr>
    </w:p>
    <w:p w14:paraId="2E688768" w14:textId="2A58DC21" w:rsidR="000A7862" w:rsidRDefault="00E66685" w:rsidP="003C08F7">
      <w:pPr>
        <w:autoSpaceDE w:val="0"/>
        <w:autoSpaceDN w:val="0"/>
        <w:adjustRightInd w:val="0"/>
        <w:spacing w:after="0"/>
        <w:ind w:left="1440" w:hanging="1440"/>
        <w:rPr>
          <w:rFonts w:eastAsia="Calibri" w:cs="Times New Roman"/>
          <w:b/>
          <w:szCs w:val="24"/>
        </w:rPr>
      </w:pPr>
      <w:r>
        <w:rPr>
          <w:rFonts w:eastAsia="Calibri" w:cs="Times New Roman"/>
          <w:b/>
          <w:szCs w:val="24"/>
        </w:rPr>
        <w:t xml:space="preserve">AGENDA ITEM: </w:t>
      </w:r>
      <w:r w:rsidR="00A963BB">
        <w:rPr>
          <w:rFonts w:eastAsia="Calibri" w:cs="Times New Roman"/>
          <w:b/>
          <w:szCs w:val="24"/>
        </w:rPr>
        <w:t xml:space="preserve"> </w:t>
      </w:r>
      <w:r w:rsidR="00A963BB">
        <w:rPr>
          <w:rFonts w:eastAsia="Calibri" w:cs="Times New Roman"/>
          <w:b/>
          <w:szCs w:val="24"/>
        </w:rPr>
        <w:tab/>
      </w:r>
      <w:r w:rsidR="00EC0B9B">
        <w:rPr>
          <w:rFonts w:eastAsia="Calibri" w:cs="Times New Roman"/>
          <w:b/>
          <w:szCs w:val="24"/>
        </w:rPr>
        <w:t>1</w:t>
      </w:r>
    </w:p>
    <w:p w14:paraId="7B1F5D2C" w14:textId="77777777" w:rsidR="006E633D" w:rsidRPr="006E633D" w:rsidRDefault="00E66685" w:rsidP="003C08F7">
      <w:pPr>
        <w:autoSpaceDE w:val="0"/>
        <w:autoSpaceDN w:val="0"/>
        <w:adjustRightInd w:val="0"/>
        <w:spacing w:after="0"/>
        <w:ind w:left="1440" w:hanging="1440"/>
        <w:rPr>
          <w:rFonts w:eastAsia="Calibri" w:cs="Times New Roman"/>
          <w:b/>
          <w:szCs w:val="24"/>
        </w:rPr>
      </w:pPr>
      <w:r>
        <w:rPr>
          <w:rFonts w:eastAsia="Calibri" w:cs="Times New Roman"/>
          <w:b/>
          <w:szCs w:val="24"/>
        </w:rPr>
        <w:tab/>
      </w:r>
    </w:p>
    <w:p w14:paraId="7D464A41" w14:textId="1010AB9E" w:rsidR="006E633D" w:rsidRDefault="006E633D" w:rsidP="003C08F7">
      <w:pPr>
        <w:autoSpaceDE w:val="0"/>
        <w:autoSpaceDN w:val="0"/>
        <w:adjustRightInd w:val="0"/>
        <w:spacing w:after="0"/>
        <w:ind w:left="1440" w:hanging="1440"/>
        <w:rPr>
          <w:rFonts w:eastAsia="Calibri" w:cs="Times New Roman"/>
          <w:b/>
          <w:szCs w:val="24"/>
        </w:rPr>
      </w:pPr>
      <w:r w:rsidRPr="006E633D">
        <w:rPr>
          <w:rFonts w:eastAsia="Calibri" w:cs="Times New Roman"/>
          <w:b/>
          <w:szCs w:val="24"/>
        </w:rPr>
        <w:t xml:space="preserve">DATE:  </w:t>
      </w:r>
      <w:r w:rsidRPr="006E633D">
        <w:rPr>
          <w:rFonts w:eastAsia="Calibri" w:cs="Times New Roman"/>
          <w:b/>
          <w:szCs w:val="24"/>
        </w:rPr>
        <w:tab/>
      </w:r>
      <w:r w:rsidRPr="006E633D">
        <w:rPr>
          <w:rFonts w:eastAsia="Calibri" w:cs="Times New Roman"/>
          <w:b/>
          <w:szCs w:val="24"/>
        </w:rPr>
        <w:tab/>
      </w:r>
      <w:r w:rsidR="00EC0B9B">
        <w:rPr>
          <w:rFonts w:eastAsia="Calibri" w:cs="Times New Roman"/>
          <w:b/>
          <w:szCs w:val="24"/>
        </w:rPr>
        <w:t>April 18, 2022</w:t>
      </w:r>
    </w:p>
    <w:p w14:paraId="0C9BA7C3" w14:textId="77777777" w:rsidR="000A7862" w:rsidRPr="006E633D" w:rsidRDefault="000A7862" w:rsidP="003C08F7">
      <w:pPr>
        <w:autoSpaceDE w:val="0"/>
        <w:autoSpaceDN w:val="0"/>
        <w:adjustRightInd w:val="0"/>
        <w:spacing w:after="0"/>
        <w:ind w:left="1440" w:hanging="1440"/>
        <w:rPr>
          <w:rFonts w:eastAsia="Calibri" w:cs="Times New Roman"/>
          <w:b/>
          <w:szCs w:val="24"/>
        </w:rPr>
      </w:pPr>
    </w:p>
    <w:p w14:paraId="4A7F98F7" w14:textId="1527BC04" w:rsidR="00A963BB" w:rsidRPr="00A963BB" w:rsidRDefault="006E633D" w:rsidP="003C08F7">
      <w:pPr>
        <w:spacing w:after="0"/>
        <w:ind w:left="2160" w:hanging="2160"/>
        <w:rPr>
          <w:rFonts w:eastAsia="SymbolMT" w:cs="Times New Roman"/>
          <w:b/>
          <w:szCs w:val="24"/>
        </w:rPr>
      </w:pPr>
      <w:r w:rsidRPr="006E633D">
        <w:rPr>
          <w:rFonts w:eastAsia="Calibri" w:cs="Times New Roman"/>
          <w:b/>
          <w:szCs w:val="24"/>
        </w:rPr>
        <w:t>TOPIC:</w:t>
      </w:r>
      <w:r w:rsidR="00A963BB" w:rsidRPr="00A963BB">
        <w:rPr>
          <w:rFonts w:eastAsia="SymbolMT" w:cs="Times New Roman"/>
          <w:b/>
          <w:szCs w:val="24"/>
        </w:rPr>
        <w:t xml:space="preserve"> </w:t>
      </w:r>
      <w:r w:rsidR="00A963BB">
        <w:rPr>
          <w:rFonts w:eastAsia="SymbolMT" w:cs="Times New Roman"/>
          <w:b/>
          <w:szCs w:val="24"/>
        </w:rPr>
        <w:tab/>
      </w:r>
      <w:r w:rsidR="00EC0B9B">
        <w:rPr>
          <w:b/>
          <w:bCs/>
          <w:color w:val="000000"/>
        </w:rPr>
        <w:t xml:space="preserve">Review of Amendments to the </w:t>
      </w:r>
      <w:r w:rsidR="00EC0B9B">
        <w:rPr>
          <w:b/>
          <w:bCs/>
          <w:i/>
          <w:iCs/>
          <w:color w:val="000000"/>
        </w:rPr>
        <w:t>Licensure Regulations for School Personnel</w:t>
      </w:r>
      <w:r w:rsidR="00EC0B9B">
        <w:rPr>
          <w:b/>
          <w:bCs/>
          <w:color w:val="000000"/>
        </w:rPr>
        <w:t xml:space="preserve"> </w:t>
      </w:r>
      <w:r w:rsidR="00D12136" w:rsidRPr="00D12136">
        <w:rPr>
          <w:b/>
          <w:bCs/>
          <w:color w:val="000000"/>
        </w:rPr>
        <w:t xml:space="preserve">and </w:t>
      </w:r>
      <w:r w:rsidR="00D12136">
        <w:rPr>
          <w:b/>
          <w:bCs/>
          <w:i/>
          <w:color w:val="000000"/>
        </w:rPr>
        <w:t xml:space="preserve">Regulations Governing the Review and Approval of Education Programs in Virginia </w:t>
      </w:r>
      <w:r w:rsidR="00EC0B9B">
        <w:rPr>
          <w:b/>
          <w:bCs/>
          <w:color w:val="000000"/>
        </w:rPr>
        <w:t>to Comport with Federal Guidelines Related to Accredited Institutions of Higher Education</w:t>
      </w:r>
    </w:p>
    <w:p w14:paraId="1C1C0D41" w14:textId="77777777" w:rsidR="00A963BB" w:rsidRPr="00A963BB" w:rsidRDefault="00A963BB" w:rsidP="003C08F7">
      <w:pPr>
        <w:tabs>
          <w:tab w:val="left" w:pos="1620"/>
          <w:tab w:val="left" w:pos="1710"/>
        </w:tabs>
        <w:spacing w:after="0"/>
        <w:ind w:left="720"/>
        <w:rPr>
          <w:rFonts w:eastAsia="SymbolMT" w:cs="Times New Roman"/>
          <w:b/>
          <w:szCs w:val="24"/>
        </w:rPr>
      </w:pPr>
    </w:p>
    <w:p w14:paraId="7B354210" w14:textId="77777777" w:rsidR="00085808" w:rsidRPr="00AB7733" w:rsidRDefault="00085808" w:rsidP="003C08F7">
      <w:pPr>
        <w:pStyle w:val="NoSpacing"/>
        <w:spacing w:line="276" w:lineRule="auto"/>
        <w:rPr>
          <w:rFonts w:ascii="Times New Roman" w:hAnsi="Times New Roman" w:cs="Times New Roman"/>
          <w:b/>
          <w:sz w:val="24"/>
          <w:szCs w:val="24"/>
          <w:u w:val="single"/>
        </w:rPr>
      </w:pPr>
      <w:r w:rsidRPr="00AB7733">
        <w:rPr>
          <w:rFonts w:ascii="Times New Roman" w:hAnsi="Times New Roman" w:cs="Times New Roman"/>
          <w:b/>
          <w:sz w:val="24"/>
          <w:szCs w:val="24"/>
          <w:u w:val="single"/>
        </w:rPr>
        <w:t>Background</w:t>
      </w:r>
      <w:r w:rsidRPr="00FB53CA">
        <w:rPr>
          <w:rFonts w:ascii="Times New Roman" w:hAnsi="Times New Roman" w:cs="Times New Roman"/>
          <w:b/>
          <w:sz w:val="24"/>
          <w:szCs w:val="24"/>
        </w:rPr>
        <w:t xml:space="preserve">: </w:t>
      </w:r>
    </w:p>
    <w:p w14:paraId="686C7A3A" w14:textId="77777777" w:rsidR="00E45F9A" w:rsidRDefault="00EC0B9B" w:rsidP="00E45F9A">
      <w:pPr>
        <w:pBdr>
          <w:top w:val="nil"/>
          <w:left w:val="nil"/>
          <w:bottom w:val="nil"/>
          <w:right w:val="nil"/>
          <w:between w:val="nil"/>
        </w:pBdr>
        <w:spacing w:before="60" w:after="60"/>
      </w:pPr>
      <w:r>
        <w:t>The</w:t>
      </w:r>
      <w:r w:rsidR="00ED791C">
        <w:t xml:space="preserve"> </w:t>
      </w:r>
      <w:r w:rsidR="00103EE1">
        <w:rPr>
          <w:i/>
        </w:rPr>
        <w:t xml:space="preserve">Licensure Regulations for School Personnel </w:t>
      </w:r>
      <w:r w:rsidR="00103EE1" w:rsidRPr="00207D73">
        <w:t>(</w:t>
      </w:r>
      <w:hyperlink r:id="rId8" w:history="1">
        <w:r w:rsidR="00103EE1" w:rsidRPr="00002770">
          <w:rPr>
            <w:rStyle w:val="Hyperlink"/>
          </w:rPr>
          <w:t>8VAC20-23</w:t>
        </w:r>
      </w:hyperlink>
      <w:r w:rsidR="00103EE1" w:rsidRPr="00207D73">
        <w:t>)</w:t>
      </w:r>
      <w:r w:rsidR="00ED791C">
        <w:t xml:space="preserve"> </w:t>
      </w:r>
      <w:r w:rsidRPr="00EC0B9B">
        <w:t>set standards for the licensure of teachers, principals, superintendents, and other professional personnel</w:t>
      </w:r>
      <w:r w:rsidR="00D12136">
        <w:t xml:space="preserve"> in Virginia</w:t>
      </w:r>
      <w:r>
        <w:t>.</w:t>
      </w:r>
      <w:r w:rsidR="00103EE1">
        <w:t xml:space="preserve"> </w:t>
      </w:r>
      <w:r w:rsidR="0068405F">
        <w:t>The</w:t>
      </w:r>
      <w:r w:rsidR="0068405F" w:rsidRPr="00FF5C80">
        <w:rPr>
          <w:i/>
        </w:rPr>
        <w:t xml:space="preserve"> </w:t>
      </w:r>
      <w:r w:rsidR="0068405F" w:rsidRPr="00FF5C80">
        <w:rPr>
          <w:bCs/>
          <w:i/>
          <w:color w:val="000000"/>
        </w:rPr>
        <w:t>Regulations Governing the Review and Approval of Education Programs in Virginia</w:t>
      </w:r>
      <w:r w:rsidR="0068405F">
        <w:rPr>
          <w:bCs/>
          <w:color w:val="000000"/>
        </w:rPr>
        <w:t xml:space="preserve"> </w:t>
      </w:r>
      <w:r w:rsidR="00E45F9A">
        <w:rPr>
          <w:bCs/>
          <w:color w:val="000000"/>
        </w:rPr>
        <w:t>(</w:t>
      </w:r>
      <w:hyperlink r:id="rId9" w:history="1">
        <w:r w:rsidR="00E45F9A" w:rsidRPr="00E45F9A">
          <w:rPr>
            <w:rStyle w:val="Hyperlink"/>
            <w:bCs/>
          </w:rPr>
          <w:t>8VAC20-543</w:t>
        </w:r>
      </w:hyperlink>
      <w:r w:rsidR="00E45F9A">
        <w:rPr>
          <w:bCs/>
          <w:color w:val="000000"/>
        </w:rPr>
        <w:t>) set</w:t>
      </w:r>
      <w:r w:rsidR="0068405F">
        <w:rPr>
          <w:bCs/>
          <w:color w:val="000000"/>
        </w:rPr>
        <w:t xml:space="preserve"> the requirements for institutions of higher education to offer state-approved teacher preparation programs that lead to licensure</w:t>
      </w:r>
      <w:r w:rsidR="0068405F">
        <w:t>.</w:t>
      </w:r>
      <w:r w:rsidR="00E45F9A">
        <w:t xml:space="preserve"> </w:t>
      </w:r>
      <w:r w:rsidR="00D12136">
        <w:t xml:space="preserve">These regulations are prescribed by the Virginia Board of Education in alignment with </w:t>
      </w:r>
      <w:r w:rsidR="00E45F9A">
        <w:t xml:space="preserve">regulations and guidelines issued </w:t>
      </w:r>
      <w:r w:rsidR="00D12136">
        <w:t xml:space="preserve">by the United States Department of Education (USED). </w:t>
      </w:r>
    </w:p>
    <w:p w14:paraId="14033870" w14:textId="77777777" w:rsidR="00E45F9A" w:rsidRDefault="00E45F9A" w:rsidP="00E45F9A">
      <w:pPr>
        <w:pBdr>
          <w:top w:val="nil"/>
          <w:left w:val="nil"/>
          <w:bottom w:val="nil"/>
          <w:right w:val="nil"/>
          <w:between w:val="nil"/>
        </w:pBdr>
        <w:spacing w:before="60" w:after="60"/>
      </w:pPr>
    </w:p>
    <w:p w14:paraId="6E808E4D" w14:textId="4E2319F8" w:rsidR="007C1866" w:rsidRDefault="00D12136" w:rsidP="00E45F9A">
      <w:pPr>
        <w:pBdr>
          <w:top w:val="nil"/>
          <w:left w:val="nil"/>
          <w:bottom w:val="nil"/>
          <w:right w:val="nil"/>
          <w:between w:val="nil"/>
        </w:pBdr>
        <w:spacing w:before="60" w:after="60"/>
        <w:rPr>
          <w:rFonts w:eastAsia="Arial" w:cs="Times New Roman"/>
          <w:color w:val="000000"/>
        </w:rPr>
      </w:pPr>
      <w:r>
        <w:rPr>
          <w:rFonts w:eastAsia="Arial" w:cs="Times New Roman"/>
          <w:color w:val="000000"/>
        </w:rPr>
        <w:t xml:space="preserve">The USED has amended regulations </w:t>
      </w:r>
      <w:r w:rsidRPr="007C1866">
        <w:rPr>
          <w:rFonts w:eastAsia="Arial" w:cs="Times New Roman"/>
          <w:color w:val="000000"/>
        </w:rPr>
        <w:t>(</w:t>
      </w:r>
      <w:hyperlink r:id="rId10" w:tgtFrame="_blank" w:history="1">
        <w:r w:rsidRPr="007C1866">
          <w:rPr>
            <w:rStyle w:val="Hyperlink"/>
            <w:rFonts w:eastAsia="Arial" w:cs="Times New Roman"/>
          </w:rPr>
          <w:t>34 CFR 600</w:t>
        </w:r>
      </w:hyperlink>
      <w:r w:rsidRPr="007C1866">
        <w:rPr>
          <w:rFonts w:eastAsia="Arial" w:cs="Times New Roman"/>
          <w:color w:val="000000"/>
        </w:rPr>
        <w:t>) related to post-secondary institution accreditation</w:t>
      </w:r>
      <w:r>
        <w:rPr>
          <w:rFonts w:eastAsia="Arial" w:cs="Times New Roman"/>
          <w:color w:val="000000"/>
        </w:rPr>
        <w:t>.</w:t>
      </w:r>
      <w:r w:rsidR="00F9350F">
        <w:rPr>
          <w:rFonts w:eastAsia="Arial" w:cs="Times New Roman"/>
          <w:color w:val="000000"/>
        </w:rPr>
        <w:t xml:space="preserve"> </w:t>
      </w:r>
      <w:r w:rsidR="00F9350F" w:rsidRPr="007C1866">
        <w:rPr>
          <w:rFonts w:eastAsia="Arial" w:cs="Times New Roman"/>
          <w:color w:val="000000"/>
        </w:rPr>
        <w:t>Effective July 1, 2020, USED no longer categorizes accrediting agencies as "regional" or "national" but instead, includes them under a combined umbrella identified as "institutional" or "nationally recognized</w:t>
      </w:r>
      <w:r w:rsidR="00F9350F">
        <w:rPr>
          <w:rFonts w:eastAsia="Arial" w:cs="Times New Roman"/>
          <w:color w:val="000000"/>
        </w:rPr>
        <w:t xml:space="preserve">.” </w:t>
      </w:r>
      <w:r>
        <w:rPr>
          <w:rFonts w:eastAsia="Arial" w:cs="Times New Roman"/>
          <w:color w:val="000000"/>
        </w:rPr>
        <w:t xml:space="preserve"> </w:t>
      </w:r>
      <w:r w:rsidR="00E45F9A">
        <w:rPr>
          <w:rFonts w:eastAsia="Arial" w:cs="Times New Roman"/>
          <w:color w:val="000000"/>
        </w:rPr>
        <w:t xml:space="preserve">The summaries and comments in the </w:t>
      </w:r>
      <w:hyperlink r:id="rId11" w:history="1">
        <w:r w:rsidR="00E45F9A" w:rsidRPr="00F9350F">
          <w:rPr>
            <w:rStyle w:val="Hyperlink"/>
            <w:rFonts w:eastAsia="Arial" w:cs="Times New Roman"/>
          </w:rPr>
          <w:t>Federal Register</w:t>
        </w:r>
      </w:hyperlink>
      <w:r w:rsidR="00F9350F">
        <w:rPr>
          <w:rFonts w:eastAsia="Arial" w:cs="Times New Roman"/>
          <w:color w:val="000000"/>
        </w:rPr>
        <w:t xml:space="preserve"> provide further insight into the reasons behind the initiative, and analysis of the public comments, and the provisions for implementation. State agencies were notified by USED</w:t>
      </w:r>
      <w:r w:rsidR="000301BE">
        <w:rPr>
          <w:rFonts w:eastAsia="Arial" w:cs="Times New Roman"/>
          <w:color w:val="000000"/>
        </w:rPr>
        <w:t xml:space="preserve"> of these changes</w:t>
      </w:r>
      <w:r w:rsidR="00F9350F">
        <w:rPr>
          <w:rFonts w:eastAsia="Arial" w:cs="Times New Roman"/>
          <w:color w:val="000000"/>
        </w:rPr>
        <w:t xml:space="preserve"> to the federal regulations via a letter dated February 26, 2020</w:t>
      </w:r>
      <w:r w:rsidR="000301BE">
        <w:rPr>
          <w:rFonts w:eastAsia="Arial" w:cs="Times New Roman"/>
          <w:color w:val="000000"/>
        </w:rPr>
        <w:t>, which is attached</w:t>
      </w:r>
      <w:r w:rsidR="00736B91">
        <w:rPr>
          <w:rFonts w:eastAsia="Arial" w:cs="Times New Roman"/>
          <w:color w:val="000000"/>
        </w:rPr>
        <w:t xml:space="preserve"> (A)</w:t>
      </w:r>
      <w:r w:rsidR="00F9350F">
        <w:rPr>
          <w:rFonts w:eastAsia="Arial" w:cs="Times New Roman"/>
          <w:color w:val="000000"/>
        </w:rPr>
        <w:t xml:space="preserve">. </w:t>
      </w:r>
      <w:r w:rsidR="007C1866" w:rsidRPr="007C1866">
        <w:rPr>
          <w:rFonts w:eastAsia="Arial" w:cs="Times New Roman"/>
          <w:color w:val="000000"/>
        </w:rPr>
        <w:t xml:space="preserve">The Virginia Board of </w:t>
      </w:r>
      <w:r w:rsidRPr="007C1866">
        <w:rPr>
          <w:rFonts w:eastAsia="Arial" w:cs="Times New Roman"/>
          <w:color w:val="000000"/>
        </w:rPr>
        <w:t>Ed</w:t>
      </w:r>
      <w:r>
        <w:rPr>
          <w:rFonts w:eastAsia="Arial" w:cs="Times New Roman"/>
          <w:color w:val="000000"/>
        </w:rPr>
        <w:t>ucation’s</w:t>
      </w:r>
      <w:r w:rsidR="007C1866" w:rsidRPr="007C1866">
        <w:rPr>
          <w:rFonts w:eastAsia="Arial" w:cs="Times New Roman"/>
          <w:color w:val="000000"/>
        </w:rPr>
        <w:t> </w:t>
      </w:r>
      <w:r w:rsidR="007C1866" w:rsidRPr="00E45F9A">
        <w:rPr>
          <w:rFonts w:eastAsia="Arial" w:cs="Times New Roman"/>
          <w:i/>
          <w:color w:val="000000"/>
        </w:rPr>
        <w:t>Licensure Regulations for School Personnel</w:t>
      </w:r>
      <w:r w:rsidR="007C1866" w:rsidRPr="007C1866">
        <w:rPr>
          <w:rFonts w:eastAsia="Arial" w:cs="Times New Roman"/>
          <w:color w:val="000000"/>
        </w:rPr>
        <w:t> and </w:t>
      </w:r>
      <w:r w:rsidR="007C1866" w:rsidRPr="00E45F9A">
        <w:rPr>
          <w:rFonts w:eastAsia="Arial" w:cs="Times New Roman"/>
          <w:i/>
          <w:color w:val="000000"/>
        </w:rPr>
        <w:t>Regulations Governing the Review and Approval of Education Programs in Virginia</w:t>
      </w:r>
      <w:r w:rsidR="00F9350F">
        <w:rPr>
          <w:rFonts w:eastAsia="Arial" w:cs="Times New Roman"/>
          <w:color w:val="000000"/>
        </w:rPr>
        <w:t xml:space="preserve"> require </w:t>
      </w:r>
      <w:r w:rsidR="007C1866" w:rsidRPr="007C1866">
        <w:rPr>
          <w:rFonts w:eastAsia="Arial" w:cs="Times New Roman"/>
          <w:color w:val="000000"/>
        </w:rPr>
        <w:t xml:space="preserve">accreditation </w:t>
      </w:r>
      <w:r w:rsidR="00F9350F">
        <w:rPr>
          <w:rFonts w:eastAsia="Arial" w:cs="Times New Roman"/>
          <w:color w:val="000000"/>
        </w:rPr>
        <w:t xml:space="preserve">for institutions of higher education </w:t>
      </w:r>
      <w:r w:rsidR="007C1866" w:rsidRPr="007C1866">
        <w:rPr>
          <w:rFonts w:eastAsia="Arial" w:cs="Times New Roman"/>
          <w:color w:val="000000"/>
        </w:rPr>
        <w:t>by a regional accrediting agency and include the following definitions:</w:t>
      </w:r>
    </w:p>
    <w:p w14:paraId="42A6F79B" w14:textId="77777777" w:rsidR="00D12136" w:rsidRPr="007C1866" w:rsidRDefault="00D12136" w:rsidP="00D12136">
      <w:pPr>
        <w:pBdr>
          <w:top w:val="nil"/>
          <w:left w:val="nil"/>
          <w:bottom w:val="nil"/>
          <w:right w:val="nil"/>
          <w:between w:val="nil"/>
        </w:pBdr>
        <w:spacing w:before="60" w:after="60"/>
        <w:ind w:firstLine="360"/>
        <w:rPr>
          <w:rFonts w:eastAsia="Arial" w:cs="Times New Roman"/>
          <w:color w:val="000000"/>
        </w:rPr>
      </w:pPr>
    </w:p>
    <w:p w14:paraId="54E01084" w14:textId="77777777" w:rsidR="007C1866" w:rsidRPr="007C1866" w:rsidRDefault="007C1866" w:rsidP="00F9350F">
      <w:pPr>
        <w:pBdr>
          <w:top w:val="nil"/>
          <w:left w:val="nil"/>
          <w:bottom w:val="nil"/>
          <w:right w:val="nil"/>
          <w:between w:val="nil"/>
        </w:pBdr>
        <w:spacing w:before="60" w:after="60"/>
        <w:ind w:left="720" w:right="900"/>
        <w:rPr>
          <w:rFonts w:eastAsia="Arial" w:cs="Times New Roman"/>
          <w:color w:val="000000"/>
        </w:rPr>
      </w:pPr>
      <w:r w:rsidRPr="007C1866">
        <w:rPr>
          <w:rFonts w:eastAsia="Arial" w:cs="Times New Roman"/>
          <w:color w:val="000000"/>
        </w:rPr>
        <w:lastRenderedPageBreak/>
        <w:t>"Accredited institution" means an institution of higher education accredited by a regional accrediting agency recognized by the United States Department of Education.</w:t>
      </w:r>
    </w:p>
    <w:p w14:paraId="32E66B33" w14:textId="77777777" w:rsidR="007C1866" w:rsidRPr="007C1866" w:rsidRDefault="007C1866" w:rsidP="00F9350F">
      <w:pPr>
        <w:pBdr>
          <w:top w:val="nil"/>
          <w:left w:val="nil"/>
          <w:bottom w:val="nil"/>
          <w:right w:val="nil"/>
          <w:between w:val="nil"/>
        </w:pBdr>
        <w:spacing w:before="60" w:after="60"/>
        <w:ind w:left="720" w:right="900" w:firstLine="360"/>
        <w:rPr>
          <w:rFonts w:eastAsia="Arial" w:cs="Times New Roman"/>
          <w:color w:val="000000"/>
        </w:rPr>
      </w:pPr>
      <w:r w:rsidRPr="007C1866">
        <w:rPr>
          <w:rFonts w:eastAsia="Arial" w:cs="Times New Roman"/>
          <w:color w:val="000000"/>
        </w:rPr>
        <w:t> </w:t>
      </w:r>
    </w:p>
    <w:p w14:paraId="4CAB55CC" w14:textId="1FA1BC18" w:rsidR="007C1866" w:rsidRPr="007C1866" w:rsidRDefault="007C1866" w:rsidP="00F9350F">
      <w:pPr>
        <w:pBdr>
          <w:top w:val="nil"/>
          <w:left w:val="nil"/>
          <w:bottom w:val="nil"/>
          <w:right w:val="nil"/>
          <w:between w:val="nil"/>
        </w:pBdr>
        <w:spacing w:before="60" w:after="60"/>
        <w:ind w:left="720" w:right="900"/>
        <w:rPr>
          <w:rFonts w:eastAsia="Arial" w:cs="Times New Roman"/>
          <w:color w:val="000000"/>
        </w:rPr>
      </w:pPr>
      <w:r w:rsidRPr="007C1866">
        <w:rPr>
          <w:rFonts w:eastAsia="Arial" w:cs="Times New Roman"/>
          <w:color w:val="000000"/>
        </w:rPr>
        <w:t>"Regional accrediting agency" means one of the six accrediting associations recognized by the United States Department of Education as follows: New England Association of Schools and Colleges, Middle States Association of Colleges and Schools, North Central Association of Colleges and Schools, Northwest Commission on Colleges and Universities, Southern Association of Colleges and Schools, and Western Association o</w:t>
      </w:r>
      <w:r w:rsidR="00D12136">
        <w:rPr>
          <w:rFonts w:eastAsia="Arial" w:cs="Times New Roman"/>
          <w:color w:val="000000"/>
        </w:rPr>
        <w:t>f Schools and Colleges. [Note: </w:t>
      </w:r>
      <w:r w:rsidRPr="007C1866">
        <w:rPr>
          <w:rFonts w:eastAsia="Arial" w:cs="Times New Roman"/>
          <w:color w:val="000000"/>
        </w:rPr>
        <w:t xml:space="preserve">This definition appears only in </w:t>
      </w:r>
      <w:r w:rsidR="00D12136" w:rsidRPr="00D12136">
        <w:rPr>
          <w:rFonts w:eastAsia="Arial" w:cs="Times New Roman"/>
          <w:i/>
          <w:color w:val="000000"/>
        </w:rPr>
        <w:t>Regulations Governing the Review and Approval of Education Programs in Virginia</w:t>
      </w:r>
      <w:r w:rsidRPr="007C1866">
        <w:rPr>
          <w:rFonts w:eastAsia="Arial" w:cs="Times New Roman"/>
          <w:color w:val="000000"/>
        </w:rPr>
        <w:t>].</w:t>
      </w:r>
    </w:p>
    <w:p w14:paraId="5BA5E1E5" w14:textId="279C2FDC" w:rsidR="007C1866" w:rsidRDefault="007C1866" w:rsidP="00EA7C54">
      <w:pPr>
        <w:pBdr>
          <w:top w:val="nil"/>
          <w:left w:val="nil"/>
          <w:bottom w:val="nil"/>
          <w:right w:val="nil"/>
          <w:between w:val="nil"/>
        </w:pBdr>
        <w:spacing w:before="60" w:after="60"/>
        <w:ind w:firstLine="360"/>
        <w:rPr>
          <w:rFonts w:eastAsia="Arial" w:cs="Times New Roman"/>
          <w:color w:val="000000"/>
        </w:rPr>
      </w:pPr>
    </w:p>
    <w:p w14:paraId="45345CA5" w14:textId="0481F2AA" w:rsidR="00103EE1" w:rsidRPr="00D12136" w:rsidRDefault="00D12136" w:rsidP="00E45F9A">
      <w:pPr>
        <w:pBdr>
          <w:top w:val="nil"/>
          <w:left w:val="nil"/>
          <w:bottom w:val="nil"/>
          <w:right w:val="nil"/>
          <w:between w:val="nil"/>
        </w:pBdr>
        <w:spacing w:before="60" w:after="60"/>
        <w:rPr>
          <w:rFonts w:eastAsia="Arial" w:cs="Times New Roman"/>
          <w:color w:val="000000"/>
        </w:rPr>
      </w:pPr>
      <w:r w:rsidRPr="00D12136">
        <w:rPr>
          <w:rFonts w:eastAsia="Arial" w:cs="Times New Roman"/>
          <w:color w:val="000000"/>
        </w:rPr>
        <w:t xml:space="preserve">While the amendments to the federal regulations do not explicitly require states to amend their laws/policies/regulations, </w:t>
      </w:r>
      <w:r>
        <w:rPr>
          <w:rFonts w:eastAsia="Arial" w:cs="Times New Roman"/>
          <w:color w:val="000000"/>
        </w:rPr>
        <w:t>the Virginia Board of Education</w:t>
      </w:r>
      <w:r w:rsidRPr="00D12136">
        <w:rPr>
          <w:rFonts w:eastAsia="Arial" w:cs="Times New Roman"/>
          <w:color w:val="000000"/>
        </w:rPr>
        <w:t xml:space="preserve"> is no longer permitted to distinguish between regional and national accreditation in its requirements for teacher licensure or approval of education programs at </w:t>
      </w:r>
      <w:r w:rsidR="00F9350F">
        <w:rPr>
          <w:rFonts w:eastAsia="Arial" w:cs="Times New Roman"/>
          <w:color w:val="000000"/>
        </w:rPr>
        <w:t>Virginia institutions of higher education</w:t>
      </w:r>
      <w:r w:rsidR="00E45F9A">
        <w:rPr>
          <w:rFonts w:eastAsia="Arial" w:cs="Times New Roman"/>
          <w:color w:val="000000"/>
        </w:rPr>
        <w:t xml:space="preserve"> based on changes</w:t>
      </w:r>
      <w:r w:rsidR="00F27FDC">
        <w:rPr>
          <w:rFonts w:eastAsia="Arial" w:cs="Times New Roman"/>
          <w:color w:val="000000"/>
        </w:rPr>
        <w:t xml:space="preserve"> to </w:t>
      </w:r>
      <w:hyperlink r:id="rId12" w:tgtFrame="_blank" w:history="1">
        <w:r w:rsidR="00F27FDC" w:rsidRPr="007C1866">
          <w:rPr>
            <w:rStyle w:val="Hyperlink"/>
            <w:rFonts w:eastAsia="Arial" w:cs="Times New Roman"/>
          </w:rPr>
          <w:t>34 CFR 600</w:t>
        </w:r>
      </w:hyperlink>
      <w:r w:rsidR="00E45F9A">
        <w:rPr>
          <w:rFonts w:eastAsia="Arial" w:cs="Times New Roman"/>
          <w:color w:val="000000"/>
        </w:rPr>
        <w:t>.</w:t>
      </w:r>
    </w:p>
    <w:p w14:paraId="04D2F119" w14:textId="77777777" w:rsidR="00542EE2" w:rsidRPr="00ED791C" w:rsidRDefault="00542EE2" w:rsidP="00ED791C">
      <w:pPr>
        <w:shd w:val="clear" w:color="auto" w:fill="FFFFFF"/>
        <w:spacing w:after="0"/>
        <w:rPr>
          <w:rFonts w:eastAsia="Times New Roman" w:cs="Times New Roman"/>
          <w:bCs/>
          <w:iCs/>
          <w:szCs w:val="24"/>
        </w:rPr>
      </w:pPr>
    </w:p>
    <w:p w14:paraId="2B7806AD" w14:textId="1F9D895B" w:rsidR="00103EE1" w:rsidRDefault="00103EE1" w:rsidP="003C08F7">
      <w:pPr>
        <w:spacing w:after="0"/>
      </w:pPr>
      <w:r>
        <w:t>The</w:t>
      </w:r>
      <w:r w:rsidRPr="000D52C3">
        <w:t xml:space="preserve"> proposed amendments to the </w:t>
      </w:r>
      <w:r>
        <w:rPr>
          <w:i/>
        </w:rPr>
        <w:t>Licensure Regulations for School Personnel</w:t>
      </w:r>
      <w:r w:rsidRPr="000D52C3">
        <w:t xml:space="preserve"> </w:t>
      </w:r>
      <w:r w:rsidR="00D12136">
        <w:t xml:space="preserve">and </w:t>
      </w:r>
      <w:r w:rsidR="00D12136" w:rsidRPr="00D12136">
        <w:rPr>
          <w:bCs/>
          <w:i/>
        </w:rPr>
        <w:t>Regulations Governing the Review and Approval of Education Programs in Virginia</w:t>
      </w:r>
      <w:r w:rsidR="00D12136" w:rsidRPr="00D12136">
        <w:t xml:space="preserve"> </w:t>
      </w:r>
      <w:r w:rsidR="00D12136">
        <w:t>reflect</w:t>
      </w:r>
      <w:r w:rsidR="00ED791C">
        <w:t xml:space="preserve"> the changes that </w:t>
      </w:r>
      <w:r w:rsidR="000C4B47">
        <w:t>were</w:t>
      </w:r>
      <w:r w:rsidR="00ED791C">
        <w:t xml:space="preserve"> made </w:t>
      </w:r>
      <w:r w:rsidR="00D12136">
        <w:t>to the federal regulations</w:t>
      </w:r>
      <w:r w:rsidR="00ED791C">
        <w:t xml:space="preserve">. These </w:t>
      </w:r>
      <w:r w:rsidR="00E45F9A">
        <w:t xml:space="preserve">proposed </w:t>
      </w:r>
      <w:r w:rsidR="00ED791C">
        <w:t>amendments</w:t>
      </w:r>
      <w:r>
        <w:t xml:space="preserve"> </w:t>
      </w:r>
      <w:r w:rsidRPr="000D52C3">
        <w:t xml:space="preserve">will follow the fast-track rulemaking requirements of the Administrative Process Act (APA). </w:t>
      </w:r>
      <w:r>
        <w:t xml:space="preserve"> </w:t>
      </w:r>
      <w:hyperlink r:id="rId13" w:history="1">
        <w:r>
          <w:rPr>
            <w:rStyle w:val="Hyperlink"/>
          </w:rPr>
          <w:t>§ 2.2-4012.1</w:t>
        </w:r>
      </w:hyperlink>
      <w:r w:rsidRPr="000D52C3">
        <w:t xml:space="preserve"> of the </w:t>
      </w:r>
      <w:r w:rsidRPr="000D52C3">
        <w:rPr>
          <w:i/>
        </w:rPr>
        <w:t>Code of Virginia</w:t>
      </w:r>
      <w:r w:rsidRPr="000D52C3">
        <w:t xml:space="preserve"> provides that the fast-track rulemaking process may be followed for rules that are expected to be noncontroversial.</w:t>
      </w:r>
    </w:p>
    <w:p w14:paraId="36A4F656" w14:textId="77777777" w:rsidR="00085808" w:rsidRDefault="00085808" w:rsidP="003C08F7">
      <w:pPr>
        <w:spacing w:after="0"/>
        <w:rPr>
          <w:rStyle w:val="Heading2Char"/>
        </w:rPr>
      </w:pPr>
    </w:p>
    <w:p w14:paraId="718B12C3" w14:textId="77777777" w:rsidR="00FD58B4" w:rsidRDefault="00103EE1" w:rsidP="003C08F7">
      <w:pPr>
        <w:spacing w:after="0"/>
      </w:pPr>
      <w:r w:rsidRPr="000A7862">
        <w:rPr>
          <w:rStyle w:val="Heading2Char"/>
          <w:u w:val="single"/>
        </w:rPr>
        <w:t>Statutory Authority</w:t>
      </w:r>
      <w:r w:rsidRPr="00E7600A">
        <w:rPr>
          <w:rStyle w:val="Heading2Char"/>
        </w:rPr>
        <w:t>:</w:t>
      </w:r>
      <w:r w:rsidRPr="007503E8">
        <w:t xml:space="preserve"> </w:t>
      </w:r>
    </w:p>
    <w:p w14:paraId="7F5BB4A7" w14:textId="7939E59F" w:rsidR="00103EE1" w:rsidRDefault="003F5CEB" w:rsidP="003C08F7">
      <w:pPr>
        <w:spacing w:after="0"/>
        <w:rPr>
          <w:b/>
        </w:rPr>
      </w:pPr>
      <w:hyperlink r:id="rId14" w:anchor=":~:text=Regulations%20governing%20licensure.,A.&amp;text=The%20Board%20of%20Education%20shall,required%20to%20hold%20a%20license." w:history="1">
        <w:r w:rsidR="00103EE1" w:rsidRPr="006477DD">
          <w:rPr>
            <w:rStyle w:val="Hyperlink"/>
            <w:rFonts w:eastAsiaTheme="majorEastAsia" w:cs="Times New Roman"/>
            <w:szCs w:val="24"/>
          </w:rPr>
          <w:t>Section 22.1-298.1</w:t>
        </w:r>
      </w:hyperlink>
      <w:r w:rsidR="00103EE1" w:rsidRPr="006477DD">
        <w:rPr>
          <w:rStyle w:val="Heading2Char"/>
        </w:rPr>
        <w:t xml:space="preserve"> </w:t>
      </w:r>
      <w:r w:rsidR="00103EE1" w:rsidRPr="00E45F9A">
        <w:rPr>
          <w:rStyle w:val="Heading2Char"/>
          <w:b w:val="0"/>
        </w:rPr>
        <w:t xml:space="preserve">of the </w:t>
      </w:r>
      <w:r w:rsidR="00103EE1" w:rsidRPr="00E45F9A">
        <w:rPr>
          <w:rStyle w:val="Heading2Char"/>
          <w:b w:val="0"/>
          <w:i/>
        </w:rPr>
        <w:t>Code of Virginia</w:t>
      </w:r>
      <w:r w:rsidR="00103EE1" w:rsidRPr="00E45F9A">
        <w:rPr>
          <w:rStyle w:val="Heading2Char"/>
          <w:b w:val="0"/>
        </w:rPr>
        <w:t xml:space="preserve"> provides, in part</w:t>
      </w:r>
      <w:r w:rsidR="00103EE1" w:rsidRPr="00E45F9A">
        <w:rPr>
          <w:b/>
        </w:rPr>
        <w:t>:</w:t>
      </w:r>
    </w:p>
    <w:p w14:paraId="70F42902" w14:textId="77777777" w:rsidR="00F74A96" w:rsidRDefault="00F74A96" w:rsidP="003C08F7">
      <w:pPr>
        <w:spacing w:after="0"/>
      </w:pPr>
    </w:p>
    <w:p w14:paraId="7C2E6792" w14:textId="77777777" w:rsidR="00103EE1" w:rsidRPr="006B6A8D" w:rsidRDefault="00103EE1" w:rsidP="003C08F7">
      <w:pPr>
        <w:pBdr>
          <w:top w:val="single" w:sz="4" w:space="1" w:color="auto"/>
          <w:left w:val="single" w:sz="4" w:space="4" w:color="auto"/>
          <w:bottom w:val="single" w:sz="4" w:space="0" w:color="auto"/>
          <w:right w:val="single" w:sz="4" w:space="4" w:color="auto"/>
        </w:pBdr>
        <w:spacing w:after="0"/>
        <w:rPr>
          <w:szCs w:val="24"/>
        </w:rPr>
      </w:pPr>
      <w:r w:rsidRPr="006B6A8D">
        <w:rPr>
          <w:szCs w:val="24"/>
        </w:rPr>
        <w:t>B. The Board of Education shall prescribe, by regulation, the requirements for the licensure of teachers and other school personnel required to hold a license.</w:t>
      </w:r>
    </w:p>
    <w:p w14:paraId="1B484474" w14:textId="3AAE81F9" w:rsidR="00542EE2" w:rsidRDefault="00542EE2" w:rsidP="003C08F7">
      <w:pPr>
        <w:spacing w:after="0"/>
      </w:pPr>
    </w:p>
    <w:p w14:paraId="1AA54FEF" w14:textId="5B561686" w:rsidR="0068405F" w:rsidRPr="00E45F9A" w:rsidRDefault="00E45F9A" w:rsidP="0068405F">
      <w:pPr>
        <w:spacing w:after="0"/>
        <w:rPr>
          <w:b/>
        </w:rPr>
      </w:pPr>
      <w:r>
        <w:t xml:space="preserve">In addition, </w:t>
      </w:r>
      <w:hyperlink r:id="rId15" w:history="1">
        <w:r w:rsidR="0068405F" w:rsidRPr="0068405F">
          <w:rPr>
            <w:rStyle w:val="Hyperlink"/>
          </w:rPr>
          <w:t xml:space="preserve">Section </w:t>
        </w:r>
        <w:r w:rsidR="0068405F" w:rsidRPr="0068405F">
          <w:rPr>
            <w:rStyle w:val="Hyperlink"/>
            <w:rFonts w:eastAsiaTheme="majorEastAsia" w:cs="Times New Roman"/>
            <w:szCs w:val="24"/>
          </w:rPr>
          <w:t>22.1-298.2</w:t>
        </w:r>
      </w:hyperlink>
      <w:r w:rsidR="0068405F" w:rsidRPr="006477DD">
        <w:rPr>
          <w:rStyle w:val="Heading2Char"/>
        </w:rPr>
        <w:t xml:space="preserve"> </w:t>
      </w:r>
      <w:r w:rsidR="0068405F" w:rsidRPr="00E45F9A">
        <w:rPr>
          <w:rStyle w:val="Heading2Char"/>
          <w:b w:val="0"/>
        </w:rPr>
        <w:t xml:space="preserve">of the </w:t>
      </w:r>
      <w:r w:rsidR="0068405F" w:rsidRPr="00E45F9A">
        <w:rPr>
          <w:rStyle w:val="Heading2Char"/>
          <w:b w:val="0"/>
          <w:i/>
        </w:rPr>
        <w:t>Code of Virginia</w:t>
      </w:r>
      <w:r w:rsidR="0068405F" w:rsidRPr="00E45F9A">
        <w:rPr>
          <w:rStyle w:val="Heading2Char"/>
          <w:b w:val="0"/>
        </w:rPr>
        <w:t xml:space="preserve"> provides, in part</w:t>
      </w:r>
      <w:r w:rsidR="0068405F" w:rsidRPr="00E45F9A">
        <w:rPr>
          <w:b/>
        </w:rPr>
        <w:t>:</w:t>
      </w:r>
    </w:p>
    <w:p w14:paraId="663F4928" w14:textId="77777777" w:rsidR="0068405F" w:rsidRDefault="0068405F" w:rsidP="0068405F">
      <w:pPr>
        <w:spacing w:after="0"/>
      </w:pPr>
    </w:p>
    <w:p w14:paraId="24E6689D" w14:textId="754923A0" w:rsidR="0068405F" w:rsidRPr="006B6A8D" w:rsidRDefault="0068405F" w:rsidP="0068405F">
      <w:pPr>
        <w:pBdr>
          <w:top w:val="single" w:sz="4" w:space="1" w:color="auto"/>
          <w:left w:val="single" w:sz="4" w:space="4" w:color="auto"/>
          <w:bottom w:val="single" w:sz="4" w:space="0" w:color="auto"/>
          <w:right w:val="single" w:sz="4" w:space="4" w:color="auto"/>
        </w:pBdr>
        <w:spacing w:after="0"/>
        <w:rPr>
          <w:szCs w:val="24"/>
        </w:rPr>
      </w:pPr>
      <w:r w:rsidRPr="0068405F">
        <w:rPr>
          <w:szCs w:val="24"/>
        </w:rPr>
        <w:t>B. Education preparation programs shall meet the requirements for accreditation and program approval as prescribed by the Board of Education in its regulations.</w:t>
      </w:r>
    </w:p>
    <w:p w14:paraId="53BD0B57" w14:textId="370E6F5A" w:rsidR="0068405F" w:rsidRDefault="0068405F" w:rsidP="003C08F7">
      <w:pPr>
        <w:spacing w:after="0"/>
      </w:pPr>
    </w:p>
    <w:p w14:paraId="159F241A" w14:textId="26E8D007" w:rsidR="00F27FDC" w:rsidRPr="000301BE" w:rsidRDefault="00685998" w:rsidP="000301BE">
      <w:pPr>
        <w:spacing w:after="0"/>
        <w:rPr>
          <w:rFonts w:cs="Times New Roman"/>
          <w:szCs w:val="24"/>
        </w:rPr>
      </w:pPr>
      <w:r>
        <w:rPr>
          <w:rFonts w:cs="Times New Roman"/>
          <w:szCs w:val="24"/>
        </w:rPr>
        <w:t>T</w:t>
      </w:r>
      <w:r w:rsidR="00FF5C80">
        <w:rPr>
          <w:rFonts w:cs="Times New Roman"/>
          <w:szCs w:val="24"/>
        </w:rPr>
        <w:t>he change</w:t>
      </w:r>
      <w:r w:rsidR="0068405F">
        <w:rPr>
          <w:rFonts w:cs="Times New Roman"/>
          <w:szCs w:val="24"/>
        </w:rPr>
        <w:t>s</w:t>
      </w:r>
      <w:r w:rsidR="00FF5C80">
        <w:rPr>
          <w:rFonts w:cs="Times New Roman"/>
          <w:szCs w:val="24"/>
        </w:rPr>
        <w:t xml:space="preserve"> to the definition</w:t>
      </w:r>
      <w:r w:rsidR="0068405F">
        <w:rPr>
          <w:rFonts w:cs="Times New Roman"/>
          <w:szCs w:val="24"/>
        </w:rPr>
        <w:t>s</w:t>
      </w:r>
      <w:r w:rsidR="00FF5C80">
        <w:rPr>
          <w:rFonts w:cs="Times New Roman"/>
          <w:szCs w:val="24"/>
        </w:rPr>
        <w:t xml:space="preserve"> of “accredited institutions</w:t>
      </w:r>
      <w:r w:rsidR="0068405F">
        <w:rPr>
          <w:rFonts w:cs="Times New Roman"/>
          <w:szCs w:val="24"/>
        </w:rPr>
        <w:t xml:space="preserve">” </w:t>
      </w:r>
      <w:r w:rsidR="00704DEC">
        <w:rPr>
          <w:rFonts w:cs="Times New Roman"/>
          <w:szCs w:val="24"/>
        </w:rPr>
        <w:t xml:space="preserve">within the </w:t>
      </w:r>
      <w:r w:rsidR="00FF5C80">
        <w:rPr>
          <w:rFonts w:cs="Times New Roman"/>
          <w:szCs w:val="24"/>
        </w:rPr>
        <w:t>federal regulations</w:t>
      </w:r>
      <w:r>
        <w:rPr>
          <w:rFonts w:cs="Times New Roman"/>
          <w:szCs w:val="24"/>
        </w:rPr>
        <w:t xml:space="preserve"> require</w:t>
      </w:r>
      <w:r w:rsidRPr="004E7AF2">
        <w:rPr>
          <w:rFonts w:cs="Times New Roman"/>
          <w:szCs w:val="24"/>
        </w:rPr>
        <w:t xml:space="preserve"> </w:t>
      </w:r>
      <w:r w:rsidR="0068405F">
        <w:rPr>
          <w:rFonts w:cs="Times New Roman"/>
          <w:szCs w:val="24"/>
        </w:rPr>
        <w:t xml:space="preserve">both </w:t>
      </w:r>
      <w:r w:rsidRPr="004E7AF2">
        <w:rPr>
          <w:rFonts w:cs="Times New Roman"/>
          <w:szCs w:val="24"/>
        </w:rPr>
        <w:t xml:space="preserve">the </w:t>
      </w:r>
      <w:r w:rsidRPr="004E7AF2">
        <w:rPr>
          <w:rFonts w:cs="Times New Roman"/>
          <w:i/>
          <w:szCs w:val="24"/>
        </w:rPr>
        <w:t>Licensure R</w:t>
      </w:r>
      <w:r w:rsidR="00FF5C80">
        <w:rPr>
          <w:rFonts w:cs="Times New Roman"/>
          <w:i/>
          <w:szCs w:val="24"/>
        </w:rPr>
        <w:t>egulations for School Personnel</w:t>
      </w:r>
      <w:r w:rsidRPr="004E7AF2">
        <w:rPr>
          <w:rFonts w:cs="Times New Roman"/>
          <w:szCs w:val="24"/>
        </w:rPr>
        <w:t xml:space="preserve"> </w:t>
      </w:r>
      <w:r w:rsidR="0068405F">
        <w:rPr>
          <w:rFonts w:cs="Times New Roman"/>
          <w:szCs w:val="24"/>
        </w:rPr>
        <w:t xml:space="preserve">and the </w:t>
      </w:r>
      <w:r w:rsidR="0068405F" w:rsidRPr="0068405F">
        <w:rPr>
          <w:bCs/>
          <w:i/>
          <w:color w:val="000000"/>
        </w:rPr>
        <w:t xml:space="preserve">Regulations Governing the Review </w:t>
      </w:r>
      <w:r w:rsidR="0068405F" w:rsidRPr="0068405F">
        <w:rPr>
          <w:bCs/>
          <w:i/>
          <w:color w:val="000000"/>
        </w:rPr>
        <w:lastRenderedPageBreak/>
        <w:t xml:space="preserve">and Approval of Education Programs in Virginia </w:t>
      </w:r>
      <w:r w:rsidRPr="004E7AF2">
        <w:rPr>
          <w:rFonts w:cs="Times New Roman"/>
          <w:szCs w:val="24"/>
        </w:rPr>
        <w:t xml:space="preserve">to </w:t>
      </w:r>
      <w:r>
        <w:rPr>
          <w:rFonts w:cs="Times New Roman"/>
          <w:szCs w:val="24"/>
        </w:rPr>
        <w:t xml:space="preserve">be </w:t>
      </w:r>
      <w:r w:rsidR="0068405F">
        <w:rPr>
          <w:rFonts w:cs="Times New Roman"/>
          <w:szCs w:val="24"/>
        </w:rPr>
        <w:t>amended to reflect changes to the definitions of “accredited institution” and “regional accrediting agency” throughout both chapters of Virginia’s regulations</w:t>
      </w:r>
      <w:r w:rsidR="00FF5C80">
        <w:rPr>
          <w:rFonts w:cs="Times New Roman"/>
          <w:szCs w:val="24"/>
        </w:rPr>
        <w:t>.</w:t>
      </w:r>
      <w:r w:rsidR="00F74A96">
        <w:rPr>
          <w:rFonts w:cs="Times New Roman"/>
          <w:szCs w:val="24"/>
        </w:rPr>
        <w:t xml:space="preserve"> </w:t>
      </w:r>
      <w:r w:rsidR="00736B91" w:rsidRPr="00377E99">
        <w:rPr>
          <w:rFonts w:cs="Times New Roman"/>
          <w:szCs w:val="24"/>
        </w:rPr>
        <w:t>Attachment B</w:t>
      </w:r>
      <w:r w:rsidR="00736B91">
        <w:rPr>
          <w:rFonts w:cs="Times New Roman"/>
          <w:szCs w:val="24"/>
        </w:rPr>
        <w:t xml:space="preserve"> provided a </w:t>
      </w:r>
      <w:r w:rsidR="00F74A96" w:rsidRPr="00F74A96">
        <w:rPr>
          <w:rStyle w:val="Heading2Char"/>
          <w:b w:val="0"/>
        </w:rPr>
        <w:t xml:space="preserve">copy of the affected sections </w:t>
      </w:r>
      <w:r w:rsidR="0068405F">
        <w:rPr>
          <w:rStyle w:val="Heading2Char"/>
          <w:b w:val="0"/>
        </w:rPr>
        <w:t xml:space="preserve">of </w:t>
      </w:r>
      <w:r w:rsidR="00736B91">
        <w:rPr>
          <w:rStyle w:val="Heading2Char"/>
          <w:b w:val="0"/>
        </w:rPr>
        <w:t xml:space="preserve">the </w:t>
      </w:r>
      <w:r w:rsidR="0068405F">
        <w:rPr>
          <w:rStyle w:val="Heading2Char"/>
          <w:b w:val="0"/>
        </w:rPr>
        <w:t>regulations</w:t>
      </w:r>
      <w:r w:rsidR="00F74A96" w:rsidRPr="00F74A96">
        <w:rPr>
          <w:bCs/>
          <w:color w:val="000000"/>
        </w:rPr>
        <w:t>. Words that are being proposed for removal are stricken and in red</w:t>
      </w:r>
      <w:r w:rsidR="00F74A96">
        <w:rPr>
          <w:bCs/>
          <w:color w:val="000000"/>
        </w:rPr>
        <w:t xml:space="preserve"> font</w:t>
      </w:r>
      <w:r w:rsidR="00F74A96" w:rsidRPr="00F74A96">
        <w:rPr>
          <w:bCs/>
          <w:color w:val="000000"/>
        </w:rPr>
        <w:t>, and words that are proposed additions are highlighted yellow and underlined.</w:t>
      </w:r>
    </w:p>
    <w:p w14:paraId="60FE485F" w14:textId="77777777" w:rsidR="00FB53CA" w:rsidRDefault="00FB53CA" w:rsidP="003C08F7">
      <w:pPr>
        <w:pStyle w:val="NormalWeb"/>
        <w:spacing w:before="0" w:beforeAutospacing="0" w:after="0" w:afterAutospacing="0" w:line="276" w:lineRule="auto"/>
        <w:rPr>
          <w:b/>
          <w:u w:val="single"/>
        </w:rPr>
      </w:pPr>
    </w:p>
    <w:p w14:paraId="4A91D4F9" w14:textId="28EB2BDB" w:rsidR="004A34FA" w:rsidRPr="00274AEA" w:rsidRDefault="00437999" w:rsidP="003C08F7">
      <w:pPr>
        <w:pStyle w:val="NormalWeb"/>
        <w:spacing w:before="0" w:beforeAutospacing="0" w:after="0" w:afterAutospacing="0" w:line="276" w:lineRule="auto"/>
        <w:rPr>
          <w:b/>
        </w:rPr>
      </w:pPr>
      <w:r>
        <w:rPr>
          <w:b/>
          <w:u w:val="single"/>
        </w:rPr>
        <w:t>Action</w:t>
      </w:r>
      <w:r w:rsidR="004A34FA" w:rsidRPr="00274AEA">
        <w:rPr>
          <w:b/>
        </w:rPr>
        <w:t xml:space="preserve">: </w:t>
      </w:r>
    </w:p>
    <w:p w14:paraId="57A44287" w14:textId="77777777" w:rsidR="004A34FA" w:rsidRDefault="004A34FA" w:rsidP="003C08F7">
      <w:pPr>
        <w:pStyle w:val="NormalWeb"/>
        <w:spacing w:before="0" w:beforeAutospacing="0" w:after="0" w:afterAutospacing="0" w:line="276" w:lineRule="auto"/>
        <w:rPr>
          <w:b/>
        </w:rPr>
      </w:pPr>
    </w:p>
    <w:p w14:paraId="5399085D" w14:textId="4D137E06" w:rsidR="00480702" w:rsidRPr="00943FC5" w:rsidRDefault="00FB53CA" w:rsidP="003C08F7">
      <w:pPr>
        <w:pStyle w:val="NormalWeb"/>
        <w:spacing w:before="0" w:beforeAutospacing="0" w:after="0" w:afterAutospacing="0" w:line="276" w:lineRule="auto"/>
        <w:rPr>
          <w:b/>
        </w:rPr>
      </w:pPr>
      <w:r>
        <w:t xml:space="preserve">The Advisory Board on </w:t>
      </w:r>
      <w:r w:rsidR="004A34FA" w:rsidRPr="00D12FBD">
        <w:t>Teacher Edu</w:t>
      </w:r>
      <w:r w:rsidR="00085808">
        <w:t xml:space="preserve">cation and Licensure is to make a recommendation to the Board of Education to approve </w:t>
      </w:r>
      <w:r w:rsidR="004A34FA">
        <w:t xml:space="preserve">amendments to the </w:t>
      </w:r>
      <w:r w:rsidR="004A34FA" w:rsidRPr="004A34FA">
        <w:rPr>
          <w:i/>
        </w:rPr>
        <w:t>Licensure Regulations for School Personnel</w:t>
      </w:r>
      <w:r w:rsidR="00FF5C80">
        <w:rPr>
          <w:i/>
        </w:rPr>
        <w:t xml:space="preserve"> </w:t>
      </w:r>
      <w:r w:rsidR="00FF5C80" w:rsidRPr="00FF5C80">
        <w:t>and</w:t>
      </w:r>
      <w:r w:rsidR="00FF5C80" w:rsidRPr="00FF5C80">
        <w:rPr>
          <w:i/>
        </w:rPr>
        <w:t xml:space="preserve"> </w:t>
      </w:r>
      <w:r w:rsidR="00FF5C80" w:rsidRPr="00FF5C80">
        <w:rPr>
          <w:bCs/>
          <w:i/>
          <w:color w:val="000000"/>
        </w:rPr>
        <w:t>Regulations Governing the Review and Approval of Education Programs in Virginia</w:t>
      </w:r>
      <w:r w:rsidR="004A34FA">
        <w:t xml:space="preserve"> to comport with </w:t>
      </w:r>
      <w:r w:rsidR="00FF5C80">
        <w:t>f</w:t>
      </w:r>
      <w:r w:rsidR="00F27FDC">
        <w:t>ederal regulations</w:t>
      </w:r>
      <w:r w:rsidR="004A34FA">
        <w:t>.</w:t>
      </w:r>
    </w:p>
    <w:sectPr w:rsidR="00480702" w:rsidRPr="00943FC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DA27" w14:textId="77777777" w:rsidR="00C86434" w:rsidRDefault="00C86434" w:rsidP="00EB5215">
      <w:pPr>
        <w:spacing w:after="0" w:line="240" w:lineRule="auto"/>
      </w:pPr>
      <w:r>
        <w:separator/>
      </w:r>
    </w:p>
  </w:endnote>
  <w:endnote w:type="continuationSeparator" w:id="0">
    <w:p w14:paraId="62CD1F30" w14:textId="77777777" w:rsidR="00C86434" w:rsidRDefault="00C86434" w:rsidP="00EB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855618"/>
      <w:docPartObj>
        <w:docPartGallery w:val="Page Numbers (Bottom of Page)"/>
        <w:docPartUnique/>
      </w:docPartObj>
    </w:sdtPr>
    <w:sdtEndPr>
      <w:rPr>
        <w:noProof/>
      </w:rPr>
    </w:sdtEndPr>
    <w:sdtContent>
      <w:p w14:paraId="354EF450" w14:textId="32DE5FE7" w:rsidR="00EB5215" w:rsidRDefault="00EB5215">
        <w:pPr>
          <w:pStyle w:val="Footer"/>
          <w:jc w:val="center"/>
        </w:pPr>
        <w:r>
          <w:fldChar w:fldCharType="begin"/>
        </w:r>
        <w:r>
          <w:instrText xml:space="preserve"> PAGE   \* MERGEFORMAT </w:instrText>
        </w:r>
        <w:r>
          <w:fldChar w:fldCharType="separate"/>
        </w:r>
        <w:r w:rsidR="003F5CEB">
          <w:rPr>
            <w:noProof/>
          </w:rPr>
          <w:t>1</w:t>
        </w:r>
        <w:r>
          <w:rPr>
            <w:noProof/>
          </w:rPr>
          <w:fldChar w:fldCharType="end"/>
        </w:r>
      </w:p>
    </w:sdtContent>
  </w:sdt>
  <w:p w14:paraId="30FF805D" w14:textId="77777777" w:rsidR="00EB5215" w:rsidRDefault="00EB5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BB6B3" w14:textId="77777777" w:rsidR="00C86434" w:rsidRDefault="00C86434" w:rsidP="00EB5215">
      <w:pPr>
        <w:spacing w:after="0" w:line="240" w:lineRule="auto"/>
      </w:pPr>
      <w:r>
        <w:separator/>
      </w:r>
    </w:p>
  </w:footnote>
  <w:footnote w:type="continuationSeparator" w:id="0">
    <w:p w14:paraId="2DFB7E96" w14:textId="77777777" w:rsidR="00C86434" w:rsidRDefault="00C86434" w:rsidP="00EB5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11A4"/>
    <w:multiLevelType w:val="hybridMultilevel"/>
    <w:tmpl w:val="1070E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B1CC4"/>
    <w:multiLevelType w:val="hybridMultilevel"/>
    <w:tmpl w:val="2748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55D1A"/>
    <w:multiLevelType w:val="hybridMultilevel"/>
    <w:tmpl w:val="07A0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236E8"/>
    <w:multiLevelType w:val="hybridMultilevel"/>
    <w:tmpl w:val="2BF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E1"/>
    <w:rsid w:val="000301BE"/>
    <w:rsid w:val="00085808"/>
    <w:rsid w:val="000A7862"/>
    <w:rsid w:val="000C4B47"/>
    <w:rsid w:val="00103EE1"/>
    <w:rsid w:val="001376A4"/>
    <w:rsid w:val="00140F15"/>
    <w:rsid w:val="00165608"/>
    <w:rsid w:val="00261A43"/>
    <w:rsid w:val="002B3BF6"/>
    <w:rsid w:val="00305B09"/>
    <w:rsid w:val="00331FBF"/>
    <w:rsid w:val="00377E99"/>
    <w:rsid w:val="003C08F7"/>
    <w:rsid w:val="003D7B76"/>
    <w:rsid w:val="003F5CEB"/>
    <w:rsid w:val="00437999"/>
    <w:rsid w:val="00457E1C"/>
    <w:rsid w:val="00480702"/>
    <w:rsid w:val="004A34FA"/>
    <w:rsid w:val="004B4C76"/>
    <w:rsid w:val="004B5EA0"/>
    <w:rsid w:val="004E7AF2"/>
    <w:rsid w:val="00541734"/>
    <w:rsid w:val="00542EE2"/>
    <w:rsid w:val="0068405F"/>
    <w:rsid w:val="00685998"/>
    <w:rsid w:val="006E633D"/>
    <w:rsid w:val="00704DEC"/>
    <w:rsid w:val="00736B91"/>
    <w:rsid w:val="007C1866"/>
    <w:rsid w:val="008916D1"/>
    <w:rsid w:val="00943FC5"/>
    <w:rsid w:val="00963236"/>
    <w:rsid w:val="0098226E"/>
    <w:rsid w:val="00A33266"/>
    <w:rsid w:val="00A366D6"/>
    <w:rsid w:val="00A963BB"/>
    <w:rsid w:val="00AA23C6"/>
    <w:rsid w:val="00B11F23"/>
    <w:rsid w:val="00BA266A"/>
    <w:rsid w:val="00BE4F91"/>
    <w:rsid w:val="00C22DFC"/>
    <w:rsid w:val="00C264E0"/>
    <w:rsid w:val="00C72EAA"/>
    <w:rsid w:val="00C86434"/>
    <w:rsid w:val="00CA202F"/>
    <w:rsid w:val="00CE2B19"/>
    <w:rsid w:val="00CE3CB7"/>
    <w:rsid w:val="00D02606"/>
    <w:rsid w:val="00D12136"/>
    <w:rsid w:val="00D805EB"/>
    <w:rsid w:val="00E021E5"/>
    <w:rsid w:val="00E45F9A"/>
    <w:rsid w:val="00E66685"/>
    <w:rsid w:val="00EA7C54"/>
    <w:rsid w:val="00EB5215"/>
    <w:rsid w:val="00EB5C6A"/>
    <w:rsid w:val="00EC0B9B"/>
    <w:rsid w:val="00ED791C"/>
    <w:rsid w:val="00F17ADC"/>
    <w:rsid w:val="00F27FDC"/>
    <w:rsid w:val="00F74A96"/>
    <w:rsid w:val="00F9350F"/>
    <w:rsid w:val="00FB53CA"/>
    <w:rsid w:val="00FD58B4"/>
    <w:rsid w:val="00FF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3D9A"/>
  <w15:chartTrackingRefBased/>
  <w15:docId w15:val="{434C8EAD-F02A-411B-BC50-F57427A5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EE1"/>
    <w:pPr>
      <w:spacing w:after="200" w:line="276" w:lineRule="auto"/>
    </w:pPr>
    <w:rPr>
      <w:rFonts w:ascii="Times New Roman" w:hAnsi="Times New Roman"/>
      <w:sz w:val="24"/>
    </w:rPr>
  </w:style>
  <w:style w:type="paragraph" w:styleId="Heading2">
    <w:name w:val="heading 2"/>
    <w:basedOn w:val="Normal"/>
    <w:next w:val="Normal"/>
    <w:link w:val="Heading2Char"/>
    <w:uiPriority w:val="9"/>
    <w:unhideWhenUsed/>
    <w:qFormat/>
    <w:rsid w:val="00103EE1"/>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semiHidden/>
    <w:unhideWhenUsed/>
    <w:qFormat/>
    <w:rsid w:val="00C22DF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3EE1"/>
    <w:rPr>
      <w:rFonts w:ascii="Times New Roman" w:eastAsiaTheme="majorEastAsia" w:hAnsi="Times New Roman" w:cs="Times New Roman"/>
      <w:b/>
      <w:bCs/>
      <w:sz w:val="24"/>
      <w:szCs w:val="24"/>
    </w:rPr>
  </w:style>
  <w:style w:type="paragraph" w:styleId="ListParagraph">
    <w:name w:val="List Paragraph"/>
    <w:basedOn w:val="Normal"/>
    <w:uiPriority w:val="34"/>
    <w:qFormat/>
    <w:rsid w:val="00103EE1"/>
    <w:pPr>
      <w:ind w:left="720"/>
      <w:contextualSpacing/>
    </w:pPr>
  </w:style>
  <w:style w:type="character" w:styleId="Hyperlink">
    <w:name w:val="Hyperlink"/>
    <w:basedOn w:val="DefaultParagraphFont"/>
    <w:uiPriority w:val="99"/>
    <w:unhideWhenUsed/>
    <w:rsid w:val="00103EE1"/>
    <w:rPr>
      <w:color w:val="0563C1" w:themeColor="hyperlink"/>
      <w:u w:val="single"/>
    </w:rPr>
  </w:style>
  <w:style w:type="character" w:styleId="FollowedHyperlink">
    <w:name w:val="FollowedHyperlink"/>
    <w:basedOn w:val="DefaultParagraphFont"/>
    <w:uiPriority w:val="99"/>
    <w:semiHidden/>
    <w:unhideWhenUsed/>
    <w:rsid w:val="006E633D"/>
    <w:rPr>
      <w:color w:val="954F72" w:themeColor="followedHyperlink"/>
      <w:u w:val="single"/>
    </w:rPr>
  </w:style>
  <w:style w:type="paragraph" w:styleId="Header">
    <w:name w:val="header"/>
    <w:basedOn w:val="Normal"/>
    <w:link w:val="HeaderChar"/>
    <w:uiPriority w:val="99"/>
    <w:unhideWhenUsed/>
    <w:rsid w:val="00EB5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15"/>
    <w:rPr>
      <w:rFonts w:ascii="Times New Roman" w:hAnsi="Times New Roman"/>
      <w:sz w:val="24"/>
    </w:rPr>
  </w:style>
  <w:style w:type="paragraph" w:styleId="Footer">
    <w:name w:val="footer"/>
    <w:basedOn w:val="Normal"/>
    <w:link w:val="FooterChar"/>
    <w:uiPriority w:val="99"/>
    <w:unhideWhenUsed/>
    <w:rsid w:val="00EB5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15"/>
    <w:rPr>
      <w:rFonts w:ascii="Times New Roman" w:hAnsi="Times New Roman"/>
      <w:sz w:val="24"/>
    </w:rPr>
  </w:style>
  <w:style w:type="paragraph" w:styleId="NormalWeb">
    <w:name w:val="Normal (Web)"/>
    <w:basedOn w:val="Normal"/>
    <w:uiPriority w:val="99"/>
    <w:unhideWhenUsed/>
    <w:rsid w:val="004A34FA"/>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085808"/>
    <w:pPr>
      <w:spacing w:after="0" w:line="240" w:lineRule="auto"/>
    </w:pPr>
  </w:style>
  <w:style w:type="character" w:customStyle="1" w:styleId="Heading3Char">
    <w:name w:val="Heading 3 Char"/>
    <w:basedOn w:val="DefaultParagraphFont"/>
    <w:link w:val="Heading3"/>
    <w:uiPriority w:val="9"/>
    <w:semiHidden/>
    <w:rsid w:val="00C22DF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437999"/>
    <w:rPr>
      <w:sz w:val="16"/>
      <w:szCs w:val="16"/>
    </w:rPr>
  </w:style>
  <w:style w:type="paragraph" w:styleId="CommentText">
    <w:name w:val="annotation text"/>
    <w:basedOn w:val="Normal"/>
    <w:link w:val="CommentTextChar"/>
    <w:uiPriority w:val="99"/>
    <w:semiHidden/>
    <w:unhideWhenUsed/>
    <w:rsid w:val="00437999"/>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437999"/>
    <w:rPr>
      <w:sz w:val="20"/>
      <w:szCs w:val="20"/>
    </w:rPr>
  </w:style>
  <w:style w:type="paragraph" w:styleId="BalloonText">
    <w:name w:val="Balloon Text"/>
    <w:basedOn w:val="Normal"/>
    <w:link w:val="BalloonTextChar"/>
    <w:uiPriority w:val="99"/>
    <w:semiHidden/>
    <w:unhideWhenUsed/>
    <w:rsid w:val="00437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7999"/>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437999"/>
    <w:rPr>
      <w:rFonts w:ascii="Times New Roman" w:hAnsi="Times New Roman"/>
      <w:b/>
      <w:bCs/>
      <w:sz w:val="20"/>
      <w:szCs w:val="20"/>
    </w:rPr>
  </w:style>
  <w:style w:type="table" w:customStyle="1" w:styleId="TableGrid">
    <w:name w:val="TableGrid"/>
    <w:rsid w:val="00C72EA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2532">
      <w:bodyDiv w:val="1"/>
      <w:marLeft w:val="0"/>
      <w:marRight w:val="0"/>
      <w:marTop w:val="0"/>
      <w:marBottom w:val="0"/>
      <w:divBdr>
        <w:top w:val="none" w:sz="0" w:space="0" w:color="auto"/>
        <w:left w:val="none" w:sz="0" w:space="0" w:color="auto"/>
        <w:bottom w:val="none" w:sz="0" w:space="0" w:color="auto"/>
        <w:right w:val="none" w:sz="0" w:space="0" w:color="auto"/>
      </w:divBdr>
    </w:div>
    <w:div w:id="370612080">
      <w:bodyDiv w:val="1"/>
      <w:marLeft w:val="0"/>
      <w:marRight w:val="0"/>
      <w:marTop w:val="0"/>
      <w:marBottom w:val="0"/>
      <w:divBdr>
        <w:top w:val="none" w:sz="0" w:space="0" w:color="auto"/>
        <w:left w:val="none" w:sz="0" w:space="0" w:color="auto"/>
        <w:bottom w:val="none" w:sz="0" w:space="0" w:color="auto"/>
        <w:right w:val="none" w:sz="0" w:space="0" w:color="auto"/>
      </w:divBdr>
    </w:div>
    <w:div w:id="550921879">
      <w:bodyDiv w:val="1"/>
      <w:marLeft w:val="0"/>
      <w:marRight w:val="0"/>
      <w:marTop w:val="0"/>
      <w:marBottom w:val="0"/>
      <w:divBdr>
        <w:top w:val="none" w:sz="0" w:space="0" w:color="auto"/>
        <w:left w:val="none" w:sz="0" w:space="0" w:color="auto"/>
        <w:bottom w:val="none" w:sz="0" w:space="0" w:color="auto"/>
        <w:right w:val="none" w:sz="0" w:space="0" w:color="auto"/>
      </w:divBdr>
    </w:div>
    <w:div w:id="1135099251">
      <w:bodyDiv w:val="1"/>
      <w:marLeft w:val="0"/>
      <w:marRight w:val="0"/>
      <w:marTop w:val="0"/>
      <w:marBottom w:val="0"/>
      <w:divBdr>
        <w:top w:val="none" w:sz="0" w:space="0" w:color="auto"/>
        <w:left w:val="none" w:sz="0" w:space="0" w:color="auto"/>
        <w:bottom w:val="none" w:sz="0" w:space="0" w:color="auto"/>
        <w:right w:val="none" w:sz="0" w:space="0" w:color="auto"/>
      </w:divBdr>
    </w:div>
    <w:div w:id="1596328618">
      <w:bodyDiv w:val="1"/>
      <w:marLeft w:val="0"/>
      <w:marRight w:val="0"/>
      <w:marTop w:val="0"/>
      <w:marBottom w:val="0"/>
      <w:divBdr>
        <w:top w:val="none" w:sz="0" w:space="0" w:color="auto"/>
        <w:left w:val="none" w:sz="0" w:space="0" w:color="auto"/>
        <w:bottom w:val="none" w:sz="0" w:space="0" w:color="auto"/>
        <w:right w:val="none" w:sz="0" w:space="0" w:color="auto"/>
      </w:divBdr>
    </w:div>
    <w:div w:id="21392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23/" TargetMode="External"/><Relationship Id="rId13" Type="http://schemas.openxmlformats.org/officeDocument/2006/relationships/hyperlink" Target="https://law.lis.virginia.gov/vacode/title2.2/chapter40/section2.2-401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ecfr.federalregister.gov/current/title-34/subtitle-B/chapter-VI/part-6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11-01/pdf/2019-23129.pdf" TargetMode="External"/><Relationship Id="rId5" Type="http://schemas.openxmlformats.org/officeDocument/2006/relationships/footnotes" Target="footnotes.xml"/><Relationship Id="rId15" Type="http://schemas.openxmlformats.org/officeDocument/2006/relationships/hyperlink" Target="https://law.lis.virginia.gov/vacode/title22.1/chapter15/section22.1-298.2/" TargetMode="External"/><Relationship Id="rId10" Type="http://schemas.openxmlformats.org/officeDocument/2006/relationships/hyperlink" Target="https://ecfr.federalregister.gov/current/title-34/subtitle-B/chapter-VI/part-600" TargetMode="External"/><Relationship Id="rId4" Type="http://schemas.openxmlformats.org/officeDocument/2006/relationships/webSettings" Target="webSettings.xml"/><Relationship Id="rId9" Type="http://schemas.openxmlformats.org/officeDocument/2006/relationships/hyperlink" Target="https://law.lis.virginia.gov/admincode/title8/agency20/chapter543/" TargetMode="External"/><Relationship Id="rId14" Type="http://schemas.openxmlformats.org/officeDocument/2006/relationships/hyperlink" Target="https://law.lis.virginia.gov/vacode/title22.1/chapter15/section22.1-2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cp:lastPrinted>2022-05-12T19:34:00Z</cp:lastPrinted>
  <dcterms:created xsi:type="dcterms:W3CDTF">2022-05-16T16:50:00Z</dcterms:created>
  <dcterms:modified xsi:type="dcterms:W3CDTF">2022-05-16T16:50:00Z</dcterms:modified>
</cp:coreProperties>
</file>