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W w:w="9300" w:type="dxa"/>
        <w:tblInd w:w="50" w:type="dxa"/>
        <w:tblCellMar>
          <w:top w:w="48" w:type="dxa"/>
          <w:left w:w="115" w:type="dxa"/>
          <w:right w:w="285" w:type="dxa"/>
        </w:tblCellMar>
        <w:tblLook w:val="04A0" w:firstRow="1" w:lastRow="0" w:firstColumn="1" w:lastColumn="0" w:noHBand="0" w:noVBand="1"/>
      </w:tblPr>
      <w:tblGrid>
        <w:gridCol w:w="9300"/>
      </w:tblGrid>
      <w:tr w:rsidR="001C6E3A" w:rsidTr="00C92F3D">
        <w:trPr>
          <w:trHeight w:val="1557"/>
        </w:trPr>
        <w:tc>
          <w:tcPr>
            <w:tcW w:w="9300" w:type="dxa"/>
            <w:tcBorders>
              <w:top w:val="double" w:sz="15" w:space="0" w:color="000000"/>
              <w:left w:val="double" w:sz="15" w:space="0" w:color="000000"/>
              <w:bottom w:val="double" w:sz="15" w:space="0" w:color="000000"/>
              <w:right w:val="double" w:sz="15" w:space="0" w:color="000000"/>
            </w:tcBorders>
          </w:tcPr>
          <w:p w:rsidR="001C6E3A" w:rsidRDefault="001C6E3A" w:rsidP="004E69B5">
            <w:pPr>
              <w:ind w:left="67" w:right="56"/>
              <w:jc w:val="center"/>
            </w:pPr>
            <w:bookmarkStart w:id="0" w:name="_GoBack"/>
            <w:bookmarkEnd w:id="0"/>
            <w:r>
              <w:rPr>
                <w:noProof/>
              </w:rPr>
              <w:drawing>
                <wp:anchor distT="0" distB="0" distL="114300" distR="114300" simplePos="0" relativeHeight="251659264" behindDoc="0" locked="0" layoutInCell="1" allowOverlap="0" wp14:anchorId="7B2E40E3" wp14:editId="387C45B8">
                  <wp:simplePos x="0" y="0"/>
                  <wp:positionH relativeFrom="column">
                    <wp:posOffset>5037087</wp:posOffset>
                  </wp:positionH>
                  <wp:positionV relativeFrom="paragraph">
                    <wp:posOffset>-37173</wp:posOffset>
                  </wp:positionV>
                  <wp:extent cx="633095" cy="641769"/>
                  <wp:effectExtent l="0" t="0" r="0" b="0"/>
                  <wp:wrapSquare wrapText="bothSides"/>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8"/>
                          <a:stretch>
                            <a:fillRect/>
                          </a:stretch>
                        </pic:blipFill>
                        <pic:spPr>
                          <a:xfrm>
                            <a:off x="0" y="0"/>
                            <a:ext cx="633095" cy="641769"/>
                          </a:xfrm>
                          <a:prstGeom prst="rect">
                            <a:avLst/>
                          </a:prstGeom>
                        </pic:spPr>
                      </pic:pic>
                    </a:graphicData>
                  </a:graphic>
                </wp:anchor>
              </w:drawing>
            </w:r>
            <w:r>
              <w:rPr>
                <w:rFonts w:ascii="Times New Roman" w:eastAsia="Times New Roman" w:hAnsi="Times New Roman" w:cs="Times New Roman"/>
                <w:b/>
                <w:sz w:val="36"/>
              </w:rPr>
              <w:t xml:space="preserve">Advisory Board on Teacher Education  </w:t>
            </w:r>
          </w:p>
          <w:p w:rsidR="001C6E3A" w:rsidRDefault="001C6E3A" w:rsidP="004E69B5">
            <w:pPr>
              <w:ind w:left="74" w:right="56"/>
              <w:jc w:val="center"/>
            </w:pPr>
            <w:r>
              <w:rPr>
                <w:rFonts w:ascii="Times New Roman" w:eastAsia="Times New Roman" w:hAnsi="Times New Roman" w:cs="Times New Roman"/>
                <w:b/>
                <w:sz w:val="36"/>
              </w:rPr>
              <w:t>and Licensure</w:t>
            </w:r>
            <w:r>
              <w:rPr>
                <w:rFonts w:ascii="Times New Roman" w:eastAsia="Times New Roman" w:hAnsi="Times New Roman" w:cs="Times New Roman"/>
                <w:color w:val="323E4F"/>
              </w:rPr>
              <w:t xml:space="preserve"> </w:t>
            </w:r>
          </w:p>
          <w:p w:rsidR="001C6E3A" w:rsidRDefault="001C6E3A" w:rsidP="004E69B5">
            <w:pPr>
              <w:ind w:left="7817"/>
              <w:jc w:val="right"/>
            </w:pPr>
            <w:r>
              <w:rPr>
                <w:rFonts w:ascii="Times New Roman" w:eastAsia="Times New Roman" w:hAnsi="Times New Roman" w:cs="Times New Roman"/>
                <w:b/>
              </w:rPr>
              <w:t xml:space="preserve"> </w:t>
            </w:r>
          </w:p>
        </w:tc>
      </w:tr>
    </w:tbl>
    <w:p w:rsidR="000347E7" w:rsidRPr="00AB7733" w:rsidRDefault="000347E7" w:rsidP="00AB7733">
      <w:pPr>
        <w:autoSpaceDE w:val="0"/>
        <w:autoSpaceDN w:val="0"/>
        <w:adjustRightInd w:val="0"/>
        <w:spacing w:after="0" w:line="276" w:lineRule="auto"/>
        <w:ind w:left="1440" w:hanging="1440"/>
        <w:rPr>
          <w:rFonts w:ascii="Times New Roman" w:eastAsia="Calibri" w:hAnsi="Times New Roman" w:cs="Times New Roman"/>
          <w:b/>
          <w:sz w:val="24"/>
          <w:szCs w:val="24"/>
        </w:rPr>
      </w:pPr>
    </w:p>
    <w:p w:rsidR="004F5071" w:rsidRPr="00AB7733" w:rsidRDefault="002A51EF" w:rsidP="00AB7733">
      <w:pPr>
        <w:autoSpaceDE w:val="0"/>
        <w:autoSpaceDN w:val="0"/>
        <w:adjustRightInd w:val="0"/>
        <w:spacing w:after="0" w:line="276" w:lineRule="auto"/>
        <w:ind w:left="1440" w:hanging="1440"/>
        <w:rPr>
          <w:rFonts w:ascii="Times New Roman" w:eastAsia="Calibri" w:hAnsi="Times New Roman" w:cs="Times New Roman"/>
          <w:b/>
          <w:sz w:val="24"/>
          <w:szCs w:val="24"/>
        </w:rPr>
      </w:pPr>
      <w:r w:rsidRPr="00AB7733">
        <w:rPr>
          <w:rFonts w:ascii="Times New Roman" w:eastAsia="Calibri" w:hAnsi="Times New Roman" w:cs="Times New Roman"/>
          <w:b/>
          <w:sz w:val="24"/>
          <w:szCs w:val="24"/>
        </w:rPr>
        <w:t xml:space="preserve">AGENDA ITEM:  </w:t>
      </w:r>
      <w:r w:rsidRPr="00AB7733">
        <w:rPr>
          <w:rFonts w:ascii="Times New Roman" w:eastAsia="Calibri" w:hAnsi="Times New Roman" w:cs="Times New Roman"/>
          <w:b/>
          <w:sz w:val="24"/>
          <w:szCs w:val="24"/>
        </w:rPr>
        <w:tab/>
      </w:r>
      <w:r w:rsidR="00A85A2E">
        <w:rPr>
          <w:rFonts w:ascii="Times New Roman" w:eastAsia="Calibri" w:hAnsi="Times New Roman" w:cs="Times New Roman"/>
          <w:b/>
          <w:sz w:val="24"/>
          <w:szCs w:val="24"/>
        </w:rPr>
        <w:t>4</w:t>
      </w:r>
    </w:p>
    <w:p w:rsidR="004F5071" w:rsidRPr="00AB7733" w:rsidRDefault="004F5071" w:rsidP="00AB7733">
      <w:pPr>
        <w:autoSpaceDE w:val="0"/>
        <w:autoSpaceDN w:val="0"/>
        <w:adjustRightInd w:val="0"/>
        <w:spacing w:after="0" w:line="276" w:lineRule="auto"/>
        <w:ind w:left="1440" w:hanging="1440"/>
        <w:rPr>
          <w:rFonts w:ascii="Times New Roman" w:eastAsia="Calibri" w:hAnsi="Times New Roman" w:cs="Times New Roman"/>
          <w:b/>
          <w:sz w:val="24"/>
          <w:szCs w:val="24"/>
        </w:rPr>
      </w:pPr>
    </w:p>
    <w:p w:rsidR="004F5071" w:rsidRPr="00AB7733" w:rsidRDefault="00B126AE" w:rsidP="00AB7733">
      <w:pPr>
        <w:autoSpaceDE w:val="0"/>
        <w:autoSpaceDN w:val="0"/>
        <w:adjustRightInd w:val="0"/>
        <w:spacing w:after="0" w:line="276" w:lineRule="auto"/>
        <w:ind w:left="1440" w:hanging="1440"/>
        <w:rPr>
          <w:rFonts w:ascii="Times New Roman" w:eastAsia="Calibri" w:hAnsi="Times New Roman" w:cs="Times New Roman"/>
          <w:b/>
          <w:sz w:val="24"/>
          <w:szCs w:val="24"/>
        </w:rPr>
      </w:pPr>
      <w:r w:rsidRPr="00AB7733">
        <w:rPr>
          <w:rFonts w:ascii="Times New Roman" w:eastAsia="Calibri" w:hAnsi="Times New Roman" w:cs="Times New Roman"/>
          <w:b/>
          <w:sz w:val="24"/>
          <w:szCs w:val="24"/>
        </w:rPr>
        <w:t xml:space="preserve">DATE:  </w:t>
      </w:r>
      <w:r w:rsidRPr="00AB7733">
        <w:rPr>
          <w:rFonts w:ascii="Times New Roman" w:eastAsia="Calibri" w:hAnsi="Times New Roman" w:cs="Times New Roman"/>
          <w:b/>
          <w:sz w:val="24"/>
          <w:szCs w:val="24"/>
        </w:rPr>
        <w:tab/>
      </w:r>
      <w:r w:rsidRPr="00AB7733">
        <w:rPr>
          <w:rFonts w:ascii="Times New Roman" w:eastAsia="Calibri" w:hAnsi="Times New Roman" w:cs="Times New Roman"/>
          <w:b/>
          <w:sz w:val="24"/>
          <w:szCs w:val="24"/>
        </w:rPr>
        <w:tab/>
      </w:r>
      <w:r w:rsidR="00D25325">
        <w:rPr>
          <w:rFonts w:ascii="Times New Roman" w:eastAsia="Calibri" w:hAnsi="Times New Roman" w:cs="Times New Roman"/>
          <w:b/>
          <w:sz w:val="24"/>
          <w:szCs w:val="24"/>
        </w:rPr>
        <w:t>March 21, 2022</w:t>
      </w:r>
    </w:p>
    <w:p w:rsidR="004F5071" w:rsidRPr="00AB7733" w:rsidRDefault="004F5071" w:rsidP="00AB7733">
      <w:pPr>
        <w:autoSpaceDE w:val="0"/>
        <w:autoSpaceDN w:val="0"/>
        <w:adjustRightInd w:val="0"/>
        <w:spacing w:after="0" w:line="276" w:lineRule="auto"/>
        <w:ind w:left="1440" w:hanging="1440"/>
        <w:rPr>
          <w:rFonts w:ascii="Times New Roman" w:eastAsia="Calibri" w:hAnsi="Times New Roman" w:cs="Times New Roman"/>
          <w:b/>
          <w:sz w:val="24"/>
          <w:szCs w:val="24"/>
        </w:rPr>
      </w:pPr>
    </w:p>
    <w:p w:rsidR="00B126AE" w:rsidRPr="00AB7733" w:rsidRDefault="004F5071" w:rsidP="00AB7733">
      <w:pPr>
        <w:spacing w:after="0" w:line="276" w:lineRule="auto"/>
        <w:ind w:left="2160" w:hanging="2160"/>
        <w:rPr>
          <w:rFonts w:ascii="Times New Roman" w:eastAsia="SymbolMT" w:hAnsi="Times New Roman" w:cs="Times New Roman"/>
          <w:b/>
          <w:sz w:val="24"/>
          <w:szCs w:val="24"/>
        </w:rPr>
      </w:pPr>
      <w:r w:rsidRPr="00AB7733">
        <w:rPr>
          <w:rFonts w:ascii="Times New Roman" w:eastAsia="Calibri" w:hAnsi="Times New Roman" w:cs="Times New Roman"/>
          <w:b/>
          <w:sz w:val="24"/>
          <w:szCs w:val="24"/>
        </w:rPr>
        <w:t>TOPIC:</w:t>
      </w:r>
      <w:r w:rsidRPr="00AB7733">
        <w:rPr>
          <w:rFonts w:ascii="Times New Roman" w:eastAsia="Calibri" w:hAnsi="Times New Roman" w:cs="Times New Roman"/>
          <w:b/>
          <w:sz w:val="24"/>
          <w:szCs w:val="24"/>
        </w:rPr>
        <w:tab/>
      </w:r>
      <w:r w:rsidR="00D25325">
        <w:rPr>
          <w:rFonts w:ascii="Times New Roman" w:eastAsia="Calibri" w:hAnsi="Times New Roman" w:cs="Times New Roman"/>
          <w:b/>
          <w:sz w:val="24"/>
          <w:szCs w:val="24"/>
        </w:rPr>
        <w:t xml:space="preserve">Written Report Regarding Upcoming Statutory Requirements Effective July 1, 2022 </w:t>
      </w:r>
    </w:p>
    <w:p w:rsidR="00B126AE" w:rsidRPr="00AB7733" w:rsidRDefault="00B126AE" w:rsidP="00AB7733">
      <w:pPr>
        <w:spacing w:after="0" w:line="276" w:lineRule="auto"/>
        <w:ind w:left="5760" w:firstLine="720"/>
        <w:rPr>
          <w:rFonts w:ascii="Times New Roman" w:eastAsia="SymbolMT" w:hAnsi="Times New Roman" w:cs="Times New Roman"/>
          <w:i/>
          <w:sz w:val="24"/>
          <w:szCs w:val="24"/>
        </w:rPr>
      </w:pPr>
    </w:p>
    <w:p w:rsidR="00E733FC" w:rsidRPr="002B1BCD" w:rsidRDefault="00E733FC" w:rsidP="00AB7733">
      <w:pPr>
        <w:pStyle w:val="NoSpacing"/>
        <w:spacing w:line="276" w:lineRule="auto"/>
        <w:rPr>
          <w:rFonts w:ascii="Times New Roman" w:hAnsi="Times New Roman" w:cs="Times New Roman"/>
          <w:b/>
          <w:sz w:val="24"/>
          <w:szCs w:val="24"/>
        </w:rPr>
      </w:pPr>
      <w:r w:rsidRPr="002B1BCD">
        <w:rPr>
          <w:rFonts w:ascii="Times New Roman" w:hAnsi="Times New Roman" w:cs="Times New Roman"/>
          <w:b/>
          <w:sz w:val="24"/>
          <w:szCs w:val="24"/>
          <w:u w:val="single"/>
        </w:rPr>
        <w:t>Background</w:t>
      </w:r>
      <w:r w:rsidRPr="002B1BCD">
        <w:rPr>
          <w:rFonts w:ascii="Times New Roman" w:hAnsi="Times New Roman" w:cs="Times New Roman"/>
          <w:b/>
          <w:sz w:val="24"/>
          <w:szCs w:val="24"/>
        </w:rPr>
        <w:t xml:space="preserve">: </w:t>
      </w:r>
    </w:p>
    <w:p w:rsidR="00AB7733" w:rsidRDefault="00E77A66" w:rsidP="00D25325">
      <w:pPr>
        <w:pStyle w:val="NoSpacing"/>
        <w:spacing w:line="276" w:lineRule="auto"/>
        <w:rPr>
          <w:rFonts w:ascii="Times New Roman" w:hAnsi="Times New Roman" w:cs="Times New Roman"/>
          <w:sz w:val="24"/>
          <w:szCs w:val="24"/>
        </w:rPr>
      </w:pPr>
      <w:r w:rsidRPr="00AB7733">
        <w:rPr>
          <w:rFonts w:ascii="Times New Roman" w:eastAsia="Times New Roman" w:hAnsi="Times New Roman" w:cs="Times New Roman"/>
          <w:color w:val="000000"/>
          <w:sz w:val="24"/>
          <w:szCs w:val="24"/>
        </w:rPr>
        <w:t xml:space="preserve">During </w:t>
      </w:r>
      <w:r w:rsidR="00AB7733">
        <w:rPr>
          <w:rFonts w:ascii="Times New Roman" w:eastAsia="Times New Roman" w:hAnsi="Times New Roman" w:cs="Times New Roman"/>
          <w:color w:val="000000"/>
          <w:sz w:val="24"/>
          <w:szCs w:val="24"/>
        </w:rPr>
        <w:t xml:space="preserve">the </w:t>
      </w:r>
      <w:r w:rsidRPr="00AB7733">
        <w:rPr>
          <w:rFonts w:ascii="Times New Roman" w:eastAsia="Times New Roman" w:hAnsi="Times New Roman" w:cs="Times New Roman"/>
          <w:color w:val="000000"/>
          <w:sz w:val="24"/>
          <w:szCs w:val="24"/>
        </w:rPr>
        <w:t xml:space="preserve">2021 </w:t>
      </w:r>
      <w:r w:rsidR="00E733FC" w:rsidRPr="00AB7733">
        <w:rPr>
          <w:rFonts w:ascii="Times New Roman" w:eastAsia="Times New Roman" w:hAnsi="Times New Roman" w:cs="Times New Roman"/>
          <w:color w:val="000000"/>
          <w:sz w:val="24"/>
          <w:szCs w:val="24"/>
        </w:rPr>
        <w:t>Session</w:t>
      </w:r>
      <w:r w:rsidRPr="00AB7733">
        <w:rPr>
          <w:rFonts w:ascii="Times New Roman" w:eastAsia="Times New Roman" w:hAnsi="Times New Roman" w:cs="Times New Roman"/>
          <w:color w:val="000000"/>
          <w:sz w:val="24"/>
          <w:szCs w:val="24"/>
        </w:rPr>
        <w:t xml:space="preserve">, the General Assembly passed legislation requiring amendments to the Board of Education’s </w:t>
      </w:r>
      <w:r w:rsidR="00E423C7" w:rsidRPr="00AB7733">
        <w:rPr>
          <w:rFonts w:ascii="Times New Roman" w:eastAsia="Times New Roman" w:hAnsi="Times New Roman" w:cs="Times New Roman"/>
          <w:i/>
          <w:color w:val="000000"/>
          <w:sz w:val="24"/>
          <w:szCs w:val="24"/>
        </w:rPr>
        <w:t>Regulations Governing the Review and Approval of Education Programs in Virginia</w:t>
      </w:r>
      <w:r w:rsidR="00D25325">
        <w:rPr>
          <w:rFonts w:ascii="Times New Roman" w:eastAsia="Times New Roman" w:hAnsi="Times New Roman" w:cs="Times New Roman"/>
          <w:i/>
          <w:color w:val="000000"/>
          <w:sz w:val="24"/>
          <w:szCs w:val="24"/>
        </w:rPr>
        <w:t xml:space="preserve"> </w:t>
      </w:r>
      <w:r w:rsidR="00D25325" w:rsidRPr="00D25325">
        <w:rPr>
          <w:rFonts w:ascii="Times New Roman" w:eastAsia="Times New Roman" w:hAnsi="Times New Roman" w:cs="Times New Roman"/>
          <w:color w:val="000000"/>
          <w:sz w:val="24"/>
          <w:szCs w:val="24"/>
        </w:rPr>
        <w:t>and the</w:t>
      </w:r>
      <w:r w:rsidR="00D25325">
        <w:rPr>
          <w:rFonts w:ascii="Times New Roman" w:eastAsia="Times New Roman" w:hAnsi="Times New Roman" w:cs="Times New Roman"/>
          <w:i/>
          <w:color w:val="000000"/>
          <w:sz w:val="24"/>
          <w:szCs w:val="24"/>
        </w:rPr>
        <w:t xml:space="preserve"> </w:t>
      </w:r>
      <w:r w:rsidR="00E10EE7">
        <w:rPr>
          <w:rFonts w:ascii="Times New Roman" w:eastAsia="Times New Roman" w:hAnsi="Times New Roman" w:cs="Times New Roman"/>
          <w:i/>
          <w:color w:val="000000"/>
          <w:sz w:val="24"/>
          <w:szCs w:val="24"/>
        </w:rPr>
        <w:t xml:space="preserve">Licensure </w:t>
      </w:r>
      <w:r w:rsidR="00D25325">
        <w:rPr>
          <w:rFonts w:ascii="Times New Roman" w:eastAsia="Times New Roman" w:hAnsi="Times New Roman" w:cs="Times New Roman"/>
          <w:i/>
          <w:color w:val="000000"/>
          <w:sz w:val="24"/>
          <w:szCs w:val="24"/>
        </w:rPr>
        <w:t xml:space="preserve">Regulations for School Personnel </w:t>
      </w:r>
      <w:r w:rsidR="00D25325" w:rsidRPr="00D25325">
        <w:rPr>
          <w:rFonts w:ascii="Times New Roman" w:eastAsia="Times New Roman" w:hAnsi="Times New Roman" w:cs="Times New Roman"/>
          <w:color w:val="000000"/>
          <w:sz w:val="24"/>
          <w:szCs w:val="24"/>
        </w:rPr>
        <w:t>regarding</w:t>
      </w:r>
      <w:r w:rsidR="00D25325">
        <w:rPr>
          <w:rFonts w:ascii="Times New Roman" w:eastAsia="Times New Roman" w:hAnsi="Times New Roman" w:cs="Times New Roman"/>
          <w:color w:val="000000"/>
          <w:sz w:val="24"/>
          <w:szCs w:val="24"/>
        </w:rPr>
        <w:t xml:space="preserve"> licensed teachers understanding the role of the general education teachers on the </w:t>
      </w:r>
      <w:r w:rsidR="00D25325" w:rsidRPr="00AB7733">
        <w:rPr>
          <w:rFonts w:ascii="Times New Roman" w:hAnsi="Times New Roman" w:cs="Times New Roman"/>
          <w:sz w:val="24"/>
          <w:szCs w:val="24"/>
        </w:rPr>
        <w:t>individualized education program (IEP) team</w:t>
      </w:r>
      <w:r w:rsidR="00D25325">
        <w:rPr>
          <w:rFonts w:ascii="Times New Roman" w:hAnsi="Times New Roman" w:cs="Times New Roman"/>
          <w:sz w:val="24"/>
          <w:szCs w:val="24"/>
        </w:rPr>
        <w:t>.</w:t>
      </w:r>
    </w:p>
    <w:p w:rsidR="00D25325" w:rsidRPr="00AB7733" w:rsidRDefault="00D25325" w:rsidP="00D25325">
      <w:pPr>
        <w:pStyle w:val="NoSpacing"/>
        <w:spacing w:line="276" w:lineRule="auto"/>
        <w:rPr>
          <w:rFonts w:ascii="Times New Roman" w:hAnsi="Times New Roman" w:cs="Times New Roman"/>
          <w:sz w:val="24"/>
        </w:rPr>
      </w:pPr>
    </w:p>
    <w:p w:rsidR="00AB7733" w:rsidRPr="00AB7733" w:rsidRDefault="00AB7733" w:rsidP="00AB7733">
      <w:pPr>
        <w:spacing w:after="0" w:line="276" w:lineRule="auto"/>
        <w:rPr>
          <w:rFonts w:ascii="Times New Roman" w:hAnsi="Times New Roman" w:cs="Times New Roman"/>
          <w:sz w:val="24"/>
        </w:rPr>
      </w:pPr>
      <w:r w:rsidRPr="00AB7733">
        <w:rPr>
          <w:rFonts w:ascii="Times New Roman" w:hAnsi="Times New Roman" w:cs="Times New Roman"/>
          <w:sz w:val="24"/>
        </w:rPr>
        <w:t xml:space="preserve">The proposed amendments to the </w:t>
      </w:r>
      <w:r w:rsidR="00D25325" w:rsidRPr="00AB7733">
        <w:rPr>
          <w:rFonts w:ascii="Times New Roman" w:eastAsia="Times New Roman" w:hAnsi="Times New Roman" w:cs="Times New Roman"/>
          <w:i/>
          <w:color w:val="000000"/>
          <w:sz w:val="24"/>
          <w:szCs w:val="24"/>
        </w:rPr>
        <w:t>Regulations Governing the Review and Approval of Education Programs in Virginia</w:t>
      </w:r>
      <w:r w:rsidR="00D25325" w:rsidRPr="00AB7733">
        <w:rPr>
          <w:rFonts w:ascii="Times New Roman" w:hAnsi="Times New Roman" w:cs="Times New Roman"/>
          <w:i/>
          <w:sz w:val="24"/>
        </w:rPr>
        <w:t xml:space="preserve"> </w:t>
      </w:r>
      <w:r w:rsidR="00D25325" w:rsidRPr="00D25325">
        <w:rPr>
          <w:rFonts w:ascii="Times New Roman" w:hAnsi="Times New Roman" w:cs="Times New Roman"/>
          <w:sz w:val="24"/>
        </w:rPr>
        <w:t>and the</w:t>
      </w:r>
      <w:r w:rsidR="00D25325">
        <w:rPr>
          <w:rFonts w:ascii="Times New Roman" w:hAnsi="Times New Roman" w:cs="Times New Roman"/>
          <w:i/>
          <w:sz w:val="24"/>
        </w:rPr>
        <w:t xml:space="preserve"> </w:t>
      </w:r>
      <w:r w:rsidRPr="00AB7733">
        <w:rPr>
          <w:rFonts w:ascii="Times New Roman" w:hAnsi="Times New Roman" w:cs="Times New Roman"/>
          <w:i/>
          <w:sz w:val="24"/>
        </w:rPr>
        <w:t>Licensure Regulations for School Personnel</w:t>
      </w:r>
      <w:r w:rsidRPr="00AB7733">
        <w:rPr>
          <w:rFonts w:ascii="Times New Roman" w:hAnsi="Times New Roman" w:cs="Times New Roman"/>
          <w:sz w:val="24"/>
        </w:rPr>
        <w:t xml:space="preserve"> incorporate these legislative changes and follow</w:t>
      </w:r>
      <w:r w:rsidR="00D25325">
        <w:rPr>
          <w:rFonts w:ascii="Times New Roman" w:hAnsi="Times New Roman" w:cs="Times New Roman"/>
          <w:sz w:val="24"/>
        </w:rPr>
        <w:t>ed</w:t>
      </w:r>
      <w:r w:rsidRPr="00AB7733">
        <w:rPr>
          <w:rFonts w:ascii="Times New Roman" w:hAnsi="Times New Roman" w:cs="Times New Roman"/>
          <w:sz w:val="24"/>
        </w:rPr>
        <w:t xml:space="preserve"> the fast-track rulemaking requirements of the Administrative Process Act (</w:t>
      </w:r>
      <w:r w:rsidR="001C6E3A">
        <w:rPr>
          <w:rFonts w:ascii="Times New Roman" w:hAnsi="Times New Roman" w:cs="Times New Roman"/>
          <w:sz w:val="24"/>
        </w:rPr>
        <w:t xml:space="preserve">APA). </w:t>
      </w:r>
      <w:hyperlink r:id="rId9" w:history="1">
        <w:r w:rsidRPr="00AB7733">
          <w:rPr>
            <w:rFonts w:ascii="Times New Roman" w:hAnsi="Times New Roman" w:cs="Times New Roman"/>
            <w:color w:val="0563C1" w:themeColor="hyperlink"/>
            <w:sz w:val="24"/>
            <w:u w:val="single"/>
          </w:rPr>
          <w:t>§ 2.2-4012.1</w:t>
        </w:r>
      </w:hyperlink>
      <w:r w:rsidRPr="00AB7733">
        <w:rPr>
          <w:rFonts w:ascii="Times New Roman" w:hAnsi="Times New Roman" w:cs="Times New Roman"/>
          <w:sz w:val="24"/>
        </w:rPr>
        <w:t xml:space="preserve"> of the </w:t>
      </w:r>
      <w:r w:rsidRPr="00AB7733">
        <w:rPr>
          <w:rFonts w:ascii="Times New Roman" w:hAnsi="Times New Roman" w:cs="Times New Roman"/>
          <w:i/>
          <w:sz w:val="24"/>
        </w:rPr>
        <w:t>Code of Virginia</w:t>
      </w:r>
      <w:r w:rsidRPr="00AB7733">
        <w:rPr>
          <w:rFonts w:ascii="Times New Roman" w:hAnsi="Times New Roman" w:cs="Times New Roman"/>
          <w:sz w:val="24"/>
        </w:rPr>
        <w:t xml:space="preserve"> provides that the fast-track rulemaking process may be followed for rules that are expected to be noncontroversial.</w:t>
      </w:r>
    </w:p>
    <w:p w:rsidR="00AB7733" w:rsidRPr="00AB7733" w:rsidRDefault="00AB7733" w:rsidP="00AB7733">
      <w:pPr>
        <w:spacing w:after="0" w:line="276" w:lineRule="auto"/>
        <w:rPr>
          <w:rFonts w:ascii="Times New Roman" w:hAnsi="Times New Roman" w:cs="Times New Roman"/>
          <w:b/>
          <w:sz w:val="24"/>
          <w:szCs w:val="24"/>
          <w:u w:val="single"/>
        </w:rPr>
      </w:pPr>
    </w:p>
    <w:p w:rsidR="00293712" w:rsidRPr="002B1BCD" w:rsidRDefault="0038580A" w:rsidP="00AB7733">
      <w:pPr>
        <w:spacing w:after="0" w:line="276" w:lineRule="auto"/>
        <w:rPr>
          <w:rFonts w:ascii="Times New Roman" w:hAnsi="Times New Roman" w:cs="Times New Roman"/>
          <w:b/>
          <w:sz w:val="24"/>
          <w:szCs w:val="24"/>
        </w:rPr>
      </w:pPr>
      <w:r w:rsidRPr="002B1BCD">
        <w:rPr>
          <w:rFonts w:ascii="Times New Roman" w:hAnsi="Times New Roman" w:cs="Times New Roman"/>
          <w:b/>
          <w:sz w:val="24"/>
          <w:szCs w:val="24"/>
          <w:u w:val="single"/>
        </w:rPr>
        <w:t>Statutory Authority</w:t>
      </w:r>
      <w:r w:rsidRPr="002B1BCD">
        <w:rPr>
          <w:rFonts w:ascii="Times New Roman" w:hAnsi="Times New Roman" w:cs="Times New Roman"/>
          <w:b/>
          <w:sz w:val="24"/>
          <w:szCs w:val="24"/>
        </w:rPr>
        <w:t>:</w:t>
      </w:r>
    </w:p>
    <w:p w:rsidR="00245A25" w:rsidRPr="00AB7733" w:rsidRDefault="00C92F3D" w:rsidP="00AB7733">
      <w:pPr>
        <w:spacing w:after="0" w:line="276" w:lineRule="auto"/>
        <w:rPr>
          <w:rFonts w:ascii="Times New Roman" w:eastAsia="Times New Roman" w:hAnsi="Times New Roman" w:cs="Times New Roman"/>
          <w:color w:val="000000"/>
          <w:sz w:val="24"/>
          <w:szCs w:val="24"/>
        </w:rPr>
      </w:pPr>
      <w:hyperlink r:id="rId10" w:history="1">
        <w:r w:rsidR="00C05919" w:rsidRPr="00AB7733">
          <w:rPr>
            <w:rStyle w:val="Hyperlink"/>
            <w:rFonts w:ascii="Times New Roman" w:eastAsia="Times New Roman" w:hAnsi="Times New Roman"/>
            <w:sz w:val="24"/>
            <w:szCs w:val="24"/>
          </w:rPr>
          <w:t>HB 2316</w:t>
        </w:r>
      </w:hyperlink>
      <w:r w:rsidR="00C05919" w:rsidRPr="00AB7733">
        <w:rPr>
          <w:rFonts w:ascii="Times New Roman" w:eastAsia="Times New Roman" w:hAnsi="Times New Roman" w:cs="Times New Roman"/>
          <w:color w:val="000000"/>
          <w:sz w:val="24"/>
          <w:szCs w:val="24"/>
        </w:rPr>
        <w:t xml:space="preserve"> (</w:t>
      </w:r>
      <w:proofErr w:type="spellStart"/>
      <w:r w:rsidR="00C05919" w:rsidRPr="00AB7733">
        <w:rPr>
          <w:rFonts w:ascii="Times New Roman" w:eastAsia="Times New Roman" w:hAnsi="Times New Roman" w:cs="Times New Roman"/>
          <w:color w:val="000000"/>
          <w:sz w:val="24"/>
          <w:szCs w:val="24"/>
        </w:rPr>
        <w:t>Mundon</w:t>
      </w:r>
      <w:proofErr w:type="spellEnd"/>
      <w:r w:rsidR="00C05919" w:rsidRPr="00AB7733">
        <w:rPr>
          <w:rFonts w:ascii="Times New Roman" w:eastAsia="Times New Roman" w:hAnsi="Times New Roman" w:cs="Times New Roman"/>
          <w:color w:val="000000"/>
          <w:sz w:val="24"/>
          <w:szCs w:val="24"/>
        </w:rPr>
        <w:t xml:space="preserve"> King) </w:t>
      </w:r>
      <w:r w:rsidR="00E26928" w:rsidRPr="00AB7733">
        <w:rPr>
          <w:rFonts w:ascii="Times New Roman" w:hAnsi="Times New Roman" w:cs="Times New Roman"/>
          <w:sz w:val="24"/>
          <w:szCs w:val="24"/>
        </w:rPr>
        <w:t>The</w:t>
      </w:r>
      <w:r w:rsidR="00D25325">
        <w:rPr>
          <w:rFonts w:ascii="Times New Roman" w:hAnsi="Times New Roman" w:cs="Times New Roman"/>
          <w:sz w:val="24"/>
          <w:szCs w:val="24"/>
        </w:rPr>
        <w:t xml:space="preserve"> 2021</w:t>
      </w:r>
      <w:r w:rsidR="00E26928" w:rsidRPr="00AB7733">
        <w:rPr>
          <w:rFonts w:ascii="Times New Roman" w:hAnsi="Times New Roman" w:cs="Times New Roman"/>
          <w:sz w:val="24"/>
          <w:szCs w:val="24"/>
        </w:rPr>
        <w:t xml:space="preserve"> bill, in part, require</w:t>
      </w:r>
      <w:r w:rsidR="00D25325">
        <w:rPr>
          <w:rFonts w:ascii="Times New Roman" w:hAnsi="Times New Roman" w:cs="Times New Roman"/>
          <w:sz w:val="24"/>
          <w:szCs w:val="24"/>
        </w:rPr>
        <w:t>d</w:t>
      </w:r>
      <w:r w:rsidR="00E26928" w:rsidRPr="00AB7733">
        <w:rPr>
          <w:rFonts w:ascii="Times New Roman" w:hAnsi="Times New Roman" w:cs="Times New Roman"/>
          <w:sz w:val="24"/>
          <w:szCs w:val="24"/>
        </w:rPr>
        <w:t xml:space="preserve"> the Board of Education to amend its regulations to ensure that each education preparat</w:t>
      </w:r>
      <w:r w:rsidR="00537D49">
        <w:rPr>
          <w:rFonts w:ascii="Times New Roman" w:hAnsi="Times New Roman" w:cs="Times New Roman"/>
          <w:sz w:val="24"/>
          <w:szCs w:val="24"/>
        </w:rPr>
        <w:t>ion program graduate in a K-12 general e</w:t>
      </w:r>
      <w:r w:rsidR="00E26928" w:rsidRPr="00AB7733">
        <w:rPr>
          <w:rFonts w:ascii="Times New Roman" w:hAnsi="Times New Roman" w:cs="Times New Roman"/>
          <w:sz w:val="24"/>
          <w:szCs w:val="24"/>
        </w:rPr>
        <w:t>ducation endorsement area demonstrates proficiency in understanding the role of general education teachers on the individualized education program (IEP) team.</w:t>
      </w:r>
    </w:p>
    <w:p w:rsidR="00C75205" w:rsidRPr="00AB7733" w:rsidRDefault="00E26928" w:rsidP="00AB7733">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b/>
          <w:sz w:val="24"/>
          <w:szCs w:val="24"/>
        </w:rPr>
      </w:pPr>
      <w:r w:rsidRPr="00AB7733">
        <w:rPr>
          <w:rFonts w:ascii="Times New Roman" w:eastAsia="Times New Roman" w:hAnsi="Times New Roman" w:cs="Times New Roman"/>
          <w:color w:val="000000"/>
          <w:sz w:val="24"/>
          <w:szCs w:val="24"/>
        </w:rPr>
        <w:t>…</w:t>
      </w:r>
      <w:r w:rsidR="00CE4305" w:rsidRPr="00AB7733">
        <w:rPr>
          <w:rFonts w:ascii="Times New Roman" w:eastAsia="Times New Roman" w:hAnsi="Times New Roman" w:cs="Times New Roman"/>
          <w:color w:val="000000"/>
          <w:sz w:val="24"/>
          <w:szCs w:val="24"/>
        </w:rPr>
        <w:t>2. In order to (</w:t>
      </w:r>
      <w:proofErr w:type="spellStart"/>
      <w:r w:rsidR="00CE4305" w:rsidRPr="00AB7733">
        <w:rPr>
          <w:rFonts w:ascii="Times New Roman" w:eastAsia="Times New Roman" w:hAnsi="Times New Roman" w:cs="Times New Roman"/>
          <w:color w:val="000000"/>
          <w:sz w:val="24"/>
          <w:szCs w:val="24"/>
        </w:rPr>
        <w:t>i</w:t>
      </w:r>
      <w:proofErr w:type="spellEnd"/>
      <w:r w:rsidR="00CE4305" w:rsidRPr="00AB7733">
        <w:rPr>
          <w:rFonts w:ascii="Times New Roman" w:eastAsia="Times New Roman" w:hAnsi="Times New Roman" w:cs="Times New Roman"/>
          <w:color w:val="000000"/>
          <w:sz w:val="24"/>
          <w:szCs w:val="24"/>
        </w:rPr>
        <w:t xml:space="preserve">) promote and improve the quality of individualized education programs (IEPs) for students with disabilities across the Commonwealth and (ii) ensure that each IEP contains key and required elements such as the student's academic or functional needs and goals, the Board of Education shall amend its </w:t>
      </w:r>
      <w:r w:rsidR="00CE4305" w:rsidRPr="00AB7733">
        <w:rPr>
          <w:rFonts w:ascii="Times New Roman" w:eastAsia="Times New Roman" w:hAnsi="Times New Roman" w:cs="Times New Roman"/>
          <w:i/>
          <w:color w:val="000000"/>
          <w:sz w:val="24"/>
          <w:szCs w:val="24"/>
        </w:rPr>
        <w:t xml:space="preserve">Regulations Governing the Review and Approval of Education Programs in Virginia </w:t>
      </w:r>
      <w:r w:rsidR="00CE4305" w:rsidRPr="00AB7733">
        <w:rPr>
          <w:rFonts w:ascii="Times New Roman" w:eastAsia="Times New Roman" w:hAnsi="Times New Roman" w:cs="Times New Roman"/>
          <w:color w:val="000000"/>
          <w:sz w:val="24"/>
          <w:szCs w:val="24"/>
        </w:rPr>
        <w:t>(8VAC20-543-10 et seq.) to ensure that each education preparation program graduate in a K-12 general education endorsement area demonstrates proficiency in understanding the role of general education teachers on the IEP team.</w:t>
      </w:r>
    </w:p>
    <w:p w:rsidR="00021750" w:rsidRPr="00AB7733" w:rsidRDefault="00021750" w:rsidP="00AB7733">
      <w:pPr>
        <w:spacing w:after="0" w:line="276" w:lineRule="auto"/>
        <w:rPr>
          <w:rFonts w:ascii="Times New Roman" w:eastAsia="Times New Roman" w:hAnsi="Times New Roman" w:cs="Times New Roman"/>
          <w:color w:val="000000"/>
          <w:sz w:val="24"/>
          <w:szCs w:val="24"/>
        </w:rPr>
      </w:pPr>
    </w:p>
    <w:p w:rsidR="00287190" w:rsidRPr="00AB7733" w:rsidRDefault="00C92F3D" w:rsidP="00AB7733">
      <w:pPr>
        <w:spacing w:after="0" w:line="276" w:lineRule="auto"/>
        <w:rPr>
          <w:rFonts w:ascii="Times New Roman" w:eastAsia="Times New Roman" w:hAnsi="Times New Roman" w:cs="Times New Roman"/>
          <w:color w:val="000000"/>
          <w:sz w:val="24"/>
          <w:szCs w:val="24"/>
        </w:rPr>
      </w:pPr>
      <w:hyperlink r:id="rId11" w:history="1">
        <w:r w:rsidR="0038580A" w:rsidRPr="00AB7733">
          <w:rPr>
            <w:rStyle w:val="Hyperlink"/>
            <w:rFonts w:ascii="Times New Roman" w:eastAsia="Times New Roman" w:hAnsi="Times New Roman"/>
            <w:sz w:val="24"/>
            <w:szCs w:val="24"/>
          </w:rPr>
          <w:t>HB2299</w:t>
        </w:r>
      </w:hyperlink>
      <w:r w:rsidR="0038580A" w:rsidRPr="00AB7733">
        <w:rPr>
          <w:rFonts w:ascii="Times New Roman" w:eastAsia="Times New Roman" w:hAnsi="Times New Roman" w:cs="Times New Roman"/>
          <w:color w:val="000000"/>
          <w:sz w:val="24"/>
          <w:szCs w:val="24"/>
        </w:rPr>
        <w:t xml:space="preserve"> (</w:t>
      </w:r>
      <w:proofErr w:type="spellStart"/>
      <w:r w:rsidR="0038580A" w:rsidRPr="00AB7733">
        <w:rPr>
          <w:rFonts w:ascii="Times New Roman" w:eastAsia="Times New Roman" w:hAnsi="Times New Roman" w:cs="Times New Roman"/>
          <w:color w:val="000000"/>
          <w:sz w:val="24"/>
          <w:szCs w:val="24"/>
        </w:rPr>
        <w:t>Carr</w:t>
      </w:r>
      <w:proofErr w:type="spellEnd"/>
      <w:r w:rsidR="0038580A" w:rsidRPr="00AB7733">
        <w:rPr>
          <w:rFonts w:ascii="Times New Roman" w:eastAsia="Times New Roman" w:hAnsi="Times New Roman" w:cs="Times New Roman"/>
          <w:color w:val="000000"/>
          <w:sz w:val="24"/>
          <w:szCs w:val="24"/>
        </w:rPr>
        <w:t xml:space="preserve">) and </w:t>
      </w:r>
      <w:hyperlink r:id="rId12" w:history="1">
        <w:r w:rsidR="0038580A" w:rsidRPr="00AB7733">
          <w:rPr>
            <w:rStyle w:val="Hyperlink"/>
            <w:rFonts w:ascii="Times New Roman" w:eastAsia="Times New Roman" w:hAnsi="Times New Roman"/>
            <w:sz w:val="24"/>
            <w:szCs w:val="24"/>
          </w:rPr>
          <w:t>SB1288</w:t>
        </w:r>
      </w:hyperlink>
      <w:r w:rsidR="0038580A" w:rsidRPr="00AB7733">
        <w:rPr>
          <w:rFonts w:ascii="Times New Roman" w:eastAsia="Times New Roman" w:hAnsi="Times New Roman" w:cs="Times New Roman"/>
          <w:color w:val="000000"/>
          <w:sz w:val="24"/>
          <w:szCs w:val="24"/>
        </w:rPr>
        <w:t xml:space="preserve"> (</w:t>
      </w:r>
      <w:proofErr w:type="spellStart"/>
      <w:r w:rsidR="0038580A" w:rsidRPr="00AB7733">
        <w:rPr>
          <w:rFonts w:ascii="Times New Roman" w:eastAsia="Times New Roman" w:hAnsi="Times New Roman" w:cs="Times New Roman"/>
          <w:color w:val="000000"/>
          <w:sz w:val="24"/>
          <w:szCs w:val="24"/>
        </w:rPr>
        <w:t>Dunnavant</w:t>
      </w:r>
      <w:proofErr w:type="spellEnd"/>
      <w:r w:rsidR="0038580A" w:rsidRPr="00AB7733">
        <w:rPr>
          <w:rFonts w:ascii="Times New Roman" w:eastAsia="Times New Roman" w:hAnsi="Times New Roman" w:cs="Times New Roman"/>
          <w:color w:val="000000"/>
          <w:sz w:val="24"/>
          <w:szCs w:val="24"/>
        </w:rPr>
        <w:t xml:space="preserve">) </w:t>
      </w:r>
      <w:r w:rsidR="00287190" w:rsidRPr="00AB7733">
        <w:rPr>
          <w:rFonts w:ascii="Times New Roman" w:eastAsia="Times New Roman" w:hAnsi="Times New Roman" w:cs="Times New Roman"/>
          <w:color w:val="000000"/>
          <w:sz w:val="24"/>
          <w:szCs w:val="24"/>
        </w:rPr>
        <w:t>amends and reenact</w:t>
      </w:r>
      <w:r w:rsidR="00404B70" w:rsidRPr="00AB7733">
        <w:rPr>
          <w:rFonts w:ascii="Times New Roman" w:eastAsia="Times New Roman" w:hAnsi="Times New Roman" w:cs="Times New Roman"/>
          <w:color w:val="000000"/>
          <w:sz w:val="24"/>
          <w:szCs w:val="24"/>
        </w:rPr>
        <w:t>s</w:t>
      </w:r>
      <w:r w:rsidR="00287190" w:rsidRPr="00AB7733">
        <w:rPr>
          <w:rFonts w:ascii="Times New Roman" w:eastAsia="Times New Roman" w:hAnsi="Times New Roman" w:cs="Times New Roman"/>
          <w:color w:val="000000"/>
          <w:sz w:val="24"/>
          <w:szCs w:val="24"/>
        </w:rPr>
        <w:t xml:space="preserve"> </w:t>
      </w:r>
      <w:hyperlink r:id="rId13" w:history="1">
        <w:r w:rsidR="00287190" w:rsidRPr="00AB7733">
          <w:rPr>
            <w:rStyle w:val="Hyperlink"/>
            <w:rFonts w:ascii="Times New Roman" w:eastAsia="Times New Roman" w:hAnsi="Times New Roman"/>
            <w:sz w:val="24"/>
            <w:szCs w:val="24"/>
          </w:rPr>
          <w:t>§§22.1-214</w:t>
        </w:r>
      </w:hyperlink>
      <w:r w:rsidR="00287190" w:rsidRPr="00AB7733">
        <w:rPr>
          <w:rFonts w:ascii="Times New Roman" w:eastAsia="Times New Roman" w:hAnsi="Times New Roman" w:cs="Times New Roman"/>
          <w:color w:val="000000"/>
          <w:sz w:val="24"/>
          <w:szCs w:val="24"/>
        </w:rPr>
        <w:t xml:space="preserve">, </w:t>
      </w:r>
      <w:hyperlink r:id="rId14" w:history="1">
        <w:r w:rsidR="00287190" w:rsidRPr="00AB7733">
          <w:rPr>
            <w:rStyle w:val="Hyperlink"/>
            <w:rFonts w:ascii="Times New Roman" w:eastAsia="Times New Roman" w:hAnsi="Times New Roman"/>
            <w:sz w:val="24"/>
            <w:szCs w:val="24"/>
          </w:rPr>
          <w:t>22.1-215</w:t>
        </w:r>
      </w:hyperlink>
      <w:r w:rsidR="00287190" w:rsidRPr="00AB7733">
        <w:rPr>
          <w:rFonts w:ascii="Times New Roman" w:eastAsia="Times New Roman" w:hAnsi="Times New Roman" w:cs="Times New Roman"/>
          <w:color w:val="000000"/>
          <w:sz w:val="24"/>
          <w:szCs w:val="24"/>
        </w:rPr>
        <w:t xml:space="preserve">, </w:t>
      </w:r>
      <w:hyperlink r:id="rId15" w:history="1">
        <w:r w:rsidR="00287190" w:rsidRPr="00AB7733">
          <w:rPr>
            <w:rStyle w:val="Hyperlink"/>
            <w:rFonts w:ascii="Times New Roman" w:eastAsia="Times New Roman" w:hAnsi="Times New Roman"/>
            <w:sz w:val="24"/>
            <w:szCs w:val="24"/>
          </w:rPr>
          <w:t>22.1-253.13:4</w:t>
        </w:r>
      </w:hyperlink>
      <w:r w:rsidR="00287190" w:rsidRPr="00AB7733">
        <w:rPr>
          <w:rFonts w:ascii="Times New Roman" w:eastAsia="Times New Roman" w:hAnsi="Times New Roman" w:cs="Times New Roman"/>
          <w:color w:val="000000"/>
          <w:sz w:val="24"/>
          <w:szCs w:val="24"/>
        </w:rPr>
        <w:t xml:space="preserve">, and </w:t>
      </w:r>
      <w:hyperlink r:id="rId16" w:history="1">
        <w:r w:rsidR="00287190" w:rsidRPr="00AB7733">
          <w:rPr>
            <w:rStyle w:val="Hyperlink"/>
            <w:rFonts w:ascii="Times New Roman" w:eastAsia="Times New Roman" w:hAnsi="Times New Roman"/>
            <w:sz w:val="24"/>
            <w:szCs w:val="24"/>
          </w:rPr>
          <w:t>22.1-298.1</w:t>
        </w:r>
      </w:hyperlink>
      <w:r w:rsidR="00287190" w:rsidRPr="00AB7733">
        <w:rPr>
          <w:rFonts w:ascii="Times New Roman" w:eastAsia="Times New Roman" w:hAnsi="Times New Roman" w:cs="Times New Roman"/>
          <w:color w:val="000000"/>
          <w:sz w:val="24"/>
          <w:szCs w:val="24"/>
        </w:rPr>
        <w:t xml:space="preserve"> of the </w:t>
      </w:r>
      <w:r w:rsidR="00287190" w:rsidRPr="00AB7733">
        <w:rPr>
          <w:rFonts w:ascii="Times New Roman" w:eastAsia="Times New Roman" w:hAnsi="Times New Roman" w:cs="Times New Roman"/>
          <w:i/>
          <w:color w:val="000000"/>
          <w:sz w:val="24"/>
          <w:szCs w:val="24"/>
        </w:rPr>
        <w:t>Code of Virginia</w:t>
      </w:r>
      <w:r w:rsidR="00CE4305" w:rsidRPr="00AB7733">
        <w:rPr>
          <w:rFonts w:ascii="Times New Roman" w:eastAsia="Times New Roman" w:hAnsi="Times New Roman" w:cs="Times New Roman"/>
          <w:color w:val="000000"/>
          <w:sz w:val="24"/>
          <w:szCs w:val="24"/>
        </w:rPr>
        <w:t xml:space="preserve"> </w:t>
      </w:r>
      <w:r w:rsidR="00287190" w:rsidRPr="00AB7733">
        <w:rPr>
          <w:rFonts w:ascii="Times New Roman" w:eastAsia="Times New Roman" w:hAnsi="Times New Roman" w:cs="Times New Roman"/>
          <w:color w:val="000000"/>
          <w:sz w:val="24"/>
          <w:szCs w:val="24"/>
        </w:rPr>
        <w:t xml:space="preserve">by adding a section numbered </w:t>
      </w:r>
      <w:hyperlink r:id="rId17" w:history="1">
        <w:r w:rsidR="00287190" w:rsidRPr="00AB7733">
          <w:rPr>
            <w:rStyle w:val="Hyperlink"/>
            <w:rFonts w:ascii="Times New Roman" w:eastAsia="Times New Roman" w:hAnsi="Times New Roman"/>
            <w:sz w:val="24"/>
            <w:szCs w:val="24"/>
          </w:rPr>
          <w:t>22.1-214.4,</w:t>
        </w:r>
      </w:hyperlink>
      <w:r w:rsidR="00287190" w:rsidRPr="00AB7733">
        <w:rPr>
          <w:rFonts w:ascii="Times New Roman" w:eastAsia="Times New Roman" w:hAnsi="Times New Roman" w:cs="Times New Roman"/>
          <w:color w:val="000000"/>
          <w:sz w:val="24"/>
          <w:szCs w:val="24"/>
        </w:rPr>
        <w:t xml:space="preserve"> relating to the Department of Education and the Board o</w:t>
      </w:r>
      <w:r w:rsidR="00331F77" w:rsidRPr="00AB7733">
        <w:rPr>
          <w:rFonts w:ascii="Times New Roman" w:eastAsia="Times New Roman" w:hAnsi="Times New Roman" w:cs="Times New Roman"/>
          <w:color w:val="000000"/>
          <w:sz w:val="24"/>
          <w:szCs w:val="24"/>
        </w:rPr>
        <w:t xml:space="preserve">f Education </w:t>
      </w:r>
      <w:r w:rsidR="00D71230" w:rsidRPr="00AB7733">
        <w:rPr>
          <w:rFonts w:ascii="Times New Roman" w:eastAsia="Times New Roman" w:hAnsi="Times New Roman" w:cs="Times New Roman"/>
          <w:color w:val="000000"/>
          <w:sz w:val="24"/>
          <w:szCs w:val="24"/>
        </w:rPr>
        <w:t xml:space="preserve">requiring a revision to the </w:t>
      </w:r>
      <w:r w:rsidR="00D71230" w:rsidRPr="00AB7733">
        <w:rPr>
          <w:rFonts w:ascii="Times New Roman" w:eastAsia="Times New Roman" w:hAnsi="Times New Roman" w:cs="Times New Roman"/>
          <w:i/>
          <w:color w:val="000000"/>
          <w:sz w:val="24"/>
          <w:szCs w:val="24"/>
        </w:rPr>
        <w:t xml:space="preserve">Regulations Governing the Review and Approval of Education Programs in Virginia </w:t>
      </w:r>
      <w:r w:rsidR="00D71230" w:rsidRPr="00AB7733">
        <w:rPr>
          <w:rFonts w:ascii="Times New Roman" w:eastAsia="Times New Roman" w:hAnsi="Times New Roman" w:cs="Times New Roman"/>
          <w:color w:val="000000"/>
          <w:sz w:val="24"/>
          <w:szCs w:val="24"/>
        </w:rPr>
        <w:t>(</w:t>
      </w:r>
      <w:hyperlink r:id="rId18" w:history="1">
        <w:r w:rsidR="00D71230" w:rsidRPr="00AB7733">
          <w:rPr>
            <w:rStyle w:val="Hyperlink"/>
            <w:rFonts w:ascii="Times New Roman" w:eastAsia="Times New Roman" w:hAnsi="Times New Roman"/>
            <w:sz w:val="24"/>
            <w:szCs w:val="24"/>
          </w:rPr>
          <w:t>8VAC20-543-80</w:t>
        </w:r>
      </w:hyperlink>
      <w:r w:rsidR="00D71230" w:rsidRPr="00AB7733">
        <w:rPr>
          <w:rFonts w:ascii="Times New Roman" w:eastAsia="Times New Roman" w:hAnsi="Times New Roman" w:cs="Times New Roman"/>
          <w:color w:val="000000"/>
          <w:sz w:val="24"/>
          <w:szCs w:val="24"/>
        </w:rPr>
        <w:t xml:space="preserve"> and </w:t>
      </w:r>
      <w:hyperlink r:id="rId19" w:history="1">
        <w:r w:rsidR="00D71230" w:rsidRPr="00AB7733">
          <w:rPr>
            <w:rStyle w:val="Hyperlink"/>
            <w:rFonts w:ascii="Times New Roman" w:eastAsia="Times New Roman" w:hAnsi="Times New Roman"/>
            <w:sz w:val="24"/>
            <w:szCs w:val="24"/>
          </w:rPr>
          <w:t>8VAC20-543-570</w:t>
        </w:r>
      </w:hyperlink>
      <w:r w:rsidR="00D71230" w:rsidRPr="00AB7733">
        <w:rPr>
          <w:rFonts w:ascii="Times New Roman" w:eastAsia="Times New Roman" w:hAnsi="Times New Roman" w:cs="Times New Roman"/>
          <w:color w:val="000000"/>
          <w:sz w:val="24"/>
          <w:szCs w:val="24"/>
        </w:rPr>
        <w:t>):</w:t>
      </w:r>
    </w:p>
    <w:p w:rsidR="00D71230" w:rsidRPr="00AB7733" w:rsidRDefault="00D71230" w:rsidP="00AB7733">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24"/>
          <w:szCs w:val="24"/>
        </w:rPr>
      </w:pPr>
      <w:r w:rsidRPr="00AB7733">
        <w:rPr>
          <w:rFonts w:ascii="Times New Roman" w:hAnsi="Times New Roman" w:cs="Times New Roman"/>
          <w:sz w:val="24"/>
          <w:szCs w:val="24"/>
        </w:rPr>
        <w:t>5. That the Board of Education shall review and amend its regulations governing general education teacher preparation programs for kindergarten through twelfth grade to ensure graduates are required to demonstrate proficiency in (</w:t>
      </w:r>
      <w:proofErr w:type="spellStart"/>
      <w:r w:rsidRPr="00AB7733">
        <w:rPr>
          <w:rFonts w:ascii="Times New Roman" w:hAnsi="Times New Roman" w:cs="Times New Roman"/>
          <w:sz w:val="24"/>
          <w:szCs w:val="24"/>
        </w:rPr>
        <w:t>i</w:t>
      </w:r>
      <w:proofErr w:type="spellEnd"/>
      <w:r w:rsidRPr="00AB7733">
        <w:rPr>
          <w:rFonts w:ascii="Times New Roman" w:hAnsi="Times New Roman" w:cs="Times New Roman"/>
          <w:sz w:val="24"/>
          <w:szCs w:val="24"/>
        </w:rPr>
        <w:t>) differentiating instruction for students depending on their needs; (ii) understanding the role of general education teachers on the individualized education program team; (iii) implementing effective models of collaborative instruction, including co-teaching; and (iv) understanding the goals and benefits of inclusive education for all students.</w:t>
      </w:r>
    </w:p>
    <w:p w:rsidR="00D71230" w:rsidRPr="00AB7733" w:rsidRDefault="00D71230" w:rsidP="00AB7733">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24"/>
          <w:szCs w:val="24"/>
        </w:rPr>
      </w:pPr>
    </w:p>
    <w:p w:rsidR="00D71230" w:rsidRPr="00AB7733" w:rsidRDefault="00D71230" w:rsidP="00AB7733">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24"/>
          <w:szCs w:val="24"/>
        </w:rPr>
      </w:pPr>
      <w:r w:rsidRPr="00AB7733">
        <w:rPr>
          <w:rFonts w:ascii="Times New Roman" w:hAnsi="Times New Roman" w:cs="Times New Roman"/>
          <w:sz w:val="24"/>
          <w:szCs w:val="24"/>
        </w:rPr>
        <w:t>6. That the Board of Education shall review and amend its regulations governing administrator preparation programs to ensure graduates are required to demonstrate comprehension of (</w:t>
      </w:r>
      <w:proofErr w:type="spellStart"/>
      <w:r w:rsidRPr="00AB7733">
        <w:rPr>
          <w:rFonts w:ascii="Times New Roman" w:hAnsi="Times New Roman" w:cs="Times New Roman"/>
          <w:sz w:val="24"/>
          <w:szCs w:val="24"/>
        </w:rPr>
        <w:t>i</w:t>
      </w:r>
      <w:proofErr w:type="spellEnd"/>
      <w:r w:rsidRPr="00AB7733">
        <w:rPr>
          <w:rFonts w:ascii="Times New Roman" w:hAnsi="Times New Roman" w:cs="Times New Roman"/>
          <w:sz w:val="24"/>
          <w:szCs w:val="24"/>
        </w:rPr>
        <w:t xml:space="preserve">) key special education laws and regulations, (ii) individualized education program development, (iii) the roles and responsibilities of special education teachers, and </w:t>
      </w:r>
      <w:proofErr w:type="gramStart"/>
      <w:r w:rsidRPr="00AB7733">
        <w:rPr>
          <w:rFonts w:ascii="Times New Roman" w:hAnsi="Times New Roman" w:cs="Times New Roman"/>
          <w:sz w:val="24"/>
          <w:szCs w:val="24"/>
        </w:rPr>
        <w:t>(iv) appropriate</w:t>
      </w:r>
      <w:proofErr w:type="gramEnd"/>
      <w:r w:rsidRPr="00AB7733">
        <w:rPr>
          <w:rFonts w:ascii="Times New Roman" w:hAnsi="Times New Roman" w:cs="Times New Roman"/>
          <w:sz w:val="24"/>
          <w:szCs w:val="24"/>
        </w:rPr>
        <w:t xml:space="preserve"> behavior management practices.</w:t>
      </w:r>
    </w:p>
    <w:p w:rsidR="001773C9" w:rsidRDefault="001773C9" w:rsidP="00AB7733">
      <w:pPr>
        <w:spacing w:after="0" w:line="276" w:lineRule="auto"/>
      </w:pPr>
    </w:p>
    <w:p w:rsidR="00E10EE7" w:rsidRDefault="00E10EE7" w:rsidP="00AB7733">
      <w:pPr>
        <w:spacing w:after="0" w:line="276" w:lineRule="auto"/>
      </w:pPr>
    </w:p>
    <w:p w:rsidR="001773C9" w:rsidRDefault="00C92F3D" w:rsidP="00AB7733">
      <w:pPr>
        <w:spacing w:after="0" w:line="276" w:lineRule="auto"/>
        <w:rPr>
          <w:rFonts w:ascii="Times New Roman" w:hAnsi="Times New Roman" w:cs="Times New Roman"/>
          <w:sz w:val="24"/>
          <w:szCs w:val="24"/>
        </w:rPr>
      </w:pPr>
      <w:hyperlink r:id="rId20" w:history="1">
        <w:r w:rsidR="001773C9" w:rsidRPr="00AB7733">
          <w:rPr>
            <w:rStyle w:val="Hyperlink"/>
            <w:rFonts w:ascii="Times New Roman" w:eastAsia="Times New Roman" w:hAnsi="Times New Roman"/>
            <w:sz w:val="24"/>
            <w:szCs w:val="24"/>
          </w:rPr>
          <w:t>HB2299</w:t>
        </w:r>
      </w:hyperlink>
      <w:r w:rsidR="001773C9" w:rsidRPr="00AB7733">
        <w:rPr>
          <w:rFonts w:ascii="Times New Roman" w:eastAsia="Times New Roman" w:hAnsi="Times New Roman" w:cs="Times New Roman"/>
          <w:color w:val="000000"/>
          <w:sz w:val="24"/>
          <w:szCs w:val="24"/>
        </w:rPr>
        <w:t xml:space="preserve"> (</w:t>
      </w:r>
      <w:proofErr w:type="spellStart"/>
      <w:r w:rsidR="001773C9" w:rsidRPr="00AB7733">
        <w:rPr>
          <w:rFonts w:ascii="Times New Roman" w:eastAsia="Times New Roman" w:hAnsi="Times New Roman" w:cs="Times New Roman"/>
          <w:color w:val="000000"/>
          <w:sz w:val="24"/>
          <w:szCs w:val="24"/>
        </w:rPr>
        <w:t>Carr</w:t>
      </w:r>
      <w:proofErr w:type="spellEnd"/>
      <w:r w:rsidR="001773C9" w:rsidRPr="00AB7733">
        <w:rPr>
          <w:rFonts w:ascii="Times New Roman" w:eastAsia="Times New Roman" w:hAnsi="Times New Roman" w:cs="Times New Roman"/>
          <w:color w:val="000000"/>
          <w:sz w:val="24"/>
          <w:szCs w:val="24"/>
        </w:rPr>
        <w:t xml:space="preserve">) and </w:t>
      </w:r>
      <w:hyperlink r:id="rId21" w:history="1">
        <w:r w:rsidR="001773C9" w:rsidRPr="00AB7733">
          <w:rPr>
            <w:rStyle w:val="Hyperlink"/>
            <w:rFonts w:ascii="Times New Roman" w:eastAsia="Times New Roman" w:hAnsi="Times New Roman"/>
            <w:sz w:val="24"/>
            <w:szCs w:val="24"/>
          </w:rPr>
          <w:t>SB1288</w:t>
        </w:r>
      </w:hyperlink>
      <w:r w:rsidR="001773C9" w:rsidRPr="00AB7733">
        <w:rPr>
          <w:rFonts w:ascii="Times New Roman" w:eastAsia="Times New Roman" w:hAnsi="Times New Roman" w:cs="Times New Roman"/>
          <w:color w:val="000000"/>
          <w:sz w:val="24"/>
          <w:szCs w:val="24"/>
        </w:rPr>
        <w:t xml:space="preserve"> (</w:t>
      </w:r>
      <w:proofErr w:type="spellStart"/>
      <w:r w:rsidR="001773C9" w:rsidRPr="00AB7733">
        <w:rPr>
          <w:rFonts w:ascii="Times New Roman" w:eastAsia="Times New Roman" w:hAnsi="Times New Roman" w:cs="Times New Roman"/>
          <w:color w:val="000000"/>
          <w:sz w:val="24"/>
          <w:szCs w:val="24"/>
        </w:rPr>
        <w:t>Dunnavant</w:t>
      </w:r>
      <w:proofErr w:type="spellEnd"/>
      <w:r w:rsidR="001773C9" w:rsidRPr="00AB7733">
        <w:rPr>
          <w:rFonts w:ascii="Times New Roman" w:eastAsia="Times New Roman" w:hAnsi="Times New Roman" w:cs="Times New Roman"/>
          <w:color w:val="000000"/>
          <w:sz w:val="24"/>
          <w:szCs w:val="24"/>
        </w:rPr>
        <w:t>)</w:t>
      </w:r>
      <w:r w:rsidR="001773C9">
        <w:rPr>
          <w:rFonts w:ascii="Times New Roman" w:eastAsia="Times New Roman" w:hAnsi="Times New Roman" w:cs="Times New Roman"/>
          <w:color w:val="000000"/>
          <w:sz w:val="24"/>
          <w:szCs w:val="24"/>
        </w:rPr>
        <w:t xml:space="preserve"> also </w:t>
      </w:r>
      <w:r w:rsidR="001773C9" w:rsidRPr="001773C9">
        <w:rPr>
          <w:rFonts w:ascii="Times New Roman" w:hAnsi="Times New Roman" w:cs="Times New Roman"/>
          <w:sz w:val="24"/>
          <w:szCs w:val="24"/>
        </w:rPr>
        <w:t>include</w:t>
      </w:r>
      <w:r w:rsidR="001773C9">
        <w:rPr>
          <w:rFonts w:ascii="Times New Roman" w:hAnsi="Times New Roman" w:cs="Times New Roman"/>
          <w:sz w:val="24"/>
          <w:szCs w:val="24"/>
        </w:rPr>
        <w:t>d</w:t>
      </w:r>
      <w:r w:rsidR="001773C9" w:rsidRPr="001773C9">
        <w:rPr>
          <w:rFonts w:ascii="Times New Roman" w:hAnsi="Times New Roman" w:cs="Times New Roman"/>
          <w:sz w:val="24"/>
          <w:szCs w:val="24"/>
        </w:rPr>
        <w:t xml:space="preserve"> the requirement that every person seeking renewal of a license as a teacher shall complete training in the instruction of students with disabilities, with details on training content set out in the bills</w:t>
      </w:r>
      <w:r w:rsidR="001773C9">
        <w:rPr>
          <w:rFonts w:ascii="Times New Roman" w:hAnsi="Times New Roman" w:cs="Times New Roman"/>
          <w:sz w:val="24"/>
          <w:szCs w:val="24"/>
        </w:rPr>
        <w:t xml:space="preserve">. </w:t>
      </w:r>
    </w:p>
    <w:p w:rsidR="00CE4305" w:rsidRPr="00AB7733" w:rsidRDefault="00FB125B" w:rsidP="00AB7733">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24"/>
          <w:szCs w:val="24"/>
        </w:rPr>
      </w:pPr>
      <w:r w:rsidRPr="00AB7733">
        <w:rPr>
          <w:rFonts w:ascii="Times New Roman" w:hAnsi="Times New Roman" w:cs="Times New Roman"/>
          <w:sz w:val="24"/>
          <w:szCs w:val="24"/>
        </w:rPr>
        <w:t>…</w:t>
      </w:r>
      <w:r w:rsidR="00CE4305" w:rsidRPr="00AB7733">
        <w:rPr>
          <w:rFonts w:ascii="Times New Roman" w:hAnsi="Times New Roman" w:cs="Times New Roman"/>
          <w:sz w:val="24"/>
          <w:szCs w:val="24"/>
        </w:rPr>
        <w:t xml:space="preserve">9. </w:t>
      </w:r>
      <w:r w:rsidR="001773C9" w:rsidRPr="001773C9">
        <w:rPr>
          <w:rFonts w:ascii="Times New Roman" w:hAnsi="Times New Roman" w:cs="Times New Roman"/>
          <w:iCs/>
          <w:sz w:val="24"/>
          <w:szCs w:val="24"/>
        </w:rPr>
        <w:t>Every person seeking renewal of a license as a teacher shall complete training in the instruction of students with disabilities that includes (</w:t>
      </w:r>
      <w:proofErr w:type="spellStart"/>
      <w:r w:rsidR="001773C9" w:rsidRPr="001773C9">
        <w:rPr>
          <w:rFonts w:ascii="Times New Roman" w:hAnsi="Times New Roman" w:cs="Times New Roman"/>
          <w:iCs/>
          <w:sz w:val="24"/>
          <w:szCs w:val="24"/>
        </w:rPr>
        <w:t>i</w:t>
      </w:r>
      <w:proofErr w:type="spellEnd"/>
      <w:r w:rsidR="001773C9" w:rsidRPr="001773C9">
        <w:rPr>
          <w:rFonts w:ascii="Times New Roman" w:hAnsi="Times New Roman" w:cs="Times New Roman"/>
          <w:iCs/>
          <w:sz w:val="24"/>
          <w:szCs w:val="24"/>
        </w:rPr>
        <w:t>) differentiating instruction for students depending on their needs; (ii) understanding the role of general education teachers on the individualized education program team; (iii) implementing effective models of collaborative instruction, including co-teaching; and (iv) understanding the goals and benefits of inclusive education for all students</w:t>
      </w:r>
      <w:r w:rsidR="001773C9" w:rsidRPr="001773C9">
        <w:rPr>
          <w:rFonts w:ascii="Times New Roman" w:hAnsi="Times New Roman" w:cs="Times New Roman"/>
          <w:sz w:val="24"/>
          <w:szCs w:val="24"/>
        </w:rPr>
        <w:t>.</w:t>
      </w:r>
      <w:r w:rsidR="001773C9">
        <w:rPr>
          <w:rFonts w:ascii="Times New Roman" w:hAnsi="Times New Roman" w:cs="Times New Roman"/>
          <w:sz w:val="24"/>
          <w:szCs w:val="24"/>
        </w:rPr>
        <w:t xml:space="preserve"> </w:t>
      </w:r>
    </w:p>
    <w:p w:rsidR="00586565" w:rsidRDefault="00586565" w:rsidP="00AB7733">
      <w:pPr>
        <w:spacing w:after="0" w:line="276" w:lineRule="auto"/>
        <w:rPr>
          <w:rFonts w:ascii="Times New Roman" w:hAnsi="Times New Roman" w:cs="Times New Roman"/>
          <w:b/>
          <w:sz w:val="24"/>
          <w:szCs w:val="24"/>
        </w:rPr>
      </w:pPr>
    </w:p>
    <w:p w:rsidR="007A0AA9" w:rsidRPr="00E10EE7" w:rsidRDefault="00C92F3D" w:rsidP="007A0AA9">
      <w:pPr>
        <w:spacing w:after="0" w:line="276" w:lineRule="auto"/>
        <w:rPr>
          <w:rFonts w:ascii="Times New Roman" w:eastAsia="Times New Roman" w:hAnsi="Times New Roman" w:cs="Times New Roman"/>
          <w:color w:val="000000"/>
          <w:sz w:val="24"/>
          <w:szCs w:val="24"/>
        </w:rPr>
      </w:pPr>
      <w:hyperlink r:id="rId22" w:history="1">
        <w:r w:rsidR="001773C9" w:rsidRPr="00AB7733">
          <w:rPr>
            <w:rStyle w:val="Hyperlink"/>
            <w:rFonts w:ascii="Times New Roman" w:eastAsia="Times New Roman" w:hAnsi="Times New Roman"/>
            <w:sz w:val="24"/>
            <w:szCs w:val="24"/>
          </w:rPr>
          <w:t>HB2299</w:t>
        </w:r>
      </w:hyperlink>
      <w:r w:rsidR="001773C9" w:rsidRPr="00AB7733">
        <w:rPr>
          <w:rFonts w:ascii="Times New Roman" w:eastAsia="Times New Roman" w:hAnsi="Times New Roman" w:cs="Times New Roman"/>
          <w:color w:val="000000"/>
          <w:sz w:val="24"/>
          <w:szCs w:val="24"/>
        </w:rPr>
        <w:t xml:space="preserve"> (</w:t>
      </w:r>
      <w:proofErr w:type="spellStart"/>
      <w:r w:rsidR="001773C9" w:rsidRPr="00AB7733">
        <w:rPr>
          <w:rFonts w:ascii="Times New Roman" w:eastAsia="Times New Roman" w:hAnsi="Times New Roman" w:cs="Times New Roman"/>
          <w:color w:val="000000"/>
          <w:sz w:val="24"/>
          <w:szCs w:val="24"/>
        </w:rPr>
        <w:t>Carr</w:t>
      </w:r>
      <w:proofErr w:type="spellEnd"/>
      <w:r w:rsidR="001773C9" w:rsidRPr="00AB7733">
        <w:rPr>
          <w:rFonts w:ascii="Times New Roman" w:eastAsia="Times New Roman" w:hAnsi="Times New Roman" w:cs="Times New Roman"/>
          <w:color w:val="000000"/>
          <w:sz w:val="24"/>
          <w:szCs w:val="24"/>
        </w:rPr>
        <w:t xml:space="preserve">) and </w:t>
      </w:r>
      <w:hyperlink r:id="rId23" w:history="1">
        <w:r w:rsidR="001773C9" w:rsidRPr="00AB7733">
          <w:rPr>
            <w:rStyle w:val="Hyperlink"/>
            <w:rFonts w:ascii="Times New Roman" w:eastAsia="Times New Roman" w:hAnsi="Times New Roman"/>
            <w:sz w:val="24"/>
            <w:szCs w:val="24"/>
          </w:rPr>
          <w:t>SB1288</w:t>
        </w:r>
      </w:hyperlink>
      <w:r w:rsidR="001773C9" w:rsidRPr="00AB7733">
        <w:rPr>
          <w:rFonts w:ascii="Times New Roman" w:eastAsia="Times New Roman" w:hAnsi="Times New Roman" w:cs="Times New Roman"/>
          <w:color w:val="000000"/>
          <w:sz w:val="24"/>
          <w:szCs w:val="24"/>
        </w:rPr>
        <w:t xml:space="preserve"> (</w:t>
      </w:r>
      <w:proofErr w:type="spellStart"/>
      <w:r w:rsidR="001773C9" w:rsidRPr="00AB7733">
        <w:rPr>
          <w:rFonts w:ascii="Times New Roman" w:eastAsia="Times New Roman" w:hAnsi="Times New Roman" w:cs="Times New Roman"/>
          <w:color w:val="000000"/>
          <w:sz w:val="24"/>
          <w:szCs w:val="24"/>
        </w:rPr>
        <w:t>Dunnavant</w:t>
      </w:r>
      <w:proofErr w:type="spellEnd"/>
      <w:r w:rsidR="001773C9" w:rsidRPr="00AB7733">
        <w:rPr>
          <w:rFonts w:ascii="Times New Roman" w:eastAsia="Times New Roman" w:hAnsi="Times New Roman" w:cs="Times New Roman"/>
          <w:color w:val="000000"/>
          <w:sz w:val="24"/>
          <w:szCs w:val="24"/>
        </w:rPr>
        <w:t xml:space="preserve">) </w:t>
      </w:r>
      <w:r w:rsidR="001773C9">
        <w:rPr>
          <w:rFonts w:ascii="Times New Roman" w:eastAsia="Times New Roman" w:hAnsi="Times New Roman" w:cs="Times New Roman"/>
          <w:color w:val="000000"/>
          <w:sz w:val="24"/>
          <w:szCs w:val="24"/>
        </w:rPr>
        <w:t>amended</w:t>
      </w:r>
      <w:r w:rsidR="007A0AA9">
        <w:rPr>
          <w:rFonts w:ascii="Times New Roman" w:eastAsia="Times New Roman" w:hAnsi="Times New Roman" w:cs="Times New Roman"/>
          <w:color w:val="000000"/>
          <w:sz w:val="24"/>
          <w:szCs w:val="24"/>
        </w:rPr>
        <w:t xml:space="preserve"> </w:t>
      </w:r>
      <w:r w:rsidR="001773C9" w:rsidRPr="00AB7733">
        <w:rPr>
          <w:rFonts w:ascii="Times New Roman" w:eastAsia="Times New Roman" w:hAnsi="Times New Roman" w:cs="Times New Roman"/>
          <w:color w:val="000000"/>
          <w:sz w:val="24"/>
          <w:szCs w:val="24"/>
        </w:rPr>
        <w:t xml:space="preserve">the </w:t>
      </w:r>
      <w:r w:rsidR="001773C9" w:rsidRPr="00AB7733">
        <w:rPr>
          <w:rFonts w:ascii="Times New Roman" w:eastAsia="Times New Roman" w:hAnsi="Times New Roman" w:cs="Times New Roman"/>
          <w:i/>
          <w:color w:val="000000"/>
          <w:sz w:val="24"/>
          <w:szCs w:val="24"/>
        </w:rPr>
        <w:t>Code of Virginia</w:t>
      </w:r>
      <w:r w:rsidR="001773C9" w:rsidRPr="00AB7733">
        <w:rPr>
          <w:rFonts w:ascii="Times New Roman" w:eastAsia="Times New Roman" w:hAnsi="Times New Roman" w:cs="Times New Roman"/>
          <w:color w:val="000000"/>
          <w:sz w:val="24"/>
          <w:szCs w:val="24"/>
        </w:rPr>
        <w:t xml:space="preserve"> by adding a</w:t>
      </w:r>
      <w:r w:rsidR="007A0AA9">
        <w:rPr>
          <w:rFonts w:ascii="Times New Roman" w:eastAsia="Times New Roman" w:hAnsi="Times New Roman" w:cs="Times New Roman"/>
          <w:color w:val="000000"/>
          <w:sz w:val="24"/>
          <w:szCs w:val="24"/>
        </w:rPr>
        <w:t xml:space="preserve"> numbered</w:t>
      </w:r>
      <w:r w:rsidR="001773C9" w:rsidRPr="00AB7733">
        <w:rPr>
          <w:rFonts w:ascii="Times New Roman" w:eastAsia="Times New Roman" w:hAnsi="Times New Roman" w:cs="Times New Roman"/>
          <w:color w:val="000000"/>
          <w:sz w:val="24"/>
          <w:szCs w:val="24"/>
        </w:rPr>
        <w:t xml:space="preserve"> section </w:t>
      </w:r>
      <w:r w:rsidR="001773C9">
        <w:rPr>
          <w:rFonts w:ascii="Times New Roman" w:eastAsia="Times New Roman" w:hAnsi="Times New Roman" w:cs="Times New Roman"/>
          <w:color w:val="000000"/>
          <w:sz w:val="24"/>
          <w:szCs w:val="24"/>
        </w:rPr>
        <w:t>to</w:t>
      </w:r>
      <w:r w:rsidR="001773C9" w:rsidRPr="00AB7733">
        <w:rPr>
          <w:rFonts w:ascii="Times New Roman" w:eastAsia="Times New Roman" w:hAnsi="Times New Roman" w:cs="Times New Roman"/>
          <w:color w:val="000000"/>
          <w:sz w:val="24"/>
          <w:szCs w:val="24"/>
        </w:rPr>
        <w:t xml:space="preserve"> </w:t>
      </w:r>
      <w:hyperlink r:id="rId24" w:history="1">
        <w:r w:rsidR="007A0AA9">
          <w:rPr>
            <w:rStyle w:val="Hyperlink"/>
            <w:rFonts w:ascii="Times New Roman" w:eastAsia="Times New Roman" w:hAnsi="Times New Roman"/>
            <w:sz w:val="24"/>
            <w:szCs w:val="24"/>
          </w:rPr>
          <w:t>§ 22.1-298.1</w:t>
        </w:r>
      </w:hyperlink>
      <w:r w:rsidR="007A0AA9">
        <w:rPr>
          <w:rFonts w:ascii="Times New Roman" w:eastAsia="Times New Roman" w:hAnsi="Times New Roman" w:cs="Times New Roman"/>
          <w:color w:val="000000"/>
          <w:sz w:val="24"/>
          <w:szCs w:val="24"/>
        </w:rPr>
        <w:t xml:space="preserve">, </w:t>
      </w:r>
      <w:r w:rsidR="001773C9" w:rsidRPr="00AB7733">
        <w:rPr>
          <w:rFonts w:ascii="Times New Roman" w:eastAsia="Times New Roman" w:hAnsi="Times New Roman" w:cs="Times New Roman"/>
          <w:color w:val="000000"/>
          <w:sz w:val="24"/>
          <w:szCs w:val="24"/>
        </w:rPr>
        <w:t xml:space="preserve">relating to the Department of Education and the Board of Education requiring a revision to the </w:t>
      </w:r>
      <w:r w:rsidR="007A0AA9">
        <w:rPr>
          <w:rFonts w:ascii="Times New Roman" w:eastAsia="Times New Roman" w:hAnsi="Times New Roman" w:cs="Times New Roman"/>
          <w:i/>
          <w:color w:val="000000"/>
          <w:sz w:val="24"/>
          <w:szCs w:val="24"/>
        </w:rPr>
        <w:t xml:space="preserve">Licensure Regulations of School Personnel </w:t>
      </w:r>
      <w:r w:rsidR="001773C9" w:rsidRPr="00AB7733">
        <w:rPr>
          <w:rFonts w:ascii="Times New Roman" w:eastAsia="Times New Roman" w:hAnsi="Times New Roman" w:cs="Times New Roman"/>
          <w:color w:val="000000"/>
          <w:sz w:val="24"/>
          <w:szCs w:val="24"/>
        </w:rPr>
        <w:t>(</w:t>
      </w:r>
      <w:hyperlink r:id="rId25" w:history="1">
        <w:r w:rsidR="007A0AA9">
          <w:rPr>
            <w:rStyle w:val="Hyperlink"/>
            <w:rFonts w:ascii="Times New Roman" w:eastAsia="Times New Roman" w:hAnsi="Times New Roman"/>
            <w:sz w:val="24"/>
            <w:szCs w:val="24"/>
          </w:rPr>
          <w:t>8VAC20-23-110</w:t>
        </w:r>
      </w:hyperlink>
      <w:r w:rsidR="001773C9" w:rsidRPr="00AB7733">
        <w:rPr>
          <w:rFonts w:ascii="Times New Roman" w:eastAsia="Times New Roman" w:hAnsi="Times New Roman" w:cs="Times New Roman"/>
          <w:color w:val="000000"/>
          <w:sz w:val="24"/>
          <w:szCs w:val="24"/>
        </w:rPr>
        <w:t>)</w:t>
      </w:r>
      <w:r w:rsidR="007A0AA9">
        <w:rPr>
          <w:rFonts w:ascii="Times New Roman" w:eastAsia="Times New Roman" w:hAnsi="Times New Roman" w:cs="Times New Roman"/>
          <w:color w:val="000000"/>
          <w:sz w:val="24"/>
          <w:szCs w:val="24"/>
        </w:rPr>
        <w:t>.</w:t>
      </w:r>
    </w:p>
    <w:p w:rsidR="007A0AA9" w:rsidRPr="00AB7733" w:rsidRDefault="007A0AA9" w:rsidP="007A0AA9">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24"/>
          <w:szCs w:val="24"/>
        </w:rPr>
      </w:pPr>
      <w:r w:rsidRPr="00AB7733">
        <w:rPr>
          <w:rFonts w:ascii="Times New Roman" w:hAnsi="Times New Roman" w:cs="Times New Roman"/>
          <w:sz w:val="24"/>
          <w:szCs w:val="24"/>
        </w:rPr>
        <w:t xml:space="preserve">…9. </w:t>
      </w:r>
      <w:r w:rsidRPr="001773C9">
        <w:rPr>
          <w:rFonts w:ascii="Times New Roman" w:hAnsi="Times New Roman" w:cs="Times New Roman"/>
          <w:iCs/>
          <w:sz w:val="24"/>
          <w:szCs w:val="24"/>
        </w:rPr>
        <w:t>Every person seeking renewal of a license as a teacher shall complete training in the instruction of students with disabilities that includes (</w:t>
      </w:r>
      <w:proofErr w:type="spellStart"/>
      <w:r w:rsidRPr="001773C9">
        <w:rPr>
          <w:rFonts w:ascii="Times New Roman" w:hAnsi="Times New Roman" w:cs="Times New Roman"/>
          <w:iCs/>
          <w:sz w:val="24"/>
          <w:szCs w:val="24"/>
        </w:rPr>
        <w:t>i</w:t>
      </w:r>
      <w:proofErr w:type="spellEnd"/>
      <w:r w:rsidRPr="001773C9">
        <w:rPr>
          <w:rFonts w:ascii="Times New Roman" w:hAnsi="Times New Roman" w:cs="Times New Roman"/>
          <w:iCs/>
          <w:sz w:val="24"/>
          <w:szCs w:val="24"/>
        </w:rPr>
        <w:t>) differentiating instruction for students depending on their needs; (ii) understanding the role of general education teachers on the individualized education program team; (iii) implementing effective models of collaborative instruction, including co-teaching; and (iv) understanding the goals and benefits of inclusive education for all students</w:t>
      </w:r>
      <w:r w:rsidRPr="001773C9">
        <w:rPr>
          <w:rFonts w:ascii="Times New Roman" w:hAnsi="Times New Roman" w:cs="Times New Roman"/>
          <w:sz w:val="24"/>
          <w:szCs w:val="24"/>
        </w:rPr>
        <w:t>.</w:t>
      </w:r>
      <w:r>
        <w:rPr>
          <w:rFonts w:ascii="Times New Roman" w:hAnsi="Times New Roman" w:cs="Times New Roman"/>
          <w:sz w:val="24"/>
          <w:szCs w:val="24"/>
        </w:rPr>
        <w:t xml:space="preserve"> </w:t>
      </w:r>
    </w:p>
    <w:p w:rsidR="007A0AA9" w:rsidRDefault="007A0AA9" w:rsidP="007A0AA9">
      <w:pPr>
        <w:spacing w:after="0" w:line="276" w:lineRule="auto"/>
        <w:rPr>
          <w:rFonts w:ascii="Times New Roman" w:hAnsi="Times New Roman" w:cs="Times New Roman"/>
          <w:b/>
          <w:sz w:val="24"/>
          <w:szCs w:val="24"/>
        </w:rPr>
      </w:pPr>
    </w:p>
    <w:p w:rsidR="0038580A" w:rsidRPr="00AB7733" w:rsidRDefault="007A0AA9" w:rsidP="00AB7733">
      <w:pPr>
        <w:spacing w:after="0" w:line="276" w:lineRule="auto"/>
        <w:rPr>
          <w:rFonts w:ascii="Times New Roman" w:hAnsi="Times New Roman" w:cs="Times New Roman"/>
          <w:b/>
          <w:sz w:val="24"/>
          <w:szCs w:val="24"/>
        </w:rPr>
      </w:pPr>
      <w:r w:rsidRPr="002B1BCD">
        <w:rPr>
          <w:rFonts w:ascii="Times New Roman" w:hAnsi="Times New Roman" w:cs="Times New Roman"/>
          <w:b/>
          <w:sz w:val="24"/>
          <w:szCs w:val="24"/>
          <w:u w:val="single"/>
        </w:rPr>
        <w:lastRenderedPageBreak/>
        <w:t>Additional Information</w:t>
      </w:r>
      <w:r w:rsidR="0038580A" w:rsidRPr="00AB7733">
        <w:rPr>
          <w:rFonts w:ascii="Times New Roman" w:hAnsi="Times New Roman" w:cs="Times New Roman"/>
          <w:b/>
          <w:sz w:val="24"/>
          <w:szCs w:val="24"/>
        </w:rPr>
        <w:t>:</w:t>
      </w:r>
    </w:p>
    <w:p w:rsidR="00CB5E54" w:rsidRPr="00AB7733" w:rsidRDefault="007A0AA9" w:rsidP="00AB7733">
      <w:pPr>
        <w:spacing w:after="0" w:line="276" w:lineRule="auto"/>
        <w:rPr>
          <w:rFonts w:ascii="Times New Roman" w:hAnsi="Times New Roman" w:cs="Times New Roman"/>
          <w:b/>
          <w:sz w:val="24"/>
          <w:szCs w:val="24"/>
        </w:rPr>
      </w:pPr>
      <w:r>
        <w:rPr>
          <w:rFonts w:ascii="Times New Roman" w:hAnsi="Times New Roman" w:cs="Times New Roman"/>
          <w:sz w:val="24"/>
          <w:szCs w:val="24"/>
        </w:rPr>
        <w:t>While the</w:t>
      </w:r>
      <w:r w:rsidR="00144870" w:rsidRPr="00AB7733">
        <w:rPr>
          <w:rFonts w:ascii="Times New Roman" w:hAnsi="Times New Roman" w:cs="Times New Roman"/>
          <w:sz w:val="24"/>
          <w:szCs w:val="24"/>
        </w:rPr>
        <w:t xml:space="preserve"> proposed amendments to the </w:t>
      </w:r>
      <w:r w:rsidR="00144870" w:rsidRPr="00AB7733">
        <w:rPr>
          <w:rFonts w:ascii="Times New Roman" w:hAnsi="Times New Roman" w:cs="Times New Roman"/>
          <w:i/>
          <w:sz w:val="24"/>
          <w:szCs w:val="24"/>
        </w:rPr>
        <w:t>Regulations Governing the Review and Approval of Education Programs in Virginia</w:t>
      </w:r>
      <w:r w:rsidR="00144870" w:rsidRPr="00AB7733">
        <w:rPr>
          <w:rFonts w:ascii="Times New Roman" w:hAnsi="Times New Roman" w:cs="Times New Roman"/>
          <w:sz w:val="24"/>
          <w:szCs w:val="24"/>
        </w:rPr>
        <w:t xml:space="preserve"> </w:t>
      </w:r>
      <w:r w:rsidR="00E10EE7">
        <w:rPr>
          <w:rFonts w:ascii="Times New Roman" w:hAnsi="Times New Roman" w:cs="Times New Roman"/>
          <w:sz w:val="24"/>
          <w:szCs w:val="24"/>
        </w:rPr>
        <w:t>were approved by the Advisory Board for Teacher Education and Licensure (ABTEL)</w:t>
      </w:r>
      <w:r>
        <w:rPr>
          <w:rFonts w:ascii="Times New Roman" w:hAnsi="Times New Roman" w:cs="Times New Roman"/>
          <w:sz w:val="24"/>
          <w:szCs w:val="24"/>
        </w:rPr>
        <w:t xml:space="preserve"> at the April 26, 2021 meeting, the proposed amendments to the </w:t>
      </w:r>
      <w:r w:rsidRPr="007A0AA9">
        <w:rPr>
          <w:rFonts w:ascii="Times New Roman" w:hAnsi="Times New Roman" w:cs="Times New Roman"/>
          <w:i/>
          <w:sz w:val="24"/>
          <w:szCs w:val="24"/>
        </w:rPr>
        <w:t>Licensure Regulations for School Personnel</w:t>
      </w:r>
      <w:r>
        <w:rPr>
          <w:rFonts w:ascii="Times New Roman" w:hAnsi="Times New Roman" w:cs="Times New Roman"/>
          <w:sz w:val="24"/>
          <w:szCs w:val="24"/>
        </w:rPr>
        <w:t xml:space="preserve"> </w:t>
      </w:r>
      <w:r w:rsidR="00255753">
        <w:rPr>
          <w:rFonts w:ascii="Times New Roman" w:hAnsi="Times New Roman" w:cs="Times New Roman"/>
          <w:sz w:val="24"/>
          <w:szCs w:val="24"/>
        </w:rPr>
        <w:t xml:space="preserve">related to licensure renewal </w:t>
      </w:r>
      <w:r w:rsidR="00E10EE7">
        <w:rPr>
          <w:rFonts w:ascii="Times New Roman" w:hAnsi="Times New Roman" w:cs="Times New Roman"/>
          <w:sz w:val="24"/>
          <w:szCs w:val="24"/>
        </w:rPr>
        <w:t>were not reviewed by ABTEL prior to beginning the regulatory process. Both of t</w:t>
      </w:r>
      <w:r>
        <w:rPr>
          <w:rFonts w:ascii="Times New Roman" w:hAnsi="Times New Roman" w:cs="Times New Roman"/>
          <w:sz w:val="24"/>
          <w:szCs w:val="24"/>
        </w:rPr>
        <w:t>hese items</w:t>
      </w:r>
      <w:r w:rsidR="00E10EE7">
        <w:rPr>
          <w:rFonts w:ascii="Times New Roman" w:hAnsi="Times New Roman" w:cs="Times New Roman"/>
          <w:sz w:val="24"/>
          <w:szCs w:val="24"/>
        </w:rPr>
        <w:t>, however,</w:t>
      </w:r>
      <w:r>
        <w:rPr>
          <w:rFonts w:ascii="Times New Roman" w:hAnsi="Times New Roman" w:cs="Times New Roman"/>
          <w:sz w:val="24"/>
          <w:szCs w:val="24"/>
        </w:rPr>
        <w:t xml:space="preserve"> </w:t>
      </w:r>
      <w:r w:rsidRPr="00AB7733">
        <w:rPr>
          <w:rFonts w:ascii="Times New Roman" w:hAnsi="Times New Roman" w:cs="Times New Roman"/>
          <w:sz w:val="24"/>
        </w:rPr>
        <w:t>follow</w:t>
      </w:r>
      <w:r>
        <w:rPr>
          <w:rFonts w:ascii="Times New Roman" w:hAnsi="Times New Roman" w:cs="Times New Roman"/>
          <w:sz w:val="24"/>
        </w:rPr>
        <w:t>ed</w:t>
      </w:r>
      <w:r w:rsidRPr="00AB7733">
        <w:rPr>
          <w:rFonts w:ascii="Times New Roman" w:hAnsi="Times New Roman" w:cs="Times New Roman"/>
          <w:sz w:val="24"/>
        </w:rPr>
        <w:t xml:space="preserve"> the fast-track rulemaking requirements of the A</w:t>
      </w:r>
      <w:r>
        <w:rPr>
          <w:rFonts w:ascii="Times New Roman" w:hAnsi="Times New Roman" w:cs="Times New Roman"/>
          <w:sz w:val="24"/>
        </w:rPr>
        <w:t xml:space="preserve">dministrative Process Act (APA) and will be effective July 1, 2022. </w:t>
      </w:r>
      <w:r w:rsidR="00E10EE7">
        <w:rPr>
          <w:rFonts w:ascii="Times New Roman" w:hAnsi="Times New Roman" w:cs="Times New Roman"/>
          <w:sz w:val="24"/>
        </w:rPr>
        <w:t xml:space="preserve">The institutions of higher education are tasked with embedding the new legislation requirements into their state-approve teacher education preparation programs. The </w:t>
      </w:r>
      <w:r>
        <w:rPr>
          <w:rFonts w:ascii="Times New Roman" w:hAnsi="Times New Roman" w:cs="Times New Roman"/>
          <w:sz w:val="24"/>
        </w:rPr>
        <w:t xml:space="preserve">Department of Special Education and Student Services has developed two modules that will satisfy the </w:t>
      </w:r>
      <w:r w:rsidR="00E10EE7">
        <w:rPr>
          <w:rFonts w:ascii="Times New Roman" w:hAnsi="Times New Roman" w:cs="Times New Roman"/>
          <w:sz w:val="24"/>
        </w:rPr>
        <w:t xml:space="preserve">licensure </w:t>
      </w:r>
      <w:r>
        <w:rPr>
          <w:rFonts w:ascii="Times New Roman" w:hAnsi="Times New Roman" w:cs="Times New Roman"/>
          <w:sz w:val="24"/>
        </w:rPr>
        <w:t xml:space="preserve">renewal requirements. Both </w:t>
      </w:r>
      <w:r w:rsidR="00A767CF">
        <w:rPr>
          <w:rFonts w:ascii="Times New Roman" w:hAnsi="Times New Roman" w:cs="Times New Roman"/>
          <w:sz w:val="24"/>
        </w:rPr>
        <w:t>modules will be provided free of</w:t>
      </w:r>
      <w:r>
        <w:rPr>
          <w:rFonts w:ascii="Times New Roman" w:hAnsi="Times New Roman" w:cs="Times New Roman"/>
          <w:sz w:val="24"/>
        </w:rPr>
        <w:t xml:space="preserve"> charge to users and will be linked on the licensure webpage. Each module takes </w:t>
      </w:r>
      <w:r w:rsidR="009E66A0">
        <w:rPr>
          <w:rFonts w:ascii="Times New Roman" w:hAnsi="Times New Roman" w:cs="Times New Roman"/>
          <w:sz w:val="24"/>
        </w:rPr>
        <w:t>approximately</w:t>
      </w:r>
      <w:r>
        <w:rPr>
          <w:rFonts w:ascii="Times New Roman" w:hAnsi="Times New Roman" w:cs="Times New Roman"/>
          <w:sz w:val="24"/>
        </w:rPr>
        <w:t xml:space="preserve"> 35 minutes to complete and a certificate of completion will print at the end. </w:t>
      </w:r>
      <w:r w:rsidR="009E66A0">
        <w:rPr>
          <w:rFonts w:ascii="Times New Roman" w:hAnsi="Times New Roman" w:cs="Times New Roman"/>
          <w:sz w:val="24"/>
        </w:rPr>
        <w:t xml:space="preserve">For those license holders who do not submit their June 30, 2022 expiring license renewal application prior to July 1, 2022, they will be subject to this new statutory requirement. However, </w:t>
      </w:r>
      <w:hyperlink r:id="rId26" w:history="1">
        <w:r w:rsidR="009E66A0" w:rsidRPr="009E66A0">
          <w:rPr>
            <w:rStyle w:val="Hyperlink"/>
            <w:rFonts w:ascii="Times New Roman" w:hAnsi="Times New Roman"/>
            <w:sz w:val="24"/>
          </w:rPr>
          <w:t>HB236</w:t>
        </w:r>
      </w:hyperlink>
      <w:r w:rsidR="009E66A0">
        <w:rPr>
          <w:rFonts w:ascii="Times New Roman" w:hAnsi="Times New Roman" w:cs="Times New Roman"/>
          <w:sz w:val="24"/>
        </w:rPr>
        <w:t xml:space="preserve"> (</w:t>
      </w:r>
      <w:proofErr w:type="spellStart"/>
      <w:r w:rsidR="009E66A0">
        <w:rPr>
          <w:rFonts w:ascii="Times New Roman" w:hAnsi="Times New Roman" w:cs="Times New Roman"/>
          <w:sz w:val="24"/>
        </w:rPr>
        <w:t>Orrock</w:t>
      </w:r>
      <w:proofErr w:type="spellEnd"/>
      <w:r w:rsidR="009E66A0">
        <w:rPr>
          <w:rFonts w:ascii="Times New Roman" w:hAnsi="Times New Roman" w:cs="Times New Roman"/>
          <w:sz w:val="24"/>
        </w:rPr>
        <w:t>) allows for the Board of Education to grant a two-year extension for any license that expires on July 1, 2022 for individuals who cannot meet licensure requirements.</w:t>
      </w:r>
    </w:p>
    <w:p w:rsidR="00B1433F" w:rsidRDefault="00B1433F">
      <w:pPr>
        <w:rPr>
          <w:rFonts w:ascii="Times New Roman" w:hAnsi="Times New Roman" w:cs="Times New Roman"/>
          <w:b/>
          <w:sz w:val="24"/>
          <w:szCs w:val="24"/>
        </w:rPr>
      </w:pPr>
    </w:p>
    <w:p w:rsidR="00E10EE7" w:rsidRDefault="00E22626" w:rsidP="00B43698">
      <w:pPr>
        <w:spacing w:after="0" w:line="240" w:lineRule="auto"/>
        <w:rPr>
          <w:rFonts w:ascii="Times New Roman" w:hAnsi="Times New Roman" w:cs="Times New Roman"/>
          <w:b/>
          <w:sz w:val="24"/>
          <w:szCs w:val="24"/>
        </w:rPr>
      </w:pPr>
      <w:r w:rsidRPr="002B1BCD">
        <w:rPr>
          <w:rFonts w:ascii="Times New Roman" w:hAnsi="Times New Roman" w:cs="Times New Roman"/>
          <w:b/>
          <w:sz w:val="24"/>
          <w:szCs w:val="24"/>
          <w:u w:val="single"/>
        </w:rPr>
        <w:t>Next Steps</w:t>
      </w:r>
      <w:r w:rsidR="001C6E3A">
        <w:rPr>
          <w:rFonts w:ascii="Times New Roman" w:hAnsi="Times New Roman" w:cs="Times New Roman"/>
          <w:b/>
          <w:sz w:val="24"/>
          <w:szCs w:val="24"/>
        </w:rPr>
        <w:t>:</w:t>
      </w:r>
    </w:p>
    <w:p w:rsidR="00A314B7" w:rsidRDefault="00E10EE7" w:rsidP="00DC20D3">
      <w:pPr>
        <w:rPr>
          <w:rFonts w:ascii="Times New Roman" w:hAnsi="Times New Roman" w:cs="Times New Roman"/>
          <w:sz w:val="24"/>
        </w:rPr>
      </w:pPr>
      <w:r>
        <w:rPr>
          <w:rFonts w:ascii="Times New Roman" w:hAnsi="Times New Roman" w:cs="Times New Roman"/>
          <w:sz w:val="24"/>
        </w:rPr>
        <w:t>Th</w:t>
      </w:r>
      <w:r w:rsidR="00DC20D3">
        <w:rPr>
          <w:rFonts w:ascii="Times New Roman" w:hAnsi="Times New Roman" w:cs="Times New Roman"/>
          <w:sz w:val="24"/>
        </w:rPr>
        <w:t>e Office of Teacher Education will provide an update to all education preparation program</w:t>
      </w:r>
      <w:r w:rsidR="00A314B7">
        <w:rPr>
          <w:rFonts w:ascii="Times New Roman" w:hAnsi="Times New Roman" w:cs="Times New Roman"/>
          <w:sz w:val="24"/>
        </w:rPr>
        <w:t>s</w:t>
      </w:r>
      <w:r w:rsidR="00DC20D3">
        <w:rPr>
          <w:rFonts w:ascii="Times New Roman" w:hAnsi="Times New Roman" w:cs="Times New Roman"/>
          <w:sz w:val="24"/>
        </w:rPr>
        <w:t xml:space="preserve"> offered at institutions of higher education in the </w:t>
      </w:r>
      <w:r w:rsidR="00A314B7">
        <w:rPr>
          <w:rFonts w:ascii="Times New Roman" w:hAnsi="Times New Roman" w:cs="Times New Roman"/>
          <w:sz w:val="24"/>
        </w:rPr>
        <w:t>Commonwealth using</w:t>
      </w:r>
      <w:r w:rsidR="00DC20D3">
        <w:rPr>
          <w:rFonts w:ascii="Times New Roman" w:hAnsi="Times New Roman" w:cs="Times New Roman"/>
          <w:sz w:val="24"/>
        </w:rPr>
        <w:t xml:space="preserve"> direct email</w:t>
      </w:r>
      <w:r w:rsidR="00A314B7">
        <w:rPr>
          <w:rFonts w:ascii="Times New Roman" w:hAnsi="Times New Roman" w:cs="Times New Roman"/>
          <w:sz w:val="24"/>
        </w:rPr>
        <w:t xml:space="preserve"> to deans and directors</w:t>
      </w:r>
      <w:r w:rsidR="00DC20D3">
        <w:rPr>
          <w:rFonts w:ascii="Times New Roman" w:hAnsi="Times New Roman" w:cs="Times New Roman"/>
          <w:sz w:val="24"/>
        </w:rPr>
        <w:t>, as well as during statewide conference presentation</w:t>
      </w:r>
      <w:r w:rsidR="00A314B7">
        <w:rPr>
          <w:rFonts w:ascii="Times New Roman" w:hAnsi="Times New Roman" w:cs="Times New Roman"/>
          <w:sz w:val="24"/>
        </w:rPr>
        <w:t>s</w:t>
      </w:r>
      <w:r w:rsidR="00DC20D3">
        <w:rPr>
          <w:rFonts w:ascii="Times New Roman" w:hAnsi="Times New Roman" w:cs="Times New Roman"/>
          <w:sz w:val="24"/>
        </w:rPr>
        <w:t xml:space="preserve"> on legislative updates.  </w:t>
      </w:r>
    </w:p>
    <w:p w:rsidR="00E10EE7" w:rsidRDefault="008A7578">
      <w:pPr>
        <w:rPr>
          <w:rFonts w:ascii="Times New Roman" w:hAnsi="Times New Roman" w:cs="Times New Roman"/>
          <w:sz w:val="24"/>
        </w:rPr>
      </w:pPr>
      <w:r>
        <w:rPr>
          <w:rFonts w:ascii="Times New Roman" w:hAnsi="Times New Roman" w:cs="Times New Roman"/>
          <w:sz w:val="24"/>
        </w:rPr>
        <w:t>A</w:t>
      </w:r>
      <w:r w:rsidR="00DC20D3">
        <w:rPr>
          <w:rFonts w:ascii="Times New Roman" w:hAnsi="Times New Roman" w:cs="Times New Roman"/>
          <w:sz w:val="24"/>
        </w:rPr>
        <w:t>ll education preparation program deans or designated directors</w:t>
      </w:r>
      <w:r w:rsidR="00A314B7">
        <w:rPr>
          <w:rFonts w:ascii="Times New Roman" w:hAnsi="Times New Roman" w:cs="Times New Roman"/>
          <w:sz w:val="24"/>
        </w:rPr>
        <w:t xml:space="preserve"> </w:t>
      </w:r>
      <w:r w:rsidR="00DC20D3">
        <w:rPr>
          <w:rFonts w:ascii="Times New Roman" w:hAnsi="Times New Roman" w:cs="Times New Roman"/>
          <w:sz w:val="24"/>
        </w:rPr>
        <w:t>must verify compliance with the new statutory</w:t>
      </w:r>
      <w:r>
        <w:rPr>
          <w:rFonts w:ascii="Times New Roman" w:hAnsi="Times New Roman" w:cs="Times New Roman"/>
          <w:sz w:val="24"/>
        </w:rPr>
        <w:t xml:space="preserve"> requir</w:t>
      </w:r>
      <w:r w:rsidR="00D430F9">
        <w:rPr>
          <w:rFonts w:ascii="Times New Roman" w:hAnsi="Times New Roman" w:cs="Times New Roman"/>
          <w:sz w:val="24"/>
        </w:rPr>
        <w:t>ements as outlined by the Office of Teacher Education</w:t>
      </w:r>
      <w:r>
        <w:rPr>
          <w:rFonts w:ascii="Times New Roman" w:hAnsi="Times New Roman" w:cs="Times New Roman"/>
          <w:sz w:val="24"/>
        </w:rPr>
        <w:t>. Furthermore, all related course syllabi or rela</w:t>
      </w:r>
      <w:r w:rsidR="00D430F9">
        <w:rPr>
          <w:rFonts w:ascii="Times New Roman" w:hAnsi="Times New Roman" w:cs="Times New Roman"/>
          <w:sz w:val="24"/>
        </w:rPr>
        <w:t>ted instructional materials must</w:t>
      </w:r>
      <w:r>
        <w:rPr>
          <w:rFonts w:ascii="Times New Roman" w:hAnsi="Times New Roman" w:cs="Times New Roman"/>
          <w:sz w:val="24"/>
        </w:rPr>
        <w:t xml:space="preserve"> be revised to reflect the provisions of the statutory requirements described above and documentation of compliance is </w:t>
      </w:r>
      <w:r w:rsidR="00D430F9">
        <w:rPr>
          <w:rFonts w:ascii="Times New Roman" w:hAnsi="Times New Roman" w:cs="Times New Roman"/>
          <w:sz w:val="24"/>
        </w:rPr>
        <w:t>available</w:t>
      </w:r>
      <w:r>
        <w:rPr>
          <w:rFonts w:ascii="Times New Roman" w:hAnsi="Times New Roman" w:cs="Times New Roman"/>
          <w:sz w:val="24"/>
        </w:rPr>
        <w:t xml:space="preserve"> for review at the institution. </w:t>
      </w:r>
      <w:r w:rsidR="00A314B7">
        <w:rPr>
          <w:rFonts w:ascii="Times New Roman" w:hAnsi="Times New Roman" w:cs="Times New Roman"/>
          <w:sz w:val="24"/>
        </w:rPr>
        <w:t xml:space="preserve"> </w:t>
      </w:r>
    </w:p>
    <w:p w:rsidR="00E10EE7" w:rsidRDefault="00E10EE7">
      <w:pPr>
        <w:rPr>
          <w:rFonts w:ascii="Times New Roman" w:hAnsi="Times New Roman" w:cs="Times New Roman"/>
          <w:b/>
          <w:sz w:val="24"/>
          <w:szCs w:val="24"/>
        </w:rPr>
      </w:pPr>
      <w:r>
        <w:rPr>
          <w:rFonts w:ascii="Times New Roman" w:hAnsi="Times New Roman" w:cs="Times New Roman"/>
          <w:sz w:val="24"/>
        </w:rPr>
        <w:t xml:space="preserve">The Office of Licensure will be working with division staff to ensure license holders due for renewal are aware of the new statutory requirement. The new requirement and information about the learning modules will be disseminated via the Licensure Update, Superintendent’s Memo, and posted on the </w:t>
      </w:r>
      <w:hyperlink r:id="rId27" w:history="1">
        <w:r w:rsidRPr="00E10EE7">
          <w:rPr>
            <w:rStyle w:val="Hyperlink"/>
            <w:rFonts w:ascii="Times New Roman" w:hAnsi="Times New Roman"/>
            <w:sz w:val="24"/>
          </w:rPr>
          <w:t>Licensure website</w:t>
        </w:r>
      </w:hyperlink>
      <w:r>
        <w:rPr>
          <w:rFonts w:ascii="Times New Roman" w:hAnsi="Times New Roman" w:cs="Times New Roman"/>
          <w:sz w:val="24"/>
        </w:rPr>
        <w:t>.</w:t>
      </w:r>
    </w:p>
    <w:p w:rsidR="00F943E3" w:rsidRPr="00AB7733" w:rsidRDefault="00F943E3" w:rsidP="00AB7733">
      <w:pPr>
        <w:spacing w:line="276" w:lineRule="auto"/>
        <w:rPr>
          <w:rFonts w:ascii="Times New Roman" w:hAnsi="Times New Roman" w:cs="Times New Roman"/>
          <w:sz w:val="24"/>
          <w:szCs w:val="24"/>
        </w:rPr>
      </w:pPr>
    </w:p>
    <w:sectPr w:rsidR="00F943E3" w:rsidRPr="00AB7733" w:rsidSect="00F943E3">
      <w:footerReference w:type="default" r:id="rId28"/>
      <w:pgSz w:w="12240" w:h="15840"/>
      <w:pgMar w:top="1440" w:right="1440" w:bottom="450" w:left="144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1A7" w:rsidRDefault="008431A7" w:rsidP="00ED4783">
      <w:pPr>
        <w:spacing w:after="0" w:line="240" w:lineRule="auto"/>
      </w:pPr>
      <w:r>
        <w:separator/>
      </w:r>
    </w:p>
  </w:endnote>
  <w:endnote w:type="continuationSeparator" w:id="0">
    <w:p w:rsidR="008431A7" w:rsidRDefault="008431A7" w:rsidP="00ED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MV Bol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0BE" w:rsidRPr="00574082" w:rsidRDefault="00C92F3D">
    <w:pPr>
      <w:pStyle w:val="Footer"/>
      <w:jc w:val="center"/>
      <w:rPr>
        <w:rFonts w:ascii="Times New Roman" w:hAnsi="Times New Roman" w:cs="Times New Roman"/>
        <w:sz w:val="24"/>
        <w:szCs w:val="24"/>
      </w:rPr>
    </w:pPr>
    <w:sdt>
      <w:sdtPr>
        <w:rPr>
          <w:rFonts w:ascii="Times New Roman" w:hAnsi="Times New Roman" w:cs="Times New Roman"/>
          <w:sz w:val="24"/>
          <w:szCs w:val="24"/>
        </w:rPr>
        <w:id w:val="-1076051505"/>
        <w:docPartObj>
          <w:docPartGallery w:val="Page Numbers (Bottom of Page)"/>
          <w:docPartUnique/>
        </w:docPartObj>
      </w:sdtPr>
      <w:sdtEndPr>
        <w:rPr>
          <w:noProof/>
        </w:rPr>
      </w:sdtEndPr>
      <w:sdtContent>
        <w:r w:rsidR="006640BE" w:rsidRPr="00574082">
          <w:rPr>
            <w:rFonts w:ascii="Times New Roman" w:hAnsi="Times New Roman" w:cs="Times New Roman"/>
            <w:sz w:val="24"/>
            <w:szCs w:val="24"/>
          </w:rPr>
          <w:fldChar w:fldCharType="begin"/>
        </w:r>
        <w:r w:rsidR="006640BE" w:rsidRPr="00574082">
          <w:rPr>
            <w:rFonts w:ascii="Times New Roman" w:hAnsi="Times New Roman" w:cs="Times New Roman"/>
            <w:sz w:val="24"/>
            <w:szCs w:val="24"/>
          </w:rPr>
          <w:instrText xml:space="preserve"> PAGE   \* MERGEFORMAT </w:instrText>
        </w:r>
        <w:r w:rsidR="006640BE" w:rsidRPr="00574082">
          <w:rPr>
            <w:rFonts w:ascii="Times New Roman" w:hAnsi="Times New Roman" w:cs="Times New Roman"/>
            <w:sz w:val="24"/>
            <w:szCs w:val="24"/>
          </w:rPr>
          <w:fldChar w:fldCharType="separate"/>
        </w:r>
        <w:r>
          <w:rPr>
            <w:rFonts w:ascii="Times New Roman" w:hAnsi="Times New Roman" w:cs="Times New Roman"/>
            <w:noProof/>
            <w:sz w:val="24"/>
            <w:szCs w:val="24"/>
          </w:rPr>
          <w:t>1</w:t>
        </w:r>
        <w:r w:rsidR="006640BE" w:rsidRPr="00574082">
          <w:rPr>
            <w:rFonts w:ascii="Times New Roman" w:hAnsi="Times New Roman" w:cs="Times New Roman"/>
            <w:noProof/>
            <w:sz w:val="24"/>
            <w:szCs w:val="24"/>
          </w:rPr>
          <w:fldChar w:fldCharType="end"/>
        </w:r>
      </w:sdtContent>
    </w:sdt>
  </w:p>
  <w:p w:rsidR="007400B4" w:rsidRDefault="007400B4">
    <w:pPr>
      <w:pStyle w:val="Footer"/>
    </w:pPr>
  </w:p>
  <w:p w:rsidR="00BC4365" w:rsidRDefault="00BC4365"/>
  <w:p w:rsidR="00BC4365" w:rsidRDefault="00BC43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1A7" w:rsidRDefault="008431A7" w:rsidP="00ED4783">
      <w:pPr>
        <w:spacing w:after="0" w:line="240" w:lineRule="auto"/>
      </w:pPr>
      <w:r>
        <w:separator/>
      </w:r>
    </w:p>
  </w:footnote>
  <w:footnote w:type="continuationSeparator" w:id="0">
    <w:p w:rsidR="008431A7" w:rsidRDefault="008431A7" w:rsidP="00ED4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4E0"/>
    <w:multiLevelType w:val="hybridMultilevel"/>
    <w:tmpl w:val="317E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C27BA"/>
    <w:multiLevelType w:val="multilevel"/>
    <w:tmpl w:val="7B561CE8"/>
    <w:lvl w:ilvl="0">
      <w:start w:val="1"/>
      <w:numFmt w:val="bullet"/>
      <w:lvlText w:val=""/>
      <w:lvlJc w:val="left"/>
      <w:pPr>
        <w:tabs>
          <w:tab w:val="num" w:pos="507"/>
        </w:tabs>
        <w:ind w:left="507" w:hanging="360"/>
      </w:pPr>
      <w:rPr>
        <w:rFonts w:ascii="Wingdings" w:hAnsi="Wingdings" w:hint="default"/>
        <w:sz w:val="20"/>
      </w:rPr>
    </w:lvl>
    <w:lvl w:ilvl="1" w:tentative="1">
      <w:start w:val="1"/>
      <w:numFmt w:val="bullet"/>
      <w:lvlText w:val=""/>
      <w:lvlJc w:val="left"/>
      <w:pPr>
        <w:tabs>
          <w:tab w:val="num" w:pos="1227"/>
        </w:tabs>
        <w:ind w:left="1227" w:hanging="360"/>
      </w:pPr>
      <w:rPr>
        <w:rFonts w:ascii="Wingdings" w:hAnsi="Wingdings" w:hint="default"/>
        <w:sz w:val="20"/>
      </w:rPr>
    </w:lvl>
    <w:lvl w:ilvl="2" w:tentative="1">
      <w:start w:val="1"/>
      <w:numFmt w:val="bullet"/>
      <w:lvlText w:val=""/>
      <w:lvlJc w:val="left"/>
      <w:pPr>
        <w:tabs>
          <w:tab w:val="num" w:pos="1947"/>
        </w:tabs>
        <w:ind w:left="1947" w:hanging="360"/>
      </w:pPr>
      <w:rPr>
        <w:rFonts w:ascii="Wingdings" w:hAnsi="Wingdings" w:hint="default"/>
        <w:sz w:val="20"/>
      </w:rPr>
    </w:lvl>
    <w:lvl w:ilvl="3" w:tentative="1">
      <w:start w:val="1"/>
      <w:numFmt w:val="bullet"/>
      <w:lvlText w:val=""/>
      <w:lvlJc w:val="left"/>
      <w:pPr>
        <w:tabs>
          <w:tab w:val="num" w:pos="2667"/>
        </w:tabs>
        <w:ind w:left="2667" w:hanging="360"/>
      </w:pPr>
      <w:rPr>
        <w:rFonts w:ascii="Wingdings" w:hAnsi="Wingdings" w:hint="default"/>
        <w:sz w:val="20"/>
      </w:rPr>
    </w:lvl>
    <w:lvl w:ilvl="4" w:tentative="1">
      <w:start w:val="1"/>
      <w:numFmt w:val="bullet"/>
      <w:lvlText w:val=""/>
      <w:lvlJc w:val="left"/>
      <w:pPr>
        <w:tabs>
          <w:tab w:val="num" w:pos="3387"/>
        </w:tabs>
        <w:ind w:left="3387" w:hanging="360"/>
      </w:pPr>
      <w:rPr>
        <w:rFonts w:ascii="Wingdings" w:hAnsi="Wingdings" w:hint="default"/>
        <w:sz w:val="20"/>
      </w:rPr>
    </w:lvl>
    <w:lvl w:ilvl="5" w:tentative="1">
      <w:start w:val="1"/>
      <w:numFmt w:val="bullet"/>
      <w:lvlText w:val=""/>
      <w:lvlJc w:val="left"/>
      <w:pPr>
        <w:tabs>
          <w:tab w:val="num" w:pos="4107"/>
        </w:tabs>
        <w:ind w:left="4107" w:hanging="360"/>
      </w:pPr>
      <w:rPr>
        <w:rFonts w:ascii="Wingdings" w:hAnsi="Wingdings" w:hint="default"/>
        <w:sz w:val="20"/>
      </w:rPr>
    </w:lvl>
    <w:lvl w:ilvl="6" w:tentative="1">
      <w:start w:val="1"/>
      <w:numFmt w:val="bullet"/>
      <w:lvlText w:val=""/>
      <w:lvlJc w:val="left"/>
      <w:pPr>
        <w:tabs>
          <w:tab w:val="num" w:pos="4827"/>
        </w:tabs>
        <w:ind w:left="4827" w:hanging="360"/>
      </w:pPr>
      <w:rPr>
        <w:rFonts w:ascii="Wingdings" w:hAnsi="Wingdings" w:hint="default"/>
        <w:sz w:val="20"/>
      </w:rPr>
    </w:lvl>
    <w:lvl w:ilvl="7" w:tentative="1">
      <w:start w:val="1"/>
      <w:numFmt w:val="bullet"/>
      <w:lvlText w:val=""/>
      <w:lvlJc w:val="left"/>
      <w:pPr>
        <w:tabs>
          <w:tab w:val="num" w:pos="5547"/>
        </w:tabs>
        <w:ind w:left="5547" w:hanging="360"/>
      </w:pPr>
      <w:rPr>
        <w:rFonts w:ascii="Wingdings" w:hAnsi="Wingdings" w:hint="default"/>
        <w:sz w:val="20"/>
      </w:rPr>
    </w:lvl>
    <w:lvl w:ilvl="8" w:tentative="1">
      <w:start w:val="1"/>
      <w:numFmt w:val="bullet"/>
      <w:lvlText w:val=""/>
      <w:lvlJc w:val="left"/>
      <w:pPr>
        <w:tabs>
          <w:tab w:val="num" w:pos="6267"/>
        </w:tabs>
        <w:ind w:left="6267" w:hanging="360"/>
      </w:pPr>
      <w:rPr>
        <w:rFonts w:ascii="Wingdings" w:hAnsi="Wingdings" w:hint="default"/>
        <w:sz w:val="20"/>
      </w:rPr>
    </w:lvl>
  </w:abstractNum>
  <w:abstractNum w:abstractNumId="2" w15:restartNumberingAfterBreak="0">
    <w:nsid w:val="17D45316"/>
    <w:multiLevelType w:val="hybridMultilevel"/>
    <w:tmpl w:val="55A4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B5567"/>
    <w:multiLevelType w:val="hybridMultilevel"/>
    <w:tmpl w:val="2FECD4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B50EC2"/>
    <w:multiLevelType w:val="hybridMultilevel"/>
    <w:tmpl w:val="A68C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97305"/>
    <w:multiLevelType w:val="hybridMultilevel"/>
    <w:tmpl w:val="59F0A4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75656"/>
    <w:multiLevelType w:val="hybridMultilevel"/>
    <w:tmpl w:val="C2A2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C1D99"/>
    <w:multiLevelType w:val="hybridMultilevel"/>
    <w:tmpl w:val="3A704E84"/>
    <w:lvl w:ilvl="0" w:tplc="6B5AEAC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DFB2DCB"/>
    <w:multiLevelType w:val="hybridMultilevel"/>
    <w:tmpl w:val="EAFC49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8030919"/>
    <w:multiLevelType w:val="multilevel"/>
    <w:tmpl w:val="7D2A2EB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3F0C65"/>
    <w:multiLevelType w:val="multilevel"/>
    <w:tmpl w:val="3DC64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F00D4F"/>
    <w:multiLevelType w:val="multilevel"/>
    <w:tmpl w:val="F44A7C9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2876D6"/>
    <w:multiLevelType w:val="hybridMultilevel"/>
    <w:tmpl w:val="8AC07404"/>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1">
      <w:start w:val="1"/>
      <w:numFmt w:val="bullet"/>
      <w:lvlText w:val=""/>
      <w:lvlJc w:val="left"/>
      <w:pPr>
        <w:ind w:left="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1B">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3" w15:restartNumberingAfterBreak="0">
    <w:nsid w:val="41B32897"/>
    <w:multiLevelType w:val="multilevel"/>
    <w:tmpl w:val="D10EBE4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7E246D"/>
    <w:multiLevelType w:val="hybridMultilevel"/>
    <w:tmpl w:val="33E6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F2A72"/>
    <w:multiLevelType w:val="hybridMultilevel"/>
    <w:tmpl w:val="4D400158"/>
    <w:lvl w:ilvl="0" w:tplc="28CEC69E">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15:restartNumberingAfterBreak="0">
    <w:nsid w:val="4A7523C4"/>
    <w:multiLevelType w:val="multilevel"/>
    <w:tmpl w:val="85D01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8DE745D"/>
    <w:multiLevelType w:val="hybridMultilevel"/>
    <w:tmpl w:val="C1C2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12C55"/>
    <w:multiLevelType w:val="hybridMultilevel"/>
    <w:tmpl w:val="5652EFA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9" w15:restartNumberingAfterBreak="0">
    <w:nsid w:val="65111614"/>
    <w:multiLevelType w:val="hybridMultilevel"/>
    <w:tmpl w:val="8690C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C01A58"/>
    <w:multiLevelType w:val="hybridMultilevel"/>
    <w:tmpl w:val="999ED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3D5111"/>
    <w:multiLevelType w:val="hybridMultilevel"/>
    <w:tmpl w:val="724E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F0F98"/>
    <w:multiLevelType w:val="multilevel"/>
    <w:tmpl w:val="D3004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E1D63B5"/>
    <w:multiLevelType w:val="hybridMultilevel"/>
    <w:tmpl w:val="732CBE9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23"/>
  </w:num>
  <w:num w:numId="3">
    <w:abstractNumId w:val="18"/>
  </w:num>
  <w:num w:numId="4">
    <w:abstractNumId w:val="7"/>
  </w:num>
  <w:num w:numId="5">
    <w:abstractNumId w:val="8"/>
  </w:num>
  <w:num w:numId="6">
    <w:abstractNumId w:val="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11"/>
  </w:num>
  <w:num w:numId="11">
    <w:abstractNumId w:val="19"/>
  </w:num>
  <w:num w:numId="12">
    <w:abstractNumId w:val="14"/>
  </w:num>
  <w:num w:numId="13">
    <w:abstractNumId w:val="21"/>
  </w:num>
  <w:num w:numId="14">
    <w:abstractNumId w:val="20"/>
  </w:num>
  <w:num w:numId="15">
    <w:abstractNumId w:val="3"/>
  </w:num>
  <w:num w:numId="16">
    <w:abstractNumId w:val="0"/>
  </w:num>
  <w:num w:numId="17">
    <w:abstractNumId w:val="4"/>
  </w:num>
  <w:num w:numId="18">
    <w:abstractNumId w:val="13"/>
  </w:num>
  <w:num w:numId="19">
    <w:abstractNumId w:val="10"/>
  </w:num>
  <w:num w:numId="20">
    <w:abstractNumId w:val="9"/>
  </w:num>
  <w:num w:numId="21">
    <w:abstractNumId w:val="22"/>
  </w:num>
  <w:num w:numId="22">
    <w:abstractNumId w:val="16"/>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E7"/>
    <w:rsid w:val="000003C9"/>
    <w:rsid w:val="00021750"/>
    <w:rsid w:val="000318D0"/>
    <w:rsid w:val="000347E7"/>
    <w:rsid w:val="0003539E"/>
    <w:rsid w:val="000A0204"/>
    <w:rsid w:val="000B22B8"/>
    <w:rsid w:val="000B3BCF"/>
    <w:rsid w:val="000D646B"/>
    <w:rsid w:val="000F3A3B"/>
    <w:rsid w:val="00121576"/>
    <w:rsid w:val="00135021"/>
    <w:rsid w:val="00144870"/>
    <w:rsid w:val="00165608"/>
    <w:rsid w:val="001773C9"/>
    <w:rsid w:val="001A361D"/>
    <w:rsid w:val="001B3C33"/>
    <w:rsid w:val="001C6E3A"/>
    <w:rsid w:val="001E4C24"/>
    <w:rsid w:val="00205604"/>
    <w:rsid w:val="0024045E"/>
    <w:rsid w:val="00245A25"/>
    <w:rsid w:val="00255753"/>
    <w:rsid w:val="00287190"/>
    <w:rsid w:val="00293712"/>
    <w:rsid w:val="002A51EF"/>
    <w:rsid w:val="002B1354"/>
    <w:rsid w:val="002B1BCD"/>
    <w:rsid w:val="002D2C8F"/>
    <w:rsid w:val="002E056B"/>
    <w:rsid w:val="003017A4"/>
    <w:rsid w:val="00303645"/>
    <w:rsid w:val="00313164"/>
    <w:rsid w:val="00331F77"/>
    <w:rsid w:val="00332284"/>
    <w:rsid w:val="00337161"/>
    <w:rsid w:val="003678A5"/>
    <w:rsid w:val="0037075D"/>
    <w:rsid w:val="0038580A"/>
    <w:rsid w:val="003C6A05"/>
    <w:rsid w:val="003F194E"/>
    <w:rsid w:val="003F4CED"/>
    <w:rsid w:val="00404B70"/>
    <w:rsid w:val="00422822"/>
    <w:rsid w:val="00426582"/>
    <w:rsid w:val="004475AF"/>
    <w:rsid w:val="00460304"/>
    <w:rsid w:val="00485A31"/>
    <w:rsid w:val="004D032F"/>
    <w:rsid w:val="004E3DD7"/>
    <w:rsid w:val="004F5071"/>
    <w:rsid w:val="004F50EF"/>
    <w:rsid w:val="00514032"/>
    <w:rsid w:val="00537D49"/>
    <w:rsid w:val="00574082"/>
    <w:rsid w:val="00583541"/>
    <w:rsid w:val="00586565"/>
    <w:rsid w:val="00596BA7"/>
    <w:rsid w:val="00597DD5"/>
    <w:rsid w:val="005A3C16"/>
    <w:rsid w:val="005B6593"/>
    <w:rsid w:val="005D0410"/>
    <w:rsid w:val="005E6DB9"/>
    <w:rsid w:val="0065141E"/>
    <w:rsid w:val="00663D97"/>
    <w:rsid w:val="006640BE"/>
    <w:rsid w:val="006646E0"/>
    <w:rsid w:val="00665883"/>
    <w:rsid w:val="0067352A"/>
    <w:rsid w:val="00690261"/>
    <w:rsid w:val="006A626A"/>
    <w:rsid w:val="006C17D9"/>
    <w:rsid w:val="006F7630"/>
    <w:rsid w:val="007147D3"/>
    <w:rsid w:val="007178AA"/>
    <w:rsid w:val="007400B4"/>
    <w:rsid w:val="007474A8"/>
    <w:rsid w:val="007905DB"/>
    <w:rsid w:val="00794270"/>
    <w:rsid w:val="0079566A"/>
    <w:rsid w:val="007A0AA9"/>
    <w:rsid w:val="007A578D"/>
    <w:rsid w:val="007B5787"/>
    <w:rsid w:val="00805153"/>
    <w:rsid w:val="00816B06"/>
    <w:rsid w:val="00826C80"/>
    <w:rsid w:val="00836778"/>
    <w:rsid w:val="008431A7"/>
    <w:rsid w:val="00855D7D"/>
    <w:rsid w:val="00872F9B"/>
    <w:rsid w:val="008A7578"/>
    <w:rsid w:val="008B7609"/>
    <w:rsid w:val="0091267B"/>
    <w:rsid w:val="00915137"/>
    <w:rsid w:val="009171C8"/>
    <w:rsid w:val="00924D76"/>
    <w:rsid w:val="00974FB6"/>
    <w:rsid w:val="009C2C8E"/>
    <w:rsid w:val="009E66A0"/>
    <w:rsid w:val="009F027F"/>
    <w:rsid w:val="00A314B7"/>
    <w:rsid w:val="00A47092"/>
    <w:rsid w:val="00A66784"/>
    <w:rsid w:val="00A767CF"/>
    <w:rsid w:val="00A85A2E"/>
    <w:rsid w:val="00AB02A2"/>
    <w:rsid w:val="00AB7733"/>
    <w:rsid w:val="00AF1D51"/>
    <w:rsid w:val="00B11C8D"/>
    <w:rsid w:val="00B126AE"/>
    <w:rsid w:val="00B1433F"/>
    <w:rsid w:val="00B43698"/>
    <w:rsid w:val="00B4375A"/>
    <w:rsid w:val="00B86302"/>
    <w:rsid w:val="00BB38D5"/>
    <w:rsid w:val="00BC4365"/>
    <w:rsid w:val="00C05919"/>
    <w:rsid w:val="00C26FDA"/>
    <w:rsid w:val="00C75205"/>
    <w:rsid w:val="00C818F5"/>
    <w:rsid w:val="00C92F3D"/>
    <w:rsid w:val="00CB5E54"/>
    <w:rsid w:val="00CB5F47"/>
    <w:rsid w:val="00CC292C"/>
    <w:rsid w:val="00CE4305"/>
    <w:rsid w:val="00CE4B3E"/>
    <w:rsid w:val="00D25325"/>
    <w:rsid w:val="00D35AD8"/>
    <w:rsid w:val="00D430F9"/>
    <w:rsid w:val="00D45A88"/>
    <w:rsid w:val="00D71230"/>
    <w:rsid w:val="00D74FEB"/>
    <w:rsid w:val="00D845E5"/>
    <w:rsid w:val="00D914B3"/>
    <w:rsid w:val="00D9541C"/>
    <w:rsid w:val="00DC20D3"/>
    <w:rsid w:val="00DE5704"/>
    <w:rsid w:val="00DE610B"/>
    <w:rsid w:val="00DF0876"/>
    <w:rsid w:val="00DF6967"/>
    <w:rsid w:val="00E02160"/>
    <w:rsid w:val="00E103C7"/>
    <w:rsid w:val="00E10EE7"/>
    <w:rsid w:val="00E22626"/>
    <w:rsid w:val="00E26928"/>
    <w:rsid w:val="00E423C7"/>
    <w:rsid w:val="00E64F1A"/>
    <w:rsid w:val="00E733FC"/>
    <w:rsid w:val="00E77A66"/>
    <w:rsid w:val="00E80597"/>
    <w:rsid w:val="00E94AD9"/>
    <w:rsid w:val="00EA60FF"/>
    <w:rsid w:val="00EA716F"/>
    <w:rsid w:val="00ED4783"/>
    <w:rsid w:val="00F0031E"/>
    <w:rsid w:val="00F536AE"/>
    <w:rsid w:val="00F627A7"/>
    <w:rsid w:val="00F920B8"/>
    <w:rsid w:val="00F943E3"/>
    <w:rsid w:val="00FA5E7F"/>
    <w:rsid w:val="00FB125B"/>
    <w:rsid w:val="00FD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723A27A-7EBC-46D5-9059-DA476FAE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52A"/>
  </w:style>
  <w:style w:type="paragraph" w:styleId="Heading1">
    <w:name w:val="heading 1"/>
    <w:basedOn w:val="Normal"/>
    <w:next w:val="Normal"/>
    <w:link w:val="Heading1Char"/>
    <w:uiPriority w:val="9"/>
    <w:qFormat/>
    <w:rsid w:val="00CE4B3E"/>
    <w:pPr>
      <w:autoSpaceDE w:val="0"/>
      <w:autoSpaceDN w:val="0"/>
      <w:adjustRightInd w:val="0"/>
      <w:spacing w:after="0" w:line="240" w:lineRule="auto"/>
      <w:outlineLvl w:val="0"/>
    </w:pPr>
    <w:rPr>
      <w:rFonts w:ascii="Times New Roman" w:eastAsia="Calibri" w:hAnsi="Times New Roman" w:cs="Times New Roman"/>
      <w:b/>
      <w:sz w:val="24"/>
      <w:szCs w:val="24"/>
      <w:u w:val="single"/>
    </w:rPr>
  </w:style>
  <w:style w:type="paragraph" w:styleId="Heading2">
    <w:name w:val="heading 2"/>
    <w:basedOn w:val="Normal"/>
    <w:next w:val="Normal"/>
    <w:link w:val="Heading2Char"/>
    <w:uiPriority w:val="9"/>
    <w:unhideWhenUsed/>
    <w:qFormat/>
    <w:rsid w:val="00CE4B3E"/>
    <w:pPr>
      <w:tabs>
        <w:tab w:val="center" w:pos="4680"/>
        <w:tab w:val="right" w:pos="9360"/>
      </w:tabs>
      <w:spacing w:after="0" w:line="240" w:lineRule="auto"/>
      <w:jc w:val="center"/>
      <w:outlineLvl w:val="1"/>
    </w:pPr>
    <w:rPr>
      <w:rFonts w:ascii="Times New Roman" w:eastAsia="Calibri" w:hAnsi="Times New Roman" w:cs="Times New Roman"/>
      <w:b/>
      <w:sz w:val="24"/>
      <w:szCs w:val="24"/>
      <w:u w:val="single"/>
    </w:rPr>
  </w:style>
  <w:style w:type="paragraph" w:styleId="Heading3">
    <w:name w:val="heading 3"/>
    <w:basedOn w:val="Normal"/>
    <w:next w:val="Normal"/>
    <w:link w:val="Heading3Char"/>
    <w:uiPriority w:val="9"/>
    <w:semiHidden/>
    <w:unhideWhenUsed/>
    <w:qFormat/>
    <w:rsid w:val="00CB5F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B3E"/>
    <w:rPr>
      <w:rFonts w:ascii="Times New Roman" w:eastAsia="Calibri" w:hAnsi="Times New Roman" w:cs="Times New Roman"/>
      <w:b/>
      <w:sz w:val="24"/>
      <w:szCs w:val="24"/>
      <w:u w:val="single"/>
    </w:rPr>
  </w:style>
  <w:style w:type="character" w:customStyle="1" w:styleId="Heading2Char">
    <w:name w:val="Heading 2 Char"/>
    <w:basedOn w:val="DefaultParagraphFont"/>
    <w:link w:val="Heading2"/>
    <w:uiPriority w:val="9"/>
    <w:rsid w:val="00CE4B3E"/>
    <w:rPr>
      <w:rFonts w:ascii="Times New Roman" w:eastAsia="Calibri" w:hAnsi="Times New Roman" w:cs="Times New Roman"/>
      <w:b/>
      <w:sz w:val="24"/>
      <w:szCs w:val="24"/>
      <w:u w:val="single"/>
    </w:rPr>
  </w:style>
  <w:style w:type="paragraph" w:styleId="ListParagraph">
    <w:name w:val="List Paragraph"/>
    <w:basedOn w:val="Normal"/>
    <w:uiPriority w:val="34"/>
    <w:qFormat/>
    <w:rsid w:val="00DF6967"/>
    <w:pPr>
      <w:ind w:left="720"/>
      <w:contextualSpacing/>
    </w:pPr>
  </w:style>
  <w:style w:type="character" w:styleId="Strong">
    <w:name w:val="Strong"/>
    <w:basedOn w:val="DefaultParagraphFont"/>
    <w:uiPriority w:val="22"/>
    <w:qFormat/>
    <w:rsid w:val="00597DD5"/>
    <w:rPr>
      <w:b/>
      <w:bCs/>
    </w:rPr>
  </w:style>
  <w:style w:type="paragraph" w:styleId="FootnoteText">
    <w:name w:val="footnote text"/>
    <w:basedOn w:val="Normal"/>
    <w:link w:val="FootnoteTextChar"/>
    <w:uiPriority w:val="99"/>
    <w:semiHidden/>
    <w:rsid w:val="00ED4783"/>
    <w:pPr>
      <w:spacing w:after="0" w:line="240" w:lineRule="auto"/>
    </w:pPr>
    <w:rPr>
      <w:rFonts w:ascii="Times" w:eastAsia="SimSun" w:hAnsi="Times" w:cs="Times"/>
      <w:sz w:val="20"/>
      <w:szCs w:val="20"/>
    </w:rPr>
  </w:style>
  <w:style w:type="character" w:customStyle="1" w:styleId="FootnoteTextChar">
    <w:name w:val="Footnote Text Char"/>
    <w:basedOn w:val="DefaultParagraphFont"/>
    <w:link w:val="FootnoteText"/>
    <w:uiPriority w:val="99"/>
    <w:semiHidden/>
    <w:rsid w:val="00ED4783"/>
    <w:rPr>
      <w:rFonts w:ascii="Times" w:eastAsia="SimSun" w:hAnsi="Times" w:cs="Times"/>
      <w:sz w:val="20"/>
      <w:szCs w:val="20"/>
    </w:rPr>
  </w:style>
  <w:style w:type="character" w:styleId="FootnoteReference">
    <w:name w:val="footnote reference"/>
    <w:basedOn w:val="DefaultParagraphFont"/>
    <w:uiPriority w:val="99"/>
    <w:rsid w:val="00ED4783"/>
    <w:rPr>
      <w:rFonts w:cs="Times New Roman"/>
      <w:vertAlign w:val="superscript"/>
    </w:rPr>
  </w:style>
  <w:style w:type="character" w:styleId="Hyperlink">
    <w:name w:val="Hyperlink"/>
    <w:basedOn w:val="DefaultParagraphFont"/>
    <w:uiPriority w:val="99"/>
    <w:rsid w:val="00ED4783"/>
    <w:rPr>
      <w:rFonts w:cs="Times New Roman"/>
      <w:color w:val="0000FF"/>
      <w:u w:val="single"/>
    </w:rPr>
  </w:style>
  <w:style w:type="paragraph" w:styleId="Header">
    <w:name w:val="header"/>
    <w:basedOn w:val="Normal"/>
    <w:link w:val="HeaderChar"/>
    <w:uiPriority w:val="99"/>
    <w:unhideWhenUsed/>
    <w:rsid w:val="00740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0B4"/>
  </w:style>
  <w:style w:type="paragraph" w:styleId="Footer">
    <w:name w:val="footer"/>
    <w:basedOn w:val="Normal"/>
    <w:link w:val="FooterChar"/>
    <w:uiPriority w:val="99"/>
    <w:unhideWhenUsed/>
    <w:rsid w:val="00740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0B4"/>
  </w:style>
  <w:style w:type="table" w:styleId="TableGrid">
    <w:name w:val="Table Grid"/>
    <w:basedOn w:val="TableNormal"/>
    <w:unhideWhenUsed/>
    <w:rsid w:val="0091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B5F4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E733FC"/>
    <w:pPr>
      <w:spacing w:after="0" w:line="240" w:lineRule="auto"/>
    </w:pPr>
  </w:style>
  <w:style w:type="character" w:styleId="FollowedHyperlink">
    <w:name w:val="FollowedHyperlink"/>
    <w:basedOn w:val="DefaultParagraphFont"/>
    <w:uiPriority w:val="99"/>
    <w:semiHidden/>
    <w:unhideWhenUsed/>
    <w:rsid w:val="007B5787"/>
    <w:rPr>
      <w:color w:val="954F72" w:themeColor="followedHyperlink"/>
      <w:u w:val="single"/>
    </w:rPr>
  </w:style>
  <w:style w:type="table" w:customStyle="1" w:styleId="TableGrid0">
    <w:name w:val="TableGrid"/>
    <w:rsid w:val="001C6E3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9974">
      <w:bodyDiv w:val="1"/>
      <w:marLeft w:val="0"/>
      <w:marRight w:val="0"/>
      <w:marTop w:val="0"/>
      <w:marBottom w:val="0"/>
      <w:divBdr>
        <w:top w:val="none" w:sz="0" w:space="0" w:color="auto"/>
        <w:left w:val="none" w:sz="0" w:space="0" w:color="auto"/>
        <w:bottom w:val="none" w:sz="0" w:space="0" w:color="auto"/>
        <w:right w:val="none" w:sz="0" w:space="0" w:color="auto"/>
      </w:divBdr>
    </w:div>
    <w:div w:id="109711787">
      <w:bodyDiv w:val="1"/>
      <w:marLeft w:val="0"/>
      <w:marRight w:val="0"/>
      <w:marTop w:val="0"/>
      <w:marBottom w:val="0"/>
      <w:divBdr>
        <w:top w:val="none" w:sz="0" w:space="0" w:color="auto"/>
        <w:left w:val="none" w:sz="0" w:space="0" w:color="auto"/>
        <w:bottom w:val="none" w:sz="0" w:space="0" w:color="auto"/>
        <w:right w:val="none" w:sz="0" w:space="0" w:color="auto"/>
      </w:divBdr>
    </w:div>
    <w:div w:id="959843972">
      <w:bodyDiv w:val="1"/>
      <w:marLeft w:val="0"/>
      <w:marRight w:val="0"/>
      <w:marTop w:val="0"/>
      <w:marBottom w:val="0"/>
      <w:divBdr>
        <w:top w:val="none" w:sz="0" w:space="0" w:color="auto"/>
        <w:left w:val="none" w:sz="0" w:space="0" w:color="auto"/>
        <w:bottom w:val="none" w:sz="0" w:space="0" w:color="auto"/>
        <w:right w:val="none" w:sz="0" w:space="0" w:color="auto"/>
      </w:divBdr>
    </w:div>
    <w:div w:id="1117597980">
      <w:bodyDiv w:val="1"/>
      <w:marLeft w:val="0"/>
      <w:marRight w:val="0"/>
      <w:marTop w:val="0"/>
      <w:marBottom w:val="0"/>
      <w:divBdr>
        <w:top w:val="none" w:sz="0" w:space="0" w:color="auto"/>
        <w:left w:val="none" w:sz="0" w:space="0" w:color="auto"/>
        <w:bottom w:val="none" w:sz="0" w:space="0" w:color="auto"/>
        <w:right w:val="none" w:sz="0" w:space="0" w:color="auto"/>
      </w:divBdr>
    </w:div>
    <w:div w:id="133680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law.lis.virginia.gov/vacode/22.1-214" TargetMode="External"/><Relationship Id="rId18" Type="http://schemas.openxmlformats.org/officeDocument/2006/relationships/hyperlink" Target="https://law.lis.virginia.gov/admincode/title8/agency20/chapter543/section80/" TargetMode="External"/><Relationship Id="rId26" Type="http://schemas.openxmlformats.org/officeDocument/2006/relationships/hyperlink" Target="https://lis.virginia.gov/cgi-bin/legp604.exe?ses=221&amp;typ=bil&amp;val=hb236" TargetMode="External"/><Relationship Id="rId3" Type="http://schemas.openxmlformats.org/officeDocument/2006/relationships/styles" Target="styles.xml"/><Relationship Id="rId21" Type="http://schemas.openxmlformats.org/officeDocument/2006/relationships/hyperlink" Target="https://lis.virginia.gov/cgi-bin/legp604.exe?212+sum+SB1288&amp;212+sum+SB1288" TargetMode="External"/><Relationship Id="rId7" Type="http://schemas.openxmlformats.org/officeDocument/2006/relationships/endnotes" Target="endnotes.xml"/><Relationship Id="rId12" Type="http://schemas.openxmlformats.org/officeDocument/2006/relationships/hyperlink" Target="https://lis.virginia.gov/cgi-bin/legp604.exe?212+sum+SB1288&amp;212+sum+SB1288" TargetMode="External"/><Relationship Id="rId17" Type="http://schemas.openxmlformats.org/officeDocument/2006/relationships/hyperlink" Target="http://law.lis.virginia.gov/vacode/title22.1/" TargetMode="External"/><Relationship Id="rId25" Type="http://schemas.openxmlformats.org/officeDocument/2006/relationships/hyperlink" Target="https://law.lis.virginia.gov/admincode/title8/agency20/chapter23/section110/" TargetMode="External"/><Relationship Id="rId2" Type="http://schemas.openxmlformats.org/officeDocument/2006/relationships/numbering" Target="numbering.xml"/><Relationship Id="rId16" Type="http://schemas.openxmlformats.org/officeDocument/2006/relationships/hyperlink" Target="http://law.lis.virginia.gov/vacode/22.1-298.1" TargetMode="External"/><Relationship Id="rId20" Type="http://schemas.openxmlformats.org/officeDocument/2006/relationships/hyperlink" Target="https://lis.virginia.gov/cgi-bin/legp604.exe?212+sum+HB229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s.virginia.gov/cgi-bin/legp604.exe?212+sum+HB2299" TargetMode="External"/><Relationship Id="rId24" Type="http://schemas.openxmlformats.org/officeDocument/2006/relationships/hyperlink" Target="https://law.lis.virginia.gov/vacode/22.1-298.1/" TargetMode="External"/><Relationship Id="rId5" Type="http://schemas.openxmlformats.org/officeDocument/2006/relationships/webSettings" Target="webSettings.xml"/><Relationship Id="rId15" Type="http://schemas.openxmlformats.org/officeDocument/2006/relationships/hyperlink" Target="http://law.lis.virginia.gov/vacode/22.1-253.13:4" TargetMode="External"/><Relationship Id="rId23" Type="http://schemas.openxmlformats.org/officeDocument/2006/relationships/hyperlink" Target="https://lis.virginia.gov/cgi-bin/legp604.exe?212+sum+SB1288&amp;212+sum+SB1288" TargetMode="External"/><Relationship Id="rId28" Type="http://schemas.openxmlformats.org/officeDocument/2006/relationships/footer" Target="footer1.xml"/><Relationship Id="rId10" Type="http://schemas.openxmlformats.org/officeDocument/2006/relationships/hyperlink" Target="https://lis.virginia.gov/cgi-bin/legp604.exe?211+sum+HB2316&amp;211+sum+HB2316" TargetMode="External"/><Relationship Id="rId19" Type="http://schemas.openxmlformats.org/officeDocument/2006/relationships/hyperlink" Target="https://law.lis.virginia.gov/admincode/title8/agency20/chapter543/section570/" TargetMode="External"/><Relationship Id="rId4" Type="http://schemas.openxmlformats.org/officeDocument/2006/relationships/settings" Target="settings.xml"/><Relationship Id="rId9" Type="http://schemas.openxmlformats.org/officeDocument/2006/relationships/hyperlink" Target="https://law.lis.virginia.gov/vacode/title2.2/chapter40/section2.2-4012.1/" TargetMode="External"/><Relationship Id="rId14" Type="http://schemas.openxmlformats.org/officeDocument/2006/relationships/hyperlink" Target="http://law.lis.virginia.gov/vacode/22.1-215" TargetMode="External"/><Relationship Id="rId22" Type="http://schemas.openxmlformats.org/officeDocument/2006/relationships/hyperlink" Target="https://lis.virginia.gov/cgi-bin/legp604.exe?212+sum+HB2299" TargetMode="External"/><Relationship Id="rId27" Type="http://schemas.openxmlformats.org/officeDocument/2006/relationships/hyperlink" Target="https://www.doe.virginia.gov/teaching/licensure/index.s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4F45C-89E2-4DFF-8271-66E79729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6</cp:revision>
  <dcterms:created xsi:type="dcterms:W3CDTF">2022-03-25T21:06:00Z</dcterms:created>
  <dcterms:modified xsi:type="dcterms:W3CDTF">2022-04-01T15:04:00Z</dcterms:modified>
</cp:coreProperties>
</file>