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40"/>
        <w:tblW w:w="9461" w:type="dxa"/>
        <w:tblInd w:w="0" w:type="dxa"/>
        <w:tblCellMar>
          <w:top w:w="70" w:type="dxa"/>
          <w:left w:w="115" w:type="dxa"/>
          <w:right w:w="76" w:type="dxa"/>
        </w:tblCellMar>
        <w:tblLook w:val="04A0" w:firstRow="1" w:lastRow="0" w:firstColumn="1" w:lastColumn="0" w:noHBand="0" w:noVBand="1"/>
      </w:tblPr>
      <w:tblGrid>
        <w:gridCol w:w="7986"/>
        <w:gridCol w:w="1475"/>
      </w:tblGrid>
      <w:tr w:rsidR="00121109" w:rsidTr="008D3B98">
        <w:trPr>
          <w:trHeight w:val="329"/>
        </w:trPr>
        <w:tc>
          <w:tcPr>
            <w:tcW w:w="7986" w:type="dxa"/>
            <w:tcBorders>
              <w:top w:val="single" w:sz="24" w:space="0" w:color="000000"/>
              <w:left w:val="single" w:sz="24" w:space="0" w:color="000000"/>
              <w:bottom w:val="single" w:sz="24" w:space="0" w:color="000000"/>
              <w:right w:val="single" w:sz="4" w:space="0" w:color="000000"/>
            </w:tcBorders>
          </w:tcPr>
          <w:p w:rsidR="00121109" w:rsidRDefault="0031125E" w:rsidP="008D3B98">
            <w:pPr>
              <w:ind w:left="3386" w:hanging="1875"/>
              <w:jc w:val="both"/>
            </w:pPr>
            <w:r>
              <w:rPr>
                <w:rFonts w:ascii="Times New Roman" w:eastAsia="Times New Roman" w:hAnsi="Times New Roman" w:cs="Times New Roman"/>
                <w:b/>
                <w:sz w:val="36"/>
              </w:rPr>
              <w:t>Advisory Board on Teacher Education  and Licensure</w:t>
            </w:r>
            <w:r>
              <w:rPr>
                <w:color w:val="323E4F"/>
                <w:sz w:val="52"/>
              </w:rPr>
              <w:t xml:space="preserve"> </w:t>
            </w:r>
          </w:p>
        </w:tc>
        <w:tc>
          <w:tcPr>
            <w:tcW w:w="1475" w:type="dxa"/>
            <w:tcBorders>
              <w:top w:val="single" w:sz="24" w:space="0" w:color="000000"/>
              <w:left w:val="single" w:sz="4" w:space="0" w:color="000000"/>
              <w:bottom w:val="single" w:sz="24" w:space="0" w:color="000000"/>
              <w:right w:val="single" w:sz="24" w:space="0" w:color="000000"/>
            </w:tcBorders>
          </w:tcPr>
          <w:p w:rsidR="00121109" w:rsidRDefault="0031125E" w:rsidP="008D3B98">
            <w:pPr>
              <w:spacing w:after="196"/>
            </w:pPr>
            <w:r>
              <w:rPr>
                <w:rFonts w:ascii="Times New Roman" w:eastAsia="Times New Roman" w:hAnsi="Times New Roman" w:cs="Times New Roman"/>
                <w:b/>
                <w:sz w:val="16"/>
              </w:rPr>
              <w:t xml:space="preserve"> </w:t>
            </w:r>
          </w:p>
          <w:p w:rsidR="00121109" w:rsidRDefault="0031125E" w:rsidP="008D3B98">
            <w:r>
              <w:rPr>
                <w:noProof/>
              </w:rPr>
              <w:drawing>
                <wp:inline distT="0" distB="0" distL="0" distR="0">
                  <wp:extent cx="633095" cy="641768"/>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4"/>
                          <a:stretch>
                            <a:fillRect/>
                          </a:stretch>
                        </pic:blipFill>
                        <pic:spPr>
                          <a:xfrm>
                            <a:off x="0" y="0"/>
                            <a:ext cx="633095" cy="641768"/>
                          </a:xfrm>
                          <a:prstGeom prst="rect">
                            <a:avLst/>
                          </a:prstGeom>
                        </pic:spPr>
                      </pic:pic>
                    </a:graphicData>
                  </a:graphic>
                </wp:inline>
              </w:drawing>
            </w:r>
            <w:r>
              <w:rPr>
                <w:b/>
                <w:sz w:val="36"/>
              </w:rPr>
              <w:t xml:space="preserve"> </w:t>
            </w:r>
          </w:p>
        </w:tc>
      </w:tr>
    </w:tbl>
    <w:p w:rsidR="0031125E" w:rsidRDefault="0031125E">
      <w:pPr>
        <w:tabs>
          <w:tab w:val="center" w:pos="2529"/>
        </w:tabs>
        <w:spacing w:after="0"/>
        <w:ind w:left="-15"/>
        <w:rPr>
          <w:rFonts w:ascii="Times New Roman" w:eastAsia="Times New Roman" w:hAnsi="Times New Roman" w:cs="Times New Roman"/>
          <w:b/>
          <w:sz w:val="24"/>
        </w:rPr>
      </w:pPr>
    </w:p>
    <w:p w:rsidR="00121109" w:rsidRDefault="0031125E">
      <w:pPr>
        <w:tabs>
          <w:tab w:val="center" w:pos="2529"/>
        </w:tabs>
        <w:spacing w:after="0"/>
        <w:ind w:left="-15"/>
      </w:pPr>
      <w:r>
        <w:rPr>
          <w:rFonts w:ascii="Times New Roman" w:eastAsia="Times New Roman" w:hAnsi="Times New Roman" w:cs="Times New Roman"/>
          <w:b/>
          <w:sz w:val="24"/>
        </w:rPr>
        <w:t xml:space="preserve">ITEM:   </w:t>
      </w:r>
      <w:r>
        <w:rPr>
          <w:rFonts w:ascii="Times New Roman" w:eastAsia="Times New Roman" w:hAnsi="Times New Roman" w:cs="Times New Roman"/>
          <w:b/>
          <w:sz w:val="24"/>
        </w:rPr>
        <w:tab/>
        <w:t xml:space="preserve">Pearson Presentation </w:t>
      </w:r>
    </w:p>
    <w:p w:rsidR="00121109" w:rsidRDefault="0031125E">
      <w:pPr>
        <w:spacing w:after="9"/>
      </w:pPr>
      <w:r>
        <w:rPr>
          <w:rFonts w:ascii="Times New Roman" w:eastAsia="Times New Roman" w:hAnsi="Times New Roman" w:cs="Times New Roman"/>
          <w:b/>
          <w:sz w:val="24"/>
        </w:rPr>
        <w:t xml:space="preserve"> </w:t>
      </w:r>
    </w:p>
    <w:p w:rsidR="00121109" w:rsidRDefault="008D3B98" w:rsidP="008D3B98">
      <w:pPr>
        <w:tabs>
          <w:tab w:val="center" w:pos="2317"/>
        </w:tabs>
        <w:spacing w:after="0" w:line="276" w:lineRule="auto"/>
        <w:ind w:left="-15"/>
      </w:pPr>
      <w:r>
        <w:rPr>
          <w:rFonts w:ascii="Times New Roman" w:eastAsia="Times New Roman" w:hAnsi="Times New Roman" w:cs="Times New Roman"/>
          <w:b/>
          <w:sz w:val="24"/>
        </w:rPr>
        <w:t xml:space="preserve">DATE:   </w:t>
      </w:r>
      <w:r>
        <w:rPr>
          <w:rFonts w:ascii="Times New Roman" w:eastAsia="Times New Roman" w:hAnsi="Times New Roman" w:cs="Times New Roman"/>
          <w:b/>
          <w:sz w:val="24"/>
        </w:rPr>
        <w:tab/>
        <w:t>January 31, 2022</w:t>
      </w:r>
    </w:p>
    <w:p w:rsidR="008D3B98" w:rsidRDefault="008D3B98" w:rsidP="008D3B98">
      <w:pPr>
        <w:tabs>
          <w:tab w:val="center" w:pos="4939"/>
        </w:tabs>
        <w:spacing w:after="0" w:line="240" w:lineRule="auto"/>
        <w:ind w:left="-15"/>
        <w:rPr>
          <w:rFonts w:ascii="Times New Roman" w:eastAsia="Times New Roman" w:hAnsi="Times New Roman" w:cs="Times New Roman"/>
          <w:b/>
          <w:sz w:val="20"/>
          <w:szCs w:val="20"/>
        </w:rPr>
      </w:pPr>
    </w:p>
    <w:p w:rsidR="00121109" w:rsidRDefault="0031125E" w:rsidP="008D3B98">
      <w:pPr>
        <w:tabs>
          <w:tab w:val="center" w:pos="4939"/>
        </w:tabs>
        <w:spacing w:after="0" w:line="240" w:lineRule="auto"/>
        <w:ind w:left="-15"/>
      </w:pPr>
      <w:bookmarkStart w:id="0" w:name="_GoBack"/>
      <w:bookmarkEnd w:id="0"/>
      <w:r>
        <w:rPr>
          <w:rFonts w:ascii="Times New Roman" w:eastAsia="Times New Roman" w:hAnsi="Times New Roman" w:cs="Times New Roman"/>
          <w:b/>
          <w:sz w:val="24"/>
        </w:rPr>
        <w:t xml:space="preserve">TOPIC: </w:t>
      </w:r>
      <w:r>
        <w:rPr>
          <w:rFonts w:ascii="Times New Roman" w:eastAsia="Times New Roman" w:hAnsi="Times New Roman" w:cs="Times New Roman"/>
          <w:b/>
          <w:sz w:val="24"/>
        </w:rPr>
        <w:tab/>
        <w:t xml:space="preserve">Pearson VCLA Regeneration and Customized Assessment Overview </w:t>
      </w:r>
    </w:p>
    <w:p w:rsidR="0031125E" w:rsidRDefault="0031125E">
      <w:pPr>
        <w:spacing w:line="258" w:lineRule="auto"/>
        <w:ind w:left="-5" w:hanging="10"/>
        <w:rPr>
          <w:rFonts w:ascii="Times New Roman" w:eastAsia="Times New Roman" w:hAnsi="Times New Roman" w:cs="Times New Roman"/>
          <w:sz w:val="24"/>
        </w:rPr>
      </w:pPr>
    </w:p>
    <w:p w:rsidR="00121109" w:rsidRDefault="0031125E">
      <w:pPr>
        <w:spacing w:line="258" w:lineRule="auto"/>
        <w:ind w:left="-5" w:hanging="10"/>
      </w:pPr>
      <w:r>
        <w:rPr>
          <w:rFonts w:ascii="Times New Roman" w:eastAsia="Times New Roman" w:hAnsi="Times New Roman" w:cs="Times New Roman"/>
          <w:sz w:val="24"/>
        </w:rPr>
        <w:t>Section 22.1-298.1. Regulations governing licensure of the Code of Virginia requires that the Board of Education’s regulations “shall include requirements that a person seeking initial licensure: 1. Complete professional assessments as prescribed by the Board of Education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121109" w:rsidRDefault="0031125E">
      <w:pPr>
        <w:spacing w:after="4" w:line="258" w:lineRule="auto"/>
        <w:ind w:left="-5" w:hanging="10"/>
      </w:pPr>
      <w:r>
        <w:rPr>
          <w:rFonts w:ascii="Times New Roman" w:eastAsia="Times New Roman" w:hAnsi="Times New Roman" w:cs="Times New Roman"/>
          <w:sz w:val="24"/>
        </w:rPr>
        <w:t xml:space="preserve">Currently, the Virginia Board of Education requires the following licensure assessments: </w:t>
      </w:r>
    </w:p>
    <w:p w:rsidR="00121109" w:rsidRDefault="0031125E">
      <w:pPr>
        <w:tabs>
          <w:tab w:val="center" w:pos="3662"/>
        </w:tabs>
        <w:spacing w:after="21"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●Virginia Communication and Literacy Assessment (VCLA) </w:t>
      </w:r>
    </w:p>
    <w:p w:rsidR="00121109" w:rsidRDefault="0031125E">
      <w:pPr>
        <w:tabs>
          <w:tab w:val="center" w:pos="2258"/>
        </w:tabs>
        <w:spacing w:after="21"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●Praxis II: Specialty Area Tests </w:t>
      </w:r>
    </w:p>
    <w:p w:rsidR="00121109" w:rsidRDefault="0031125E">
      <w:pPr>
        <w:tabs>
          <w:tab w:val="center" w:pos="2651"/>
        </w:tabs>
        <w:spacing w:after="21"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●Reading for Virginia Educators (RVE) </w:t>
      </w:r>
    </w:p>
    <w:p w:rsidR="00121109" w:rsidRDefault="0031125E">
      <w:pPr>
        <w:tabs>
          <w:tab w:val="center" w:pos="3045"/>
        </w:tabs>
        <w:spacing w:after="21"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●School Leaders Licensure Assessment (SLLA) </w:t>
      </w:r>
    </w:p>
    <w:p w:rsidR="00121109" w:rsidRDefault="0031125E">
      <w:pPr>
        <w:spacing w:after="0"/>
      </w:pPr>
      <w:r>
        <w:rPr>
          <w:rFonts w:ascii="Times New Roman" w:eastAsia="Times New Roman" w:hAnsi="Times New Roman" w:cs="Times New Roman"/>
          <w:sz w:val="24"/>
        </w:rPr>
        <w:t xml:space="preserve"> </w:t>
      </w:r>
    </w:p>
    <w:p w:rsidR="00121109" w:rsidRDefault="0031125E">
      <w:pPr>
        <w:spacing w:after="0" w:line="238" w:lineRule="auto"/>
        <w:jc w:val="both"/>
      </w:pPr>
      <w:r>
        <w:rPr>
          <w:rFonts w:ascii="Times New Roman" w:eastAsia="Times New Roman" w:hAnsi="Times New Roman" w:cs="Times New Roman"/>
          <w:sz w:val="24"/>
        </w:rPr>
        <w:t xml:space="preserve">The National Evaluation Group of Pearson administers the Virginia Communication and Literacy Assessment (VCLA). Test preparation resources and materials, including study guides and practice tests, are available on the </w:t>
      </w:r>
      <w:hyperlink r:id="rId5">
        <w:r>
          <w:rPr>
            <w:rFonts w:ascii="Times New Roman" w:eastAsia="Times New Roman" w:hAnsi="Times New Roman" w:cs="Times New Roman"/>
            <w:color w:val="0563C1"/>
            <w:sz w:val="24"/>
            <w:u w:val="single" w:color="0563C1"/>
          </w:rPr>
          <w:t>Pearson Test Preparation Web</w:t>
        </w:r>
      </w:hyperlink>
      <w:hyperlink r:id="rId6">
        <w:r>
          <w:rPr>
            <w:rFonts w:ascii="Times New Roman" w:eastAsia="Times New Roman" w:hAnsi="Times New Roman" w:cs="Times New Roman"/>
            <w:color w:val="0563C1"/>
            <w:sz w:val="24"/>
            <w:u w:val="single" w:color="0563C1"/>
          </w:rPr>
          <w:t xml:space="preserve"> site</w:t>
        </w:r>
      </w:hyperlink>
      <w:hyperlink r:id="rId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21109" w:rsidRDefault="0031125E">
      <w:pPr>
        <w:spacing w:after="0"/>
      </w:pPr>
      <w:r>
        <w:rPr>
          <w:rFonts w:ascii="Times New Roman" w:eastAsia="Times New Roman" w:hAnsi="Times New Roman" w:cs="Times New Roman"/>
          <w:sz w:val="24"/>
        </w:rPr>
        <w:t xml:space="preserve"> </w:t>
      </w:r>
    </w:p>
    <w:p w:rsidR="00121109" w:rsidRDefault="0031125E">
      <w:pPr>
        <w:spacing w:after="166" w:line="249" w:lineRule="auto"/>
        <w:ind w:left="-5" w:hanging="10"/>
      </w:pPr>
      <w:r>
        <w:rPr>
          <w:rFonts w:ascii="Times New Roman" w:eastAsia="Times New Roman" w:hAnsi="Times New Roman" w:cs="Times New Roman"/>
          <w:sz w:val="24"/>
        </w:rPr>
        <w:t xml:space="preserve">The Educational Testing Service (ETS) administers the Praxis II Specialty Area tests that assess subject area content including the SLLA and RVE. Test preparation resources and materials, including study guides and practice tests, are available on the </w:t>
      </w:r>
      <w:hyperlink r:id="rId8">
        <w:r>
          <w:rPr>
            <w:rFonts w:ascii="Times New Roman" w:eastAsia="Times New Roman" w:hAnsi="Times New Roman" w:cs="Times New Roman"/>
            <w:color w:val="0563C1"/>
            <w:sz w:val="24"/>
            <w:u w:val="single" w:color="0563C1"/>
          </w:rPr>
          <w:t>ETS Test Preparation Web site</w:t>
        </w:r>
      </w:hyperlink>
      <w:hyperlink r:id="rId9">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21109" w:rsidRDefault="0031125E">
      <w:pPr>
        <w:spacing w:after="4" w:line="258" w:lineRule="auto"/>
        <w:ind w:left="-5" w:hanging="10"/>
      </w:pPr>
      <w:r>
        <w:rPr>
          <w:rFonts w:ascii="Times New Roman" w:eastAsia="Times New Roman" w:hAnsi="Times New Roman" w:cs="Times New Roman"/>
          <w:sz w:val="24"/>
        </w:rPr>
        <w:t xml:space="preserve">Background  </w:t>
      </w:r>
    </w:p>
    <w:p w:rsidR="00121109" w:rsidRDefault="0031125E">
      <w:pPr>
        <w:spacing w:after="21" w:line="249" w:lineRule="auto"/>
        <w:ind w:left="-5" w:hanging="10"/>
      </w:pPr>
      <w:r>
        <w:rPr>
          <w:rFonts w:ascii="Times New Roman" w:eastAsia="Times New Roman" w:hAnsi="Times New Roman" w:cs="Times New Roman"/>
          <w:sz w:val="24"/>
        </w:rPr>
        <w:t xml:space="preserve">The Virginia Communication and Literacy Assessment (VCLA) has been required for initial licensure since 2006.  The VCLA is composed of two area subtests − a Reading Subtest (091) and a Writing Subtest (092).  The National Evaluation Group of Pearson administers the Virginia Communication and Literacy Assessment (VCLA).  On June 27, 2013, the Virginia Board of Education approved increased raw scores that </w:t>
      </w:r>
      <w:proofErr w:type="gramStart"/>
      <w:r>
        <w:rPr>
          <w:rFonts w:ascii="Times New Roman" w:eastAsia="Times New Roman" w:hAnsi="Times New Roman" w:cs="Times New Roman"/>
          <w:sz w:val="24"/>
        </w:rPr>
        <w:t>are needed</w:t>
      </w:r>
      <w:proofErr w:type="gramEnd"/>
      <w:r>
        <w:rPr>
          <w:rFonts w:ascii="Times New Roman" w:eastAsia="Times New Roman" w:hAnsi="Times New Roman" w:cs="Times New Roman"/>
          <w:sz w:val="24"/>
        </w:rPr>
        <w:t xml:space="preserve"> to obtain passing scores.  As a result, the scaled passing scores of 235 for both the reading and writing subtests will remain in effect.  The scaled composite passing score for the VCLA assessment (reading and writing combined) is 470.  </w:t>
      </w:r>
    </w:p>
    <w:p w:rsidR="008D3B98" w:rsidRDefault="0031125E" w:rsidP="008D3B98">
      <w:pPr>
        <w:spacing w:after="41" w:line="240" w:lineRule="auto"/>
        <w:rPr>
          <w:rFonts w:ascii="Times New Roman" w:eastAsia="Times New Roman" w:hAnsi="Times New Roman" w:cs="Times New Roman"/>
          <w:b/>
          <w:sz w:val="24"/>
          <w:u w:val="single" w:color="000000"/>
        </w:rPr>
      </w:pPr>
      <w:r>
        <w:rPr>
          <w:rFonts w:ascii="Times New Roman" w:eastAsia="Times New Roman" w:hAnsi="Times New Roman" w:cs="Times New Roman"/>
          <w:i/>
          <w:sz w:val="20"/>
        </w:rPr>
        <w:t xml:space="preserve">Information on Professional Teacher’s Assessment Requirements for Virginia Licensure </w:t>
      </w:r>
      <w:proofErr w:type="gramStart"/>
      <w:r>
        <w:rPr>
          <w:rFonts w:ascii="Times New Roman" w:eastAsia="Times New Roman" w:hAnsi="Times New Roman" w:cs="Times New Roman"/>
          <w:i/>
          <w:sz w:val="20"/>
        </w:rPr>
        <w:t>can be found</w:t>
      </w:r>
      <w:proofErr w:type="gramEnd"/>
      <w:r>
        <w:rPr>
          <w:rFonts w:ascii="Times New Roman" w:eastAsia="Times New Roman" w:hAnsi="Times New Roman" w:cs="Times New Roman"/>
          <w:i/>
          <w:sz w:val="20"/>
        </w:rPr>
        <w:t xml:space="preserve"> on the following website </w:t>
      </w:r>
      <w:hyperlink r:id="rId10">
        <w:r>
          <w:rPr>
            <w:rFonts w:ascii="Times New Roman" w:eastAsia="Times New Roman" w:hAnsi="Times New Roman" w:cs="Times New Roman"/>
            <w:i/>
            <w:color w:val="0563C1"/>
            <w:sz w:val="20"/>
            <w:u w:val="single" w:color="0563C1"/>
          </w:rPr>
          <w:t>https://www.doe.virginia.gov/teaching/licensure/professional-assessments.docx</w:t>
        </w:r>
      </w:hyperlink>
    </w:p>
    <w:p w:rsidR="008D3B98" w:rsidRDefault="008D3B98" w:rsidP="0031125E">
      <w:pPr>
        <w:spacing w:after="158"/>
        <w:rPr>
          <w:rFonts w:ascii="Times New Roman" w:eastAsia="Times New Roman" w:hAnsi="Times New Roman" w:cs="Times New Roman"/>
          <w:b/>
          <w:sz w:val="18"/>
          <w:szCs w:val="18"/>
          <w:u w:val="single" w:color="000000"/>
        </w:rPr>
      </w:pPr>
    </w:p>
    <w:p w:rsidR="00121109" w:rsidRDefault="0031125E" w:rsidP="0031125E">
      <w:pPr>
        <w:spacing w:after="158"/>
      </w:pPr>
      <w:r>
        <w:rPr>
          <w:rFonts w:ascii="Times New Roman" w:eastAsia="Times New Roman" w:hAnsi="Times New Roman" w:cs="Times New Roman"/>
          <w:b/>
          <w:sz w:val="24"/>
          <w:u w:val="single" w:color="000000"/>
        </w:rPr>
        <w:t>Action:</w:t>
      </w:r>
      <w:r>
        <w:rPr>
          <w:rFonts w:ascii="Times New Roman" w:eastAsia="Times New Roman" w:hAnsi="Times New Roman" w:cs="Times New Roman"/>
          <w:b/>
          <w:sz w:val="24"/>
        </w:rPr>
        <w:t xml:space="preserve"> </w:t>
      </w:r>
    </w:p>
    <w:p w:rsidR="00121109" w:rsidRDefault="0031125E">
      <w:pPr>
        <w:spacing w:after="21" w:line="249" w:lineRule="auto"/>
        <w:ind w:left="-5" w:hanging="10"/>
      </w:pPr>
      <w:r>
        <w:rPr>
          <w:rFonts w:ascii="Times New Roman" w:eastAsia="Times New Roman" w:hAnsi="Times New Roman" w:cs="Times New Roman"/>
          <w:sz w:val="24"/>
        </w:rPr>
        <w:t xml:space="preserve">The Advisory Board </w:t>
      </w:r>
      <w:proofErr w:type="gramStart"/>
      <w:r>
        <w:rPr>
          <w:rFonts w:ascii="Times New Roman" w:eastAsia="Times New Roman" w:hAnsi="Times New Roman" w:cs="Times New Roman"/>
          <w:sz w:val="24"/>
        </w:rPr>
        <w:t>is recommended</w:t>
      </w:r>
      <w:proofErr w:type="gramEnd"/>
      <w:r>
        <w:rPr>
          <w:rFonts w:ascii="Times New Roman" w:eastAsia="Times New Roman" w:hAnsi="Times New Roman" w:cs="Times New Roman"/>
          <w:sz w:val="24"/>
        </w:rPr>
        <w:t xml:space="preserve"> to receive the presentation on the VCLA and the Pearson Regeneration Process.</w:t>
      </w:r>
      <w:r>
        <w:rPr>
          <w:rFonts w:ascii="Times New Roman" w:eastAsia="Times New Roman" w:hAnsi="Times New Roman" w:cs="Times New Roman"/>
          <w:color w:val="444444"/>
          <w:sz w:val="24"/>
        </w:rPr>
        <w:t xml:space="preserve"> </w:t>
      </w:r>
    </w:p>
    <w:sectPr w:rsidR="00121109">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09"/>
    <w:rsid w:val="00121109"/>
    <w:rsid w:val="0031125E"/>
    <w:rsid w:val="008D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55DB"/>
  <w15:docId w15:val="{29F448FC-A6E7-4AB6-9B56-531D0E8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s.org/" TargetMode="External"/><Relationship Id="rId3" Type="http://schemas.openxmlformats.org/officeDocument/2006/relationships/webSettings" Target="webSettings.xml"/><Relationship Id="rId7" Type="http://schemas.openxmlformats.org/officeDocument/2006/relationships/hyperlink" Target="https://www.pearsonassessmen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assessments.com/" TargetMode="External"/><Relationship Id="rId11" Type="http://schemas.openxmlformats.org/officeDocument/2006/relationships/fontTable" Target="fontTable.xml"/><Relationship Id="rId5" Type="http://schemas.openxmlformats.org/officeDocument/2006/relationships/hyperlink" Target="https://www.pearsonassessments.com/" TargetMode="External"/><Relationship Id="rId10" Type="http://schemas.openxmlformats.org/officeDocument/2006/relationships/hyperlink" Target="https://www.doe.virginia.gov/teaching/licensure/professional-assessments.docx" TargetMode="External"/><Relationship Id="rId4" Type="http://schemas.openxmlformats.org/officeDocument/2006/relationships/image" Target="media/image1.jpg"/><Relationship Id="rId9" Type="http://schemas.openxmlformats.org/officeDocument/2006/relationships/hyperlink" Target="https://www.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2</cp:revision>
  <dcterms:created xsi:type="dcterms:W3CDTF">2022-02-16T16:57:00Z</dcterms:created>
  <dcterms:modified xsi:type="dcterms:W3CDTF">2022-02-16T16:57:00Z</dcterms:modified>
</cp:coreProperties>
</file>