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74" w:type="dxa"/>
        <w:tblInd w:w="47" w:type="dxa"/>
        <w:tblCellMar>
          <w:top w:w="48" w:type="dxa"/>
          <w:left w:w="115" w:type="dxa"/>
          <w:right w:w="285" w:type="dxa"/>
        </w:tblCellMar>
        <w:tblLook w:val="04A0" w:firstRow="1" w:lastRow="0" w:firstColumn="1" w:lastColumn="0" w:noHBand="0" w:noVBand="1"/>
      </w:tblPr>
      <w:tblGrid>
        <w:gridCol w:w="9274"/>
      </w:tblGrid>
      <w:tr w:rsidR="00220E5F" w:rsidTr="00220E5F">
        <w:trPr>
          <w:trHeight w:val="1618"/>
        </w:trPr>
        <w:tc>
          <w:tcPr>
            <w:tcW w:w="9274" w:type="dxa"/>
            <w:tcBorders>
              <w:top w:val="double" w:sz="15" w:space="0" w:color="000000"/>
              <w:left w:val="double" w:sz="15" w:space="0" w:color="000000"/>
              <w:bottom w:val="double" w:sz="15" w:space="0" w:color="000000"/>
              <w:right w:val="double" w:sz="15" w:space="0" w:color="000000"/>
            </w:tcBorders>
          </w:tcPr>
          <w:p w:rsidR="00220E5F" w:rsidRDefault="00E41E2C" w:rsidP="001A55A2">
            <w:pPr>
              <w:spacing w:after="278"/>
              <w:ind w:right="996"/>
              <w:jc w:val="right"/>
            </w:pPr>
            <w:r>
              <w:rPr>
                <w:b/>
              </w:rPr>
              <w:t xml:space="preserve"> </w:t>
            </w:r>
            <w:r>
              <w:rPr>
                <w:rFonts w:ascii="Calibri" w:eastAsia="Calibri" w:hAnsi="Calibri" w:cs="Calibri"/>
                <w:sz w:val="22"/>
              </w:rPr>
              <w:t xml:space="preserve"> </w:t>
            </w:r>
            <w:bookmarkStart w:id="0" w:name="_GoBack"/>
            <w:bookmarkEnd w:id="0"/>
          </w:p>
          <w:p w:rsidR="00220E5F" w:rsidRDefault="00220E5F" w:rsidP="001A55A2">
            <w:pPr>
              <w:ind w:left="67" w:right="56"/>
              <w:jc w:val="center"/>
            </w:pPr>
            <w:r>
              <w:rPr>
                <w:noProof/>
              </w:rPr>
              <w:drawing>
                <wp:anchor distT="0" distB="0" distL="114300" distR="114300" simplePos="0" relativeHeight="251659264" behindDoc="0" locked="0" layoutInCell="1" allowOverlap="0" wp14:anchorId="558EE3C3" wp14:editId="65C498AA">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633095" cy="641769"/>
                          </a:xfrm>
                          <a:prstGeom prst="rect">
                            <a:avLst/>
                          </a:prstGeom>
                        </pic:spPr>
                      </pic:pic>
                    </a:graphicData>
                  </a:graphic>
                </wp:anchor>
              </w:drawing>
            </w:r>
            <w:r>
              <w:rPr>
                <w:b/>
                <w:sz w:val="36"/>
              </w:rPr>
              <w:t xml:space="preserve">Advisory Board on Teacher Education  </w:t>
            </w:r>
          </w:p>
          <w:p w:rsidR="00220E5F" w:rsidRDefault="00220E5F" w:rsidP="001A55A2">
            <w:pPr>
              <w:ind w:left="74" w:right="56"/>
              <w:jc w:val="center"/>
            </w:pPr>
            <w:r>
              <w:rPr>
                <w:b/>
                <w:sz w:val="36"/>
              </w:rPr>
              <w:t>and Licensure</w:t>
            </w:r>
            <w:r>
              <w:rPr>
                <w:color w:val="323E4F"/>
              </w:rPr>
              <w:t xml:space="preserve"> </w:t>
            </w:r>
          </w:p>
          <w:p w:rsidR="00220E5F" w:rsidRDefault="00220E5F" w:rsidP="001A55A2">
            <w:pPr>
              <w:ind w:left="7817"/>
              <w:jc w:val="right"/>
            </w:pPr>
            <w:r>
              <w:rPr>
                <w:b/>
              </w:rPr>
              <w:t xml:space="preserve"> </w:t>
            </w:r>
          </w:p>
        </w:tc>
      </w:tr>
    </w:tbl>
    <w:p w:rsidR="00A93C88" w:rsidRDefault="00E41E2C">
      <w:pPr>
        <w:spacing w:after="26" w:line="259" w:lineRule="auto"/>
        <w:ind w:left="14" w:firstLine="0"/>
      </w:pPr>
      <w:r>
        <w:rPr>
          <w:b/>
        </w:rPr>
        <w:t xml:space="preserve"> </w:t>
      </w:r>
      <w:r>
        <w:rPr>
          <w:rFonts w:ascii="Calibri" w:eastAsia="Calibri" w:hAnsi="Calibri" w:cs="Calibri"/>
          <w:sz w:val="22"/>
        </w:rPr>
        <w:t xml:space="preserve"> </w:t>
      </w:r>
    </w:p>
    <w:p w:rsidR="00A93C88" w:rsidRDefault="00E41E2C">
      <w:pPr>
        <w:spacing w:after="24"/>
        <w:ind w:left="-5"/>
      </w:pPr>
      <w:r>
        <w:rPr>
          <w:b/>
        </w:rPr>
        <w:t xml:space="preserve">AGENDA ITEM:   </w:t>
      </w:r>
      <w:r w:rsidR="00220E5F">
        <w:rPr>
          <w:b/>
        </w:rPr>
        <w:t xml:space="preserve">   </w:t>
      </w:r>
      <w:proofErr w:type="gramStart"/>
      <w:r>
        <w:rPr>
          <w:b/>
        </w:rPr>
        <w:t>3</w:t>
      </w:r>
      <w:proofErr w:type="gramEnd"/>
      <w:r>
        <w:rPr>
          <w:b/>
        </w:rPr>
        <w:t xml:space="preserve"> </w:t>
      </w:r>
      <w:r>
        <w:rPr>
          <w:rFonts w:ascii="Calibri" w:eastAsia="Calibri" w:hAnsi="Calibri" w:cs="Calibri"/>
          <w:sz w:val="22"/>
        </w:rPr>
        <w:t xml:space="preserve"> </w:t>
      </w:r>
    </w:p>
    <w:p w:rsidR="00A93C88" w:rsidRDefault="00E41E2C">
      <w:pPr>
        <w:spacing w:after="67" w:line="259" w:lineRule="auto"/>
        <w:ind w:left="14" w:firstLine="0"/>
      </w:pPr>
      <w:r>
        <w:rPr>
          <w:b/>
        </w:rPr>
        <w:t xml:space="preserve">  </w:t>
      </w:r>
      <w:r>
        <w:rPr>
          <w:b/>
        </w:rPr>
        <w:tab/>
        <w:t xml:space="preserve"> </w:t>
      </w:r>
      <w:r>
        <w:rPr>
          <w:rFonts w:ascii="Calibri" w:eastAsia="Calibri" w:hAnsi="Calibri" w:cs="Calibri"/>
          <w:sz w:val="22"/>
        </w:rPr>
        <w:t xml:space="preserve"> </w:t>
      </w:r>
    </w:p>
    <w:p w:rsidR="00A93C88" w:rsidRDefault="00E41E2C">
      <w:pPr>
        <w:tabs>
          <w:tab w:val="center" w:pos="1454"/>
          <w:tab w:val="center" w:pos="3051"/>
        </w:tabs>
        <w:spacing w:after="24"/>
        <w:ind w:left="-15" w:firstLine="0"/>
      </w:pPr>
      <w:r>
        <w:rPr>
          <w:b/>
        </w:rPr>
        <w:t xml:space="preserve">DATE:    </w:t>
      </w:r>
      <w:r>
        <w:rPr>
          <w:b/>
        </w:rPr>
        <w:tab/>
        <w:t xml:space="preserve">  </w:t>
      </w:r>
      <w:r>
        <w:rPr>
          <w:b/>
        </w:rPr>
        <w:tab/>
        <w:t xml:space="preserve">January 31, 2022 </w:t>
      </w:r>
      <w:r>
        <w:rPr>
          <w:rFonts w:ascii="Calibri" w:eastAsia="Calibri" w:hAnsi="Calibri" w:cs="Calibri"/>
          <w:sz w:val="22"/>
        </w:rPr>
        <w:t xml:space="preserve"> </w:t>
      </w:r>
    </w:p>
    <w:p w:rsidR="00A93C88" w:rsidRDefault="00E41E2C">
      <w:pPr>
        <w:spacing w:after="59" w:line="259" w:lineRule="auto"/>
        <w:ind w:left="14" w:firstLine="0"/>
      </w:pPr>
      <w:r>
        <w:rPr>
          <w:b/>
        </w:rPr>
        <w:t xml:space="preserve"> </w:t>
      </w:r>
      <w:r>
        <w:rPr>
          <w:rFonts w:ascii="Calibri" w:eastAsia="Calibri" w:hAnsi="Calibri" w:cs="Calibri"/>
          <w:sz w:val="22"/>
        </w:rPr>
        <w:t xml:space="preserve"> </w:t>
      </w:r>
    </w:p>
    <w:p w:rsidR="00A93C88" w:rsidRDefault="00E41E2C">
      <w:pPr>
        <w:pStyle w:val="Heading1"/>
        <w:ind w:left="2159" w:hanging="2174"/>
      </w:pPr>
      <w:r>
        <w:t xml:space="preserve">TOPIC:   </w:t>
      </w:r>
      <w:r>
        <w:tab/>
        <w:t xml:space="preserve">Review of Amendments to the </w:t>
      </w:r>
      <w:r>
        <w:rPr>
          <w:i/>
        </w:rPr>
        <w:t xml:space="preserve">Licensure Regulations for </w:t>
      </w:r>
      <w:proofErr w:type="gramStart"/>
      <w:r>
        <w:rPr>
          <w:i/>
        </w:rPr>
        <w:t xml:space="preserve">School </w:t>
      </w:r>
      <w:r>
        <w:rPr>
          <w:rFonts w:ascii="Calibri" w:eastAsia="Calibri" w:hAnsi="Calibri" w:cs="Calibri"/>
          <w:b w:val="0"/>
          <w:sz w:val="22"/>
        </w:rPr>
        <w:t xml:space="preserve"> </w:t>
      </w:r>
      <w:r>
        <w:rPr>
          <w:i/>
        </w:rPr>
        <w:t>Personnel</w:t>
      </w:r>
      <w:proofErr w:type="gramEnd"/>
      <w:r>
        <w:t xml:space="preserve"> to Comport with American Sign Language National Certifications </w:t>
      </w:r>
      <w:r>
        <w:rPr>
          <w:rFonts w:ascii="Calibri" w:eastAsia="Calibri" w:hAnsi="Calibri" w:cs="Calibri"/>
          <w:b w:val="0"/>
          <w:sz w:val="22"/>
        </w:rPr>
        <w:t xml:space="preserve"> </w:t>
      </w:r>
    </w:p>
    <w:p w:rsidR="00A93C88" w:rsidRDefault="00E41E2C">
      <w:pPr>
        <w:spacing w:after="27" w:line="259" w:lineRule="auto"/>
        <w:ind w:left="734" w:firstLine="0"/>
      </w:pPr>
      <w:r>
        <w:rPr>
          <w:b/>
        </w:rPr>
        <w:t xml:space="preserve"> </w:t>
      </w:r>
      <w:r>
        <w:rPr>
          <w:rFonts w:ascii="Calibri" w:eastAsia="Calibri" w:hAnsi="Calibri" w:cs="Calibri"/>
          <w:sz w:val="22"/>
        </w:rPr>
        <w:t xml:space="preserve"> </w:t>
      </w:r>
    </w:p>
    <w:p w:rsidR="00A93C88" w:rsidRDefault="00E41E2C">
      <w:pPr>
        <w:spacing w:after="14" w:line="259" w:lineRule="auto"/>
        <w:ind w:left="-5"/>
      </w:pPr>
      <w:r>
        <w:rPr>
          <w:b/>
          <w:u w:val="single" w:color="000000"/>
        </w:rPr>
        <w:t>Background:</w:t>
      </w:r>
      <w:r>
        <w:rPr>
          <w:b/>
        </w:rPr>
        <w:t xml:space="preserve">  </w:t>
      </w:r>
      <w:r>
        <w:rPr>
          <w:rFonts w:ascii="Calibri" w:eastAsia="Calibri" w:hAnsi="Calibri" w:cs="Calibri"/>
          <w:sz w:val="22"/>
        </w:rPr>
        <w:t xml:space="preserve"> </w:t>
      </w:r>
    </w:p>
    <w:p w:rsidR="00A93C88" w:rsidRDefault="00E41E2C">
      <w:pPr>
        <w:ind w:left="5"/>
      </w:pPr>
      <w:r>
        <w:t xml:space="preserve">Current </w:t>
      </w:r>
      <w:r>
        <w:rPr>
          <w:i/>
        </w:rPr>
        <w:t xml:space="preserve">Licensure Regulations for School Personnel </w:t>
      </w:r>
      <w:hyperlink r:id="rId6">
        <w:r>
          <w:t>(</w:t>
        </w:r>
      </w:hyperlink>
      <w:hyperlink r:id="rId7">
        <w:r>
          <w:rPr>
            <w:color w:val="0563C1"/>
            <w:u w:val="single" w:color="0563C1"/>
          </w:rPr>
          <w:t>8VAC20</w:t>
        </w:r>
      </w:hyperlink>
      <w:hyperlink r:id="rId8">
        <w:r>
          <w:rPr>
            <w:color w:val="0563C1"/>
            <w:u w:val="single" w:color="0563C1"/>
          </w:rPr>
          <w:t>-</w:t>
        </w:r>
      </w:hyperlink>
      <w:hyperlink r:id="rId9">
        <w:r>
          <w:rPr>
            <w:color w:val="0563C1"/>
            <w:u w:val="single" w:color="0563C1"/>
          </w:rPr>
          <w:t>2</w:t>
        </w:r>
      </w:hyperlink>
      <w:hyperlink r:id="rId10">
        <w:r>
          <w:rPr>
            <w:color w:val="0563C1"/>
            <w:u w:val="single" w:color="0563C1"/>
          </w:rPr>
          <w:t>3</w:t>
        </w:r>
      </w:hyperlink>
      <w:hyperlink r:id="rId11">
        <w:r>
          <w:t xml:space="preserve">) </w:t>
        </w:r>
      </w:hyperlink>
      <w:r>
        <w:t xml:space="preserve">provide the requirements for individuals seeking an endorsement in American Sign Language. The prescribed national certifications issued by several recognized organizations are not current. </w:t>
      </w:r>
      <w:r>
        <w:rPr>
          <w:rFonts w:ascii="Calibri" w:eastAsia="Calibri" w:hAnsi="Calibri" w:cs="Calibri"/>
          <w:sz w:val="22"/>
        </w:rPr>
        <w:t xml:space="preserve"> </w:t>
      </w:r>
    </w:p>
    <w:p w:rsidR="00A93C88" w:rsidRDefault="00E41E2C">
      <w:pPr>
        <w:spacing w:after="19" w:line="259" w:lineRule="auto"/>
        <w:ind w:left="14" w:firstLine="0"/>
      </w:pPr>
      <w:r>
        <w:t xml:space="preserve"> </w:t>
      </w:r>
      <w:r>
        <w:rPr>
          <w:rFonts w:ascii="Calibri" w:eastAsia="Calibri" w:hAnsi="Calibri" w:cs="Calibri"/>
          <w:sz w:val="22"/>
        </w:rPr>
        <w:t xml:space="preserve"> </w:t>
      </w:r>
    </w:p>
    <w:p w:rsidR="00A93C88" w:rsidRDefault="00E41E2C">
      <w:pPr>
        <w:ind w:left="5"/>
      </w:pPr>
      <w:r>
        <w:t xml:space="preserve">The proposed amendments to the </w:t>
      </w:r>
      <w:r>
        <w:rPr>
          <w:i/>
        </w:rPr>
        <w:t>Licensure Regulations for School Personnel</w:t>
      </w:r>
      <w:r>
        <w:t xml:space="preserve"> recognize the changes that </w:t>
      </w:r>
      <w:proofErr w:type="gramStart"/>
      <w:r>
        <w:t>have been made</w:t>
      </w:r>
      <w:proofErr w:type="gramEnd"/>
      <w:r>
        <w:t xml:space="preserve"> by the national organizations and incorporates language to allow for changes in the future without compromising high standards. These amendments will follow the fast-track rulemaking requirements of the Administrative Process Act (APA).  </w:t>
      </w:r>
      <w:hyperlink r:id="rId12">
        <w:r>
          <w:rPr>
            <w:color w:val="0563C1"/>
            <w:u w:val="single" w:color="0563C1"/>
          </w:rPr>
          <w:t>§ 2.2-</w:t>
        </w:r>
      </w:hyperlink>
      <w:hyperlink r:id="rId13">
        <w:r>
          <w:rPr>
            <w:color w:val="0563C1"/>
            <w:u w:val="single" w:color="0563C1"/>
          </w:rPr>
          <w:t>4012.</w:t>
        </w:r>
      </w:hyperlink>
      <w:hyperlink r:id="rId14">
        <w:proofErr w:type="gramStart"/>
        <w:r>
          <w:rPr>
            <w:color w:val="0563C1"/>
            <w:u w:val="single" w:color="0563C1"/>
          </w:rPr>
          <w:t>1</w:t>
        </w:r>
        <w:proofErr w:type="gramEnd"/>
      </w:hyperlink>
      <w:hyperlink r:id="rId15">
        <w:r>
          <w:t xml:space="preserve"> </w:t>
        </w:r>
      </w:hyperlink>
      <w:r>
        <w:t xml:space="preserve">of the </w:t>
      </w:r>
      <w:r>
        <w:rPr>
          <w:i/>
        </w:rPr>
        <w:t>Code of Virginia</w:t>
      </w:r>
      <w:r>
        <w:t xml:space="preserve"> provides that the fast-track rulemaking process may be followed for rules that are expected to be noncontroversial. </w:t>
      </w:r>
      <w:r>
        <w:rPr>
          <w:rFonts w:ascii="Calibri" w:eastAsia="Calibri" w:hAnsi="Calibri" w:cs="Calibri"/>
          <w:sz w:val="22"/>
        </w:rPr>
        <w:t xml:space="preserve"> </w:t>
      </w:r>
    </w:p>
    <w:p w:rsidR="00A93C88" w:rsidRDefault="00E41E2C">
      <w:pPr>
        <w:spacing w:after="29" w:line="259" w:lineRule="auto"/>
        <w:ind w:left="14" w:firstLine="0"/>
      </w:pPr>
      <w:r>
        <w:rPr>
          <w:b/>
        </w:rPr>
        <w:t xml:space="preserve"> </w:t>
      </w:r>
      <w:r>
        <w:rPr>
          <w:rFonts w:ascii="Calibri" w:eastAsia="Calibri" w:hAnsi="Calibri" w:cs="Calibri"/>
          <w:sz w:val="22"/>
        </w:rPr>
        <w:t xml:space="preserve"> </w:t>
      </w:r>
    </w:p>
    <w:p w:rsidR="00A93C88" w:rsidRDefault="00E41E2C">
      <w:pPr>
        <w:spacing w:after="14" w:line="259" w:lineRule="auto"/>
        <w:ind w:left="-5"/>
      </w:pPr>
      <w:r>
        <w:rPr>
          <w:b/>
          <w:u w:val="single" w:color="000000"/>
        </w:rPr>
        <w:t>Statutory Authority</w:t>
      </w:r>
      <w:r w:rsidRPr="00220E5F">
        <w:rPr>
          <w:b/>
          <w:u w:val="single"/>
        </w:rPr>
        <w:t>:</w:t>
      </w:r>
      <w:r>
        <w:t xml:space="preserve">  </w:t>
      </w:r>
      <w:r>
        <w:rPr>
          <w:rFonts w:ascii="Calibri" w:eastAsia="Calibri" w:hAnsi="Calibri" w:cs="Calibri"/>
          <w:sz w:val="22"/>
        </w:rPr>
        <w:t xml:space="preserve"> </w:t>
      </w:r>
    </w:p>
    <w:p w:rsidR="00A93C88" w:rsidRDefault="00220E5F">
      <w:pPr>
        <w:spacing w:after="58"/>
        <w:ind w:left="-5"/>
      </w:pPr>
      <w:hyperlink r:id="rId16" w:anchor=":%7E:text=Regulations%20governing%20licensure.,A.&amp;text=The%20Board%20of%20Education%20shall,required%20to%20hold%20a%20license.">
        <w:r w:rsidR="00E41E2C">
          <w:rPr>
            <w:color w:val="0563C1"/>
            <w:u w:val="single" w:color="0563C1"/>
          </w:rPr>
          <w:t>Section 22.1</w:t>
        </w:r>
      </w:hyperlink>
      <w:hyperlink r:id="rId17" w:anchor=":%7E:text=Regulations%20governing%20licensure.,A.&amp;text=The%20Board%20of%20Education%20shall,required%20to%20hold%20a%20license.">
        <w:r w:rsidR="00E41E2C">
          <w:rPr>
            <w:color w:val="0563C1"/>
            <w:u w:val="single" w:color="0563C1"/>
          </w:rPr>
          <w:t>-</w:t>
        </w:r>
      </w:hyperlink>
      <w:hyperlink r:id="rId18" w:anchor=":%7E:text=Regulations%20governing%20licensure.,A.&amp;text=The%20Board%20of%20Education%20shall,required%20to%20hold%20a%20license.">
        <w:r w:rsidR="00E41E2C">
          <w:rPr>
            <w:color w:val="0563C1"/>
            <w:u w:val="single" w:color="0563C1"/>
          </w:rPr>
          <w:t>298.</w:t>
        </w:r>
      </w:hyperlink>
      <w:hyperlink r:id="rId19" w:anchor=":%7E:text=Regulations%20governing%20licensure.,A.&amp;text=The%20Board%20of%20Education%20shall,required%20to%20hold%20a%20license.">
        <w:r w:rsidR="00E41E2C">
          <w:rPr>
            <w:color w:val="0563C1"/>
            <w:u w:val="single" w:color="0563C1"/>
          </w:rPr>
          <w:t>1</w:t>
        </w:r>
      </w:hyperlink>
      <w:hyperlink r:id="rId20" w:anchor=":%7E:text=Regulations%20governing%20licensure.,A.&amp;text=The%20Board%20of%20Education%20shall,required%20to%20hold%20a%20license.">
        <w:r w:rsidR="00E41E2C">
          <w:rPr>
            <w:b/>
          </w:rPr>
          <w:t xml:space="preserve"> </w:t>
        </w:r>
      </w:hyperlink>
      <w:hyperlink r:id="rId21" w:anchor=":%7E:text=Regulations%20governing%20licensure.,A.&amp;text=The%20Board%20of%20Education%20shall,required%20to%20hold%20a%20license.">
        <w:r w:rsidR="00E41E2C">
          <w:rPr>
            <w:b/>
          </w:rPr>
          <w:t>o</w:t>
        </w:r>
      </w:hyperlink>
      <w:r w:rsidR="00E41E2C">
        <w:rPr>
          <w:b/>
        </w:rPr>
        <w:t xml:space="preserve">f the </w:t>
      </w:r>
      <w:r w:rsidR="00E41E2C">
        <w:rPr>
          <w:b/>
          <w:i/>
        </w:rPr>
        <w:t>Code of Virginia</w:t>
      </w:r>
      <w:r w:rsidR="00E41E2C">
        <w:rPr>
          <w:b/>
        </w:rPr>
        <w:t xml:space="preserve"> provides, in part:</w:t>
      </w:r>
      <w:r w:rsidR="00E41E2C">
        <w:t xml:space="preserve"> </w:t>
      </w:r>
      <w:r w:rsidR="00E41E2C">
        <w:rPr>
          <w:rFonts w:ascii="Calibri" w:eastAsia="Calibri" w:hAnsi="Calibri" w:cs="Calibri"/>
          <w:sz w:val="22"/>
        </w:rPr>
        <w:t xml:space="preserve"> </w:t>
      </w:r>
    </w:p>
    <w:p w:rsidR="00A93C88" w:rsidRDefault="00E41E2C">
      <w:pPr>
        <w:pBdr>
          <w:top w:val="single" w:sz="4" w:space="0" w:color="000000"/>
          <w:left w:val="single" w:sz="4" w:space="0" w:color="000000"/>
          <w:bottom w:val="single" w:sz="4" w:space="0" w:color="000000"/>
          <w:right w:val="single" w:sz="4" w:space="0" w:color="000000"/>
        </w:pBdr>
        <w:spacing w:after="38"/>
      </w:pPr>
      <w:r>
        <w:t xml:space="preserve">B. </w:t>
      </w:r>
      <w:proofErr w:type="gramStart"/>
      <w:r>
        <w:t>The</w:t>
      </w:r>
      <w:proofErr w:type="gramEnd"/>
      <w:r>
        <w:t xml:space="preserve"> Board of Education shall prescribe, by regulation, the requirements for the licensure of teachers and other school personnel required to hold a license. </w:t>
      </w:r>
      <w:r>
        <w:rPr>
          <w:rFonts w:ascii="Calibri" w:eastAsia="Calibri" w:hAnsi="Calibri" w:cs="Calibri"/>
          <w:sz w:val="22"/>
        </w:rPr>
        <w:t xml:space="preserve"> </w:t>
      </w:r>
    </w:p>
    <w:p w:rsidR="00A93C88" w:rsidRDefault="00E41E2C">
      <w:pPr>
        <w:spacing w:after="27" w:line="259" w:lineRule="auto"/>
        <w:ind w:left="14" w:firstLine="0"/>
      </w:pPr>
      <w:r>
        <w:t xml:space="preserve"> </w:t>
      </w:r>
      <w:r>
        <w:rPr>
          <w:rFonts w:ascii="Calibri" w:eastAsia="Calibri" w:hAnsi="Calibri" w:cs="Calibri"/>
          <w:sz w:val="22"/>
        </w:rPr>
        <w:t xml:space="preserve"> </w:t>
      </w:r>
    </w:p>
    <w:p w:rsidR="00A93C88" w:rsidRDefault="00E41E2C">
      <w:pPr>
        <w:spacing w:after="53"/>
        <w:ind w:left="5"/>
      </w:pPr>
      <w:r>
        <w:t xml:space="preserve">The Board’s </w:t>
      </w:r>
      <w:r>
        <w:rPr>
          <w:i/>
        </w:rPr>
        <w:t>Licensure Regulations for School Personnel</w:t>
      </w:r>
      <w:r>
        <w:t xml:space="preserve"> set out licensure requirements for </w:t>
      </w:r>
    </w:p>
    <w:p w:rsidR="00A93C88" w:rsidRDefault="00E41E2C">
      <w:pPr>
        <w:spacing w:after="388"/>
        <w:ind w:left="5"/>
      </w:pPr>
      <w:r>
        <w:t xml:space="preserve">Virginia’s public school personnel. Specifically, Chapter 23 Section 360 provides the endorsement requirements for foreign language preK-12 – American Sign Language. The regulations are not </w:t>
      </w:r>
      <w:proofErr w:type="gramStart"/>
      <w:r>
        <w:t>current</w:t>
      </w:r>
      <w:proofErr w:type="gramEnd"/>
      <w:r>
        <w:t xml:space="preserve"> as the national certifications prescribed have been changed by the issuing organization. The American Sign Language Teachers' Association has changed the names and structure of their certifications, as has Registry of Interpreters for Deaf. In addition, </w:t>
      </w:r>
      <w:r>
        <w:rPr>
          <w:rFonts w:ascii="Calibri" w:eastAsia="Calibri" w:hAnsi="Calibri" w:cs="Calibri"/>
          <w:sz w:val="22"/>
        </w:rPr>
        <w:t xml:space="preserve"> </w:t>
      </w:r>
    </w:p>
    <w:p w:rsidR="00A93C88" w:rsidRDefault="00E41E2C">
      <w:pPr>
        <w:spacing w:after="15" w:line="259" w:lineRule="auto"/>
        <w:ind w:left="67"/>
        <w:jc w:val="center"/>
      </w:pPr>
      <w:r>
        <w:t xml:space="preserve">1 </w:t>
      </w:r>
      <w:r>
        <w:rPr>
          <w:rFonts w:ascii="Calibri" w:eastAsia="Calibri" w:hAnsi="Calibri" w:cs="Calibri"/>
          <w:sz w:val="22"/>
        </w:rPr>
        <w:t xml:space="preserve"> </w:t>
      </w:r>
    </w:p>
    <w:p w:rsidR="00A93C88" w:rsidRDefault="00E41E2C">
      <w:pPr>
        <w:ind w:left="5"/>
      </w:pPr>
      <w:r>
        <w:lastRenderedPageBreak/>
        <w:t xml:space="preserve">Registry of Interpreters for Deaf have also incorporated the National Association for the Deaf certifications because the National Association for the Deaf does not issue certifications anymore. These updates within the national organizations require the </w:t>
      </w:r>
      <w:r>
        <w:rPr>
          <w:i/>
        </w:rPr>
        <w:t xml:space="preserve">Licensure Regulations for School Personnel </w:t>
      </w:r>
      <w:hyperlink r:id="rId22">
        <w:r>
          <w:t>(</w:t>
        </w:r>
      </w:hyperlink>
      <w:hyperlink r:id="rId23">
        <w:r>
          <w:rPr>
            <w:color w:val="0563C1"/>
            <w:u w:val="single" w:color="0563C1"/>
          </w:rPr>
          <w:t>8VAC20</w:t>
        </w:r>
      </w:hyperlink>
      <w:hyperlink r:id="rId24">
        <w:r>
          <w:rPr>
            <w:color w:val="0563C1"/>
            <w:u w:val="single" w:color="0563C1"/>
          </w:rPr>
          <w:t>-</w:t>
        </w:r>
      </w:hyperlink>
      <w:hyperlink r:id="rId25">
        <w:r>
          <w:rPr>
            <w:color w:val="0563C1"/>
            <w:u w:val="single" w:color="0563C1"/>
          </w:rPr>
          <w:t>23</w:t>
        </w:r>
      </w:hyperlink>
      <w:hyperlink r:id="rId26">
        <w:r>
          <w:rPr>
            <w:color w:val="0563C1"/>
            <w:u w:val="single" w:color="0563C1"/>
          </w:rPr>
          <w:t>-</w:t>
        </w:r>
      </w:hyperlink>
      <w:hyperlink r:id="rId27">
        <w:r>
          <w:rPr>
            <w:color w:val="0563C1"/>
            <w:u w:val="single" w:color="0563C1"/>
          </w:rPr>
          <w:t>36</w:t>
        </w:r>
      </w:hyperlink>
      <w:hyperlink r:id="rId28">
        <w:r>
          <w:rPr>
            <w:color w:val="0563C1"/>
            <w:u w:val="single" w:color="0563C1"/>
          </w:rPr>
          <w:t>0</w:t>
        </w:r>
      </w:hyperlink>
      <w:hyperlink r:id="rId29">
        <w:r>
          <w:t xml:space="preserve">) </w:t>
        </w:r>
      </w:hyperlink>
      <w:r>
        <w:t xml:space="preserve">to be amended as follows: </w:t>
      </w:r>
      <w:r>
        <w:rPr>
          <w:rFonts w:ascii="Calibri" w:eastAsia="Calibri" w:hAnsi="Calibri" w:cs="Calibri"/>
          <w:sz w:val="22"/>
        </w:rPr>
        <w:t xml:space="preserve"> </w:t>
      </w:r>
    </w:p>
    <w:p w:rsidR="00A93C88" w:rsidRDefault="00E41E2C">
      <w:pPr>
        <w:spacing w:after="0" w:line="259" w:lineRule="auto"/>
        <w:ind w:left="14" w:right="9208" w:firstLine="0"/>
      </w:pP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p>
    <w:tbl>
      <w:tblPr>
        <w:tblStyle w:val="TableGrid"/>
        <w:tblW w:w="9438" w:type="dxa"/>
        <w:tblInd w:w="-34" w:type="dxa"/>
        <w:tblCellMar>
          <w:top w:w="10" w:type="dxa"/>
          <w:left w:w="34" w:type="dxa"/>
        </w:tblCellMar>
        <w:tblLook w:val="04A0" w:firstRow="1" w:lastRow="0" w:firstColumn="1" w:lastColumn="0" w:noHBand="0" w:noVBand="1"/>
      </w:tblPr>
      <w:tblGrid>
        <w:gridCol w:w="9438"/>
      </w:tblGrid>
      <w:tr w:rsidR="00A93C88">
        <w:trPr>
          <w:trHeight w:val="7155"/>
        </w:trPr>
        <w:tc>
          <w:tcPr>
            <w:tcW w:w="9438" w:type="dxa"/>
            <w:tcBorders>
              <w:top w:val="single" w:sz="4" w:space="0" w:color="000000"/>
              <w:left w:val="single" w:sz="4" w:space="0" w:color="000000"/>
              <w:bottom w:val="single" w:sz="4" w:space="0" w:color="000000"/>
              <w:right w:val="single" w:sz="4" w:space="0" w:color="000000"/>
            </w:tcBorders>
          </w:tcPr>
          <w:p w:rsidR="00A93C88" w:rsidRDefault="00E41E2C">
            <w:pPr>
              <w:spacing w:after="0" w:line="278" w:lineRule="auto"/>
              <w:ind w:left="0" w:right="427" w:firstLine="0"/>
            </w:pPr>
            <w:r>
              <w:t xml:space="preserve">D. Endorsement requirements for foreign language preK-12 - American Sign Language. </w:t>
            </w:r>
            <w:r>
              <w:rPr>
                <w:rFonts w:ascii="Calibri" w:eastAsia="Calibri" w:hAnsi="Calibri" w:cs="Calibri"/>
                <w:sz w:val="22"/>
              </w:rPr>
              <w:t xml:space="preserve"> </w:t>
            </w:r>
            <w:r>
              <w:t xml:space="preserve">[…] </w:t>
            </w:r>
            <w:r>
              <w:rPr>
                <w:rFonts w:ascii="Calibri" w:eastAsia="Calibri" w:hAnsi="Calibri" w:cs="Calibri"/>
                <w:sz w:val="22"/>
              </w:rPr>
              <w:t xml:space="preserve"> </w:t>
            </w:r>
          </w:p>
          <w:p w:rsidR="00A93C88" w:rsidRDefault="00E41E2C">
            <w:pPr>
              <w:spacing w:after="17" w:line="265" w:lineRule="auto"/>
            </w:pPr>
            <w:r>
              <w:t xml:space="preserve">2. Native users or candidates who have learned American Sign Language without formal academic credit in a regionally accredited college or university, as explained in subdivision 1 of this subsection, shall complete the following requirements: </w:t>
            </w:r>
            <w:r>
              <w:rPr>
                <w:rFonts w:ascii="Calibri" w:eastAsia="Calibri" w:hAnsi="Calibri" w:cs="Calibri"/>
                <w:sz w:val="22"/>
              </w:rPr>
              <w:t xml:space="preserve"> </w:t>
            </w:r>
          </w:p>
          <w:p w:rsidR="00A93C88" w:rsidRDefault="00E41E2C">
            <w:pPr>
              <w:spacing w:after="9" w:line="259" w:lineRule="auto"/>
              <w:ind w:left="0" w:firstLine="0"/>
              <w:jc w:val="both"/>
            </w:pPr>
            <w:r>
              <w:t xml:space="preserve">a. Competency in American Sign Language demonstrated by written documentation of one of the </w:t>
            </w:r>
          </w:p>
          <w:p w:rsidR="00A93C88" w:rsidRDefault="00E41E2C">
            <w:pPr>
              <w:spacing w:after="25" w:line="259" w:lineRule="auto"/>
              <w:ind w:firstLine="0"/>
            </w:pPr>
            <w:r>
              <w:t xml:space="preserve">following: </w:t>
            </w:r>
            <w:r>
              <w:rPr>
                <w:rFonts w:ascii="Calibri" w:eastAsia="Calibri" w:hAnsi="Calibri" w:cs="Calibri"/>
                <w:sz w:val="22"/>
              </w:rPr>
              <w:t xml:space="preserve"> </w:t>
            </w:r>
          </w:p>
          <w:p w:rsidR="00A93C88" w:rsidRDefault="00E41E2C">
            <w:pPr>
              <w:numPr>
                <w:ilvl w:val="0"/>
                <w:numId w:val="1"/>
              </w:numPr>
              <w:spacing w:after="22" w:line="259" w:lineRule="auto"/>
              <w:ind w:hanging="338"/>
            </w:pPr>
            <w:r>
              <w:t xml:space="preserve">Hold a current, valid </w:t>
            </w:r>
            <w:r>
              <w:rPr>
                <w:strike/>
              </w:rPr>
              <w:t>Provisional, Qualified, or Professional</w:t>
            </w:r>
            <w:r>
              <w:t xml:space="preserve"> certification </w:t>
            </w:r>
            <w:r>
              <w:rPr>
                <w:i/>
              </w:rPr>
              <w:t>issued</w:t>
            </w:r>
            <w:r>
              <w:t xml:space="preserve"> by the </w:t>
            </w:r>
            <w:r>
              <w:rPr>
                <w:rFonts w:ascii="Calibri" w:eastAsia="Calibri" w:hAnsi="Calibri" w:cs="Calibri"/>
                <w:sz w:val="22"/>
              </w:rPr>
              <w:t xml:space="preserve"> </w:t>
            </w:r>
          </w:p>
          <w:p w:rsidR="00A93C88" w:rsidRDefault="00E41E2C">
            <w:pPr>
              <w:spacing w:after="25" w:line="259" w:lineRule="auto"/>
              <w:ind w:left="0" w:firstLine="0"/>
            </w:pPr>
            <w:r>
              <w:t xml:space="preserve">American Sign Language Teachers' Association; or </w:t>
            </w:r>
            <w:r>
              <w:rPr>
                <w:rFonts w:ascii="Calibri" w:eastAsia="Calibri" w:hAnsi="Calibri" w:cs="Calibri"/>
                <w:sz w:val="22"/>
              </w:rPr>
              <w:t xml:space="preserve"> </w:t>
            </w:r>
          </w:p>
          <w:p w:rsidR="00A93C88" w:rsidRDefault="00E41E2C">
            <w:pPr>
              <w:numPr>
                <w:ilvl w:val="0"/>
                <w:numId w:val="1"/>
              </w:numPr>
              <w:spacing w:after="0" w:line="265" w:lineRule="auto"/>
              <w:ind w:hanging="338"/>
            </w:pPr>
            <w:r>
              <w:t>Hold one of the following current, valid national certificates in interpreting:</w:t>
            </w:r>
            <w:r>
              <w:rPr>
                <w:i/>
              </w:rPr>
              <w:t xml:space="preserve"> a current, valid certification issued by the</w:t>
            </w:r>
            <w:r>
              <w:t xml:space="preserve"> </w:t>
            </w:r>
            <w:r>
              <w:rPr>
                <w:i/>
              </w:rPr>
              <w:t>Registry of Interpreters for Deaf</w:t>
            </w:r>
            <w:r>
              <w:t xml:space="preserve"> </w:t>
            </w:r>
            <w:r>
              <w:rPr>
                <w:i/>
              </w:rPr>
              <w:t>or certifications that were previously issued by Registry of Interpreters for Deaf for which exams are no longer available; or</w:t>
            </w:r>
            <w:r>
              <w:t xml:space="preserve"> </w:t>
            </w:r>
            <w:r>
              <w:rPr>
                <w:strike/>
              </w:rPr>
              <w:t>(a) Registry of Interpreters for Deaf certification in at least one of the following:</w:t>
            </w:r>
            <w:r>
              <w:t xml:space="preserve"> </w:t>
            </w:r>
          </w:p>
          <w:p w:rsidR="00A93C88" w:rsidRDefault="00E41E2C">
            <w:pPr>
              <w:spacing w:after="21" w:line="265" w:lineRule="auto"/>
              <w:ind w:left="338" w:firstLine="0"/>
            </w:pPr>
            <w:r>
              <w:rPr>
                <w:strike/>
              </w:rPr>
              <w:t>Certificate of</w:t>
            </w:r>
            <w:r>
              <w:t xml:space="preserve"> </w:t>
            </w:r>
            <w:r>
              <w:rPr>
                <w:strike/>
              </w:rPr>
              <w:t>Interpretation (CI), Certificate of Deaf Interpretation (CDI), Reverse Skills</w:t>
            </w:r>
            <w:r>
              <w:t xml:space="preserve"> </w:t>
            </w:r>
            <w:r>
              <w:rPr>
                <w:strike/>
              </w:rPr>
              <w:t>Certification (RSC),</w:t>
            </w:r>
            <w:r>
              <w:t xml:space="preserve"> </w:t>
            </w:r>
            <w:r>
              <w:rPr>
                <w:strike/>
              </w:rPr>
              <w:t>or Comprehensive Skills Certificate (CSC);</w:t>
            </w:r>
            <w:r>
              <w:t xml:space="preserve"> </w:t>
            </w:r>
            <w:r>
              <w:rPr>
                <w:rFonts w:ascii="Calibri" w:eastAsia="Calibri" w:hAnsi="Calibri" w:cs="Calibri"/>
                <w:sz w:val="22"/>
              </w:rPr>
              <w:t xml:space="preserve"> </w:t>
            </w:r>
          </w:p>
          <w:p w:rsidR="00A93C88" w:rsidRDefault="00E41E2C">
            <w:pPr>
              <w:numPr>
                <w:ilvl w:val="0"/>
                <w:numId w:val="2"/>
              </w:numPr>
              <w:spacing w:after="25" w:line="259" w:lineRule="auto"/>
              <w:ind w:hanging="338"/>
            </w:pPr>
            <w:r>
              <w:rPr>
                <w:strike/>
              </w:rPr>
              <w:t>A current, valid National Association for the Deaf Level IV certification or higher; or</w:t>
            </w:r>
            <w:r>
              <w:t xml:space="preserve"> </w:t>
            </w:r>
            <w:r>
              <w:rPr>
                <w:rFonts w:ascii="Calibri" w:eastAsia="Calibri" w:hAnsi="Calibri" w:cs="Calibri"/>
                <w:sz w:val="22"/>
              </w:rPr>
              <w:t xml:space="preserve"> </w:t>
            </w:r>
          </w:p>
          <w:p w:rsidR="00A93C88" w:rsidRDefault="00E41E2C">
            <w:pPr>
              <w:numPr>
                <w:ilvl w:val="0"/>
                <w:numId w:val="2"/>
              </w:numPr>
              <w:spacing w:after="24" w:line="259" w:lineRule="auto"/>
              <w:ind w:hanging="338"/>
            </w:pPr>
            <w:r>
              <w:rPr>
                <w:strike/>
              </w:rPr>
              <w:t>A National Interpreter Certification (NIC); or</w:t>
            </w:r>
            <w:r>
              <w:t xml:space="preserve"> </w:t>
            </w:r>
            <w:r>
              <w:rPr>
                <w:rFonts w:ascii="Calibri" w:eastAsia="Calibri" w:hAnsi="Calibri" w:cs="Calibri"/>
                <w:sz w:val="22"/>
              </w:rPr>
              <w:t xml:space="preserve"> </w:t>
            </w:r>
          </w:p>
          <w:p w:rsidR="00A93C88" w:rsidRDefault="00E41E2C">
            <w:pPr>
              <w:spacing w:after="14" w:line="265" w:lineRule="auto"/>
            </w:pPr>
            <w:r>
              <w:t xml:space="preserve">(3) Complete requirements by achieving a qualifying score on an assessment demonstrating proficiency in American Sign Language prescribed by the Virginia Board of Education. </w:t>
            </w:r>
            <w:r>
              <w:rPr>
                <w:rFonts w:ascii="Calibri" w:eastAsia="Calibri" w:hAnsi="Calibri" w:cs="Calibri"/>
                <w:sz w:val="22"/>
              </w:rPr>
              <w:t xml:space="preserve"> </w:t>
            </w:r>
          </w:p>
          <w:p w:rsidR="00A93C88" w:rsidRDefault="00E41E2C">
            <w:pPr>
              <w:spacing w:after="0" w:line="259" w:lineRule="auto"/>
            </w:pPr>
            <w:r>
              <w:t xml:space="preserve">b. A minimum of 3 semester hours of methods of teaching foreign languages at the elementary and secondary levels from a regionally accredited college or university in the United States; and c. A minimum of 6 semester hours in coursework, including grammar and syntax of American Sign Language. </w:t>
            </w:r>
            <w:r>
              <w:rPr>
                <w:rFonts w:ascii="Calibri" w:eastAsia="Calibri" w:hAnsi="Calibri" w:cs="Calibri"/>
                <w:sz w:val="22"/>
              </w:rPr>
              <w:t xml:space="preserve"> </w:t>
            </w:r>
          </w:p>
        </w:tc>
      </w:tr>
    </w:tbl>
    <w:p w:rsidR="00A93C88" w:rsidRDefault="00E41E2C">
      <w:pPr>
        <w:spacing w:line="259" w:lineRule="auto"/>
        <w:ind w:left="14" w:firstLine="0"/>
      </w:pPr>
      <w:r>
        <w:rPr>
          <w:b/>
        </w:rPr>
        <w:t xml:space="preserve"> </w:t>
      </w:r>
      <w:r>
        <w:rPr>
          <w:rFonts w:ascii="Calibri" w:eastAsia="Calibri" w:hAnsi="Calibri" w:cs="Calibri"/>
          <w:sz w:val="22"/>
        </w:rPr>
        <w:t xml:space="preserve"> </w:t>
      </w:r>
    </w:p>
    <w:p w:rsidR="00A93C88" w:rsidRDefault="00E41E2C">
      <w:pPr>
        <w:spacing w:after="14" w:line="259" w:lineRule="auto"/>
        <w:ind w:left="-5"/>
      </w:pPr>
      <w:r>
        <w:rPr>
          <w:b/>
          <w:u w:val="single" w:color="000000"/>
        </w:rPr>
        <w:t>Action</w:t>
      </w:r>
      <w:r w:rsidRPr="00220E5F">
        <w:rPr>
          <w:b/>
          <w:u w:val="single"/>
        </w:rPr>
        <w:t>:</w:t>
      </w:r>
      <w:r>
        <w:rPr>
          <w:b/>
        </w:rPr>
        <w:t xml:space="preserve">  </w:t>
      </w:r>
      <w:r>
        <w:rPr>
          <w:rFonts w:ascii="Calibri" w:eastAsia="Calibri" w:hAnsi="Calibri" w:cs="Calibri"/>
          <w:sz w:val="22"/>
        </w:rPr>
        <w:t xml:space="preserve"> </w:t>
      </w:r>
    </w:p>
    <w:p w:rsidR="00A93C88" w:rsidRDefault="00E41E2C">
      <w:pPr>
        <w:spacing w:after="19" w:line="259" w:lineRule="auto"/>
        <w:ind w:left="14" w:firstLine="0"/>
      </w:pPr>
      <w:r>
        <w:rPr>
          <w:b/>
        </w:rPr>
        <w:t xml:space="preserve"> </w:t>
      </w:r>
      <w:r>
        <w:rPr>
          <w:rFonts w:ascii="Calibri" w:eastAsia="Calibri" w:hAnsi="Calibri" w:cs="Calibri"/>
          <w:sz w:val="22"/>
        </w:rPr>
        <w:t xml:space="preserve"> </w:t>
      </w:r>
    </w:p>
    <w:p w:rsidR="00A93C88" w:rsidRDefault="00E41E2C">
      <w:pPr>
        <w:spacing w:after="1984"/>
        <w:ind w:left="5"/>
      </w:pPr>
      <w:r>
        <w:t xml:space="preserve">The Advisory Board on Teacher Education and Licensure is to make a recommendation to the Board of Education to approve amendments to the </w:t>
      </w:r>
      <w:r>
        <w:rPr>
          <w:i/>
        </w:rPr>
        <w:t>Licensure Regulations for School Personnel</w:t>
      </w:r>
      <w:r>
        <w:t xml:space="preserve"> to comport with American Sign Language national certifications.</w:t>
      </w:r>
      <w:r>
        <w:rPr>
          <w:b/>
        </w:rPr>
        <w:t xml:space="preserve"> </w:t>
      </w:r>
      <w:r>
        <w:rPr>
          <w:rFonts w:ascii="Calibri" w:eastAsia="Calibri" w:hAnsi="Calibri" w:cs="Calibri"/>
          <w:sz w:val="22"/>
        </w:rPr>
        <w:t xml:space="preserve"> </w:t>
      </w:r>
    </w:p>
    <w:p w:rsidR="00A93C88" w:rsidRDefault="00E41E2C">
      <w:pPr>
        <w:spacing w:after="15" w:line="259" w:lineRule="auto"/>
        <w:ind w:left="67"/>
        <w:jc w:val="center"/>
      </w:pPr>
      <w:r>
        <w:t xml:space="preserve">2 </w:t>
      </w:r>
      <w:r>
        <w:rPr>
          <w:rFonts w:ascii="Calibri" w:eastAsia="Calibri" w:hAnsi="Calibri" w:cs="Calibri"/>
          <w:sz w:val="22"/>
        </w:rPr>
        <w:t xml:space="preserve"> </w:t>
      </w:r>
    </w:p>
    <w:p w:rsidR="00A93C88" w:rsidRDefault="00E41E2C">
      <w:pPr>
        <w:spacing w:after="0" w:line="259" w:lineRule="auto"/>
        <w:ind w:left="14" w:firstLine="0"/>
      </w:pPr>
      <w:r>
        <w:t xml:space="preserve"> </w:t>
      </w:r>
      <w:r>
        <w:rPr>
          <w:rFonts w:ascii="Calibri" w:eastAsia="Calibri" w:hAnsi="Calibri" w:cs="Calibri"/>
          <w:sz w:val="22"/>
        </w:rPr>
        <w:t xml:space="preserve"> </w:t>
      </w:r>
    </w:p>
    <w:sectPr w:rsidR="00A93C88">
      <w:pgSz w:w="12240" w:h="15840"/>
      <w:pgMar w:top="1498" w:right="1481" w:bottom="84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29B2"/>
    <w:multiLevelType w:val="hybridMultilevel"/>
    <w:tmpl w:val="785E4A2E"/>
    <w:lvl w:ilvl="0" w:tplc="53600B2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E73B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E02C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60DB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0307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CA712">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8388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0976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4B48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F16046"/>
    <w:multiLevelType w:val="hybridMultilevel"/>
    <w:tmpl w:val="397CB8C4"/>
    <w:lvl w:ilvl="0" w:tplc="DA987B5C">
      <w:start w:val="2"/>
      <w:numFmt w:val="lowerLetter"/>
      <w:lvlText w:val="(%1)"/>
      <w:lvlJc w:val="left"/>
      <w:pPr>
        <w:ind w:left="338"/>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0AE08054">
      <w:start w:val="1"/>
      <w:numFmt w:val="lowerLetter"/>
      <w:lvlText w:val="%2"/>
      <w:lvlJc w:val="left"/>
      <w:pPr>
        <w:ind w:left="111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A1A0E9C4">
      <w:start w:val="1"/>
      <w:numFmt w:val="lowerRoman"/>
      <w:lvlText w:val="%3"/>
      <w:lvlJc w:val="left"/>
      <w:pPr>
        <w:ind w:left="183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A93A8614">
      <w:start w:val="1"/>
      <w:numFmt w:val="decimal"/>
      <w:lvlText w:val="%4"/>
      <w:lvlJc w:val="left"/>
      <w:pPr>
        <w:ind w:left="255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39FA8EF8">
      <w:start w:val="1"/>
      <w:numFmt w:val="lowerLetter"/>
      <w:lvlText w:val="%5"/>
      <w:lvlJc w:val="left"/>
      <w:pPr>
        <w:ind w:left="327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36AA8D0A">
      <w:start w:val="1"/>
      <w:numFmt w:val="lowerRoman"/>
      <w:lvlText w:val="%6"/>
      <w:lvlJc w:val="left"/>
      <w:pPr>
        <w:ind w:left="399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20D876A8">
      <w:start w:val="1"/>
      <w:numFmt w:val="decimal"/>
      <w:lvlText w:val="%7"/>
      <w:lvlJc w:val="left"/>
      <w:pPr>
        <w:ind w:left="471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7826EDAA">
      <w:start w:val="1"/>
      <w:numFmt w:val="lowerLetter"/>
      <w:lvlText w:val="%8"/>
      <w:lvlJc w:val="left"/>
      <w:pPr>
        <w:ind w:left="543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40845DBA">
      <w:start w:val="1"/>
      <w:numFmt w:val="lowerRoman"/>
      <w:lvlText w:val="%9"/>
      <w:lvlJc w:val="left"/>
      <w:pPr>
        <w:ind w:left="6154"/>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88"/>
    <w:rsid w:val="00220E5F"/>
    <w:rsid w:val="00A93C88"/>
    <w:rsid w:val="00E4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7861"/>
  <w15:docId w15:val="{07326355-469E-4344-BB4D-F9B28D85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line="266"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s://law.lis.virginia.gov/vacode/title2.2/chapter40/section2.2-4012.1/" TargetMode="External"/><Relationship Id="rId18" Type="http://schemas.openxmlformats.org/officeDocument/2006/relationships/hyperlink" Target="https://law.lis.virginia.gov/vacode/title22.1/chapter15/section22.1-298.1/" TargetMode="External"/><Relationship Id="rId26" Type="http://schemas.openxmlformats.org/officeDocument/2006/relationships/hyperlink" Target="https://law.lis.virginia.gov/admincode/title8/agency20/chapter23/section360/" TargetMode="External"/><Relationship Id="rId3" Type="http://schemas.openxmlformats.org/officeDocument/2006/relationships/settings" Target="settings.xml"/><Relationship Id="rId21" Type="http://schemas.openxmlformats.org/officeDocument/2006/relationships/hyperlink" Target="https://law.lis.virginia.gov/vacode/title22.1/chapter15/section22.1-298.1/" TargetMode="External"/><Relationship Id="rId7" Type="http://schemas.openxmlformats.org/officeDocument/2006/relationships/hyperlink" Target="https://law.lis.virginia.gov/admincode/title8/agency20/chapter23/" TargetMode="External"/><Relationship Id="rId12" Type="http://schemas.openxmlformats.org/officeDocument/2006/relationships/hyperlink" Target="https://law.lis.virginia.gov/vacode/title2.2/chapter40/section2.2-4012.1/" TargetMode="External"/><Relationship Id="rId17" Type="http://schemas.openxmlformats.org/officeDocument/2006/relationships/hyperlink" Target="https://law.lis.virginia.gov/vacode/title22.1/chapter15/section22.1-298.1/" TargetMode="External"/><Relationship Id="rId25" Type="http://schemas.openxmlformats.org/officeDocument/2006/relationships/hyperlink" Target="https://law.lis.virginia.gov/admincode/title8/agency20/chapter23/section360/" TargetMode="External"/><Relationship Id="rId2" Type="http://schemas.openxmlformats.org/officeDocument/2006/relationships/styles" Target="styles.xml"/><Relationship Id="rId16" Type="http://schemas.openxmlformats.org/officeDocument/2006/relationships/hyperlink" Target="https://law.lis.virginia.gov/vacode/title22.1/chapter15/section22.1-298.1/" TargetMode="External"/><Relationship Id="rId20" Type="http://schemas.openxmlformats.org/officeDocument/2006/relationships/hyperlink" Target="https://law.lis.virginia.gov/vacode/title22.1/chapter15/section22.1-298.1/" TargetMode="External"/><Relationship Id="rId29" Type="http://schemas.openxmlformats.org/officeDocument/2006/relationships/hyperlink" Target="https://law.lis.virginia.gov/admincode/title8/agency20/chapter23/section360/" TargetMode="External"/><Relationship Id="rId1" Type="http://schemas.openxmlformats.org/officeDocument/2006/relationships/numbering" Target="numbering.xml"/><Relationship Id="rId6" Type="http://schemas.openxmlformats.org/officeDocument/2006/relationships/hyperlink" Target="https://law.lis.virginia.gov/admincode/title8/agency20/chapter23/" TargetMode="External"/><Relationship Id="rId11" Type="http://schemas.openxmlformats.org/officeDocument/2006/relationships/hyperlink" Target="https://law.lis.virginia.gov/admincode/title8/agency20/chapter23/" TargetMode="External"/><Relationship Id="rId24" Type="http://schemas.openxmlformats.org/officeDocument/2006/relationships/hyperlink" Target="https://law.lis.virginia.gov/admincode/title8/agency20/chapter23/section360/" TargetMode="External"/><Relationship Id="rId5" Type="http://schemas.openxmlformats.org/officeDocument/2006/relationships/image" Target="media/image1.jpg"/><Relationship Id="rId15" Type="http://schemas.openxmlformats.org/officeDocument/2006/relationships/hyperlink" Target="https://law.lis.virginia.gov/vacode/title2.2/chapter40/section2.2-4012.1/" TargetMode="External"/><Relationship Id="rId23" Type="http://schemas.openxmlformats.org/officeDocument/2006/relationships/hyperlink" Target="https://law.lis.virginia.gov/admincode/title8/agency20/chapter23/section360/" TargetMode="External"/><Relationship Id="rId28" Type="http://schemas.openxmlformats.org/officeDocument/2006/relationships/hyperlink" Target="https://law.lis.virginia.gov/admincode/title8/agency20/chapter23/section360/" TargetMode="External"/><Relationship Id="rId10" Type="http://schemas.openxmlformats.org/officeDocument/2006/relationships/hyperlink" Target="https://law.lis.virginia.gov/admincode/title8/agency20/chapter23/" TargetMode="External"/><Relationship Id="rId19" Type="http://schemas.openxmlformats.org/officeDocument/2006/relationships/hyperlink" Target="https://law.lis.virginia.gov/vacode/title22.1/chapter15/section22.1-29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lis.virginia.gov/admincode/title8/agency20/chapter23/" TargetMode="External"/><Relationship Id="rId14" Type="http://schemas.openxmlformats.org/officeDocument/2006/relationships/hyperlink" Target="https://law.lis.virginia.gov/vacode/title2.2/chapter40/section2.2-4012.1/" TargetMode="External"/><Relationship Id="rId22" Type="http://schemas.openxmlformats.org/officeDocument/2006/relationships/hyperlink" Target="https://law.lis.virginia.gov/admincode/title8/agency20/chapter23/section360/" TargetMode="External"/><Relationship Id="rId27" Type="http://schemas.openxmlformats.org/officeDocument/2006/relationships/hyperlink" Target="https://law.lis.virginia.gov/admincode/title8/agency20/chapter23/section3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3</cp:revision>
  <dcterms:created xsi:type="dcterms:W3CDTF">2022-02-16T14:08:00Z</dcterms:created>
  <dcterms:modified xsi:type="dcterms:W3CDTF">2022-02-16T14:59:00Z</dcterms:modified>
</cp:coreProperties>
</file>