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1FE4" w:rsidR="00651FE4" w:rsidP="7640A87F" w:rsidRDefault="00651FE4" w14:paraId="2AF36620" w14:textId="77777777" w14:noSpellErr="1">
      <w:pPr>
        <w:spacing w:after="0" w:line="240" w:lineRule="auto"/>
        <w:jc w:val="center"/>
        <w:outlineLvl w:val="0"/>
        <w:rPr>
          <w:rFonts w:ascii="Times New Roman" w:hAnsi="Times New Roman" w:eastAsia="Times New Roman" w:cs="Times New Roman"/>
          <w:b w:val="1"/>
          <w:bCs w:val="1"/>
          <w:caps w:val="1"/>
          <w:color w:val="003B71"/>
          <w:sz w:val="44"/>
          <w:szCs w:val="44"/>
        </w:rPr>
      </w:pPr>
      <w:r w:rsidRPr="7640A87F" w:rsidR="00651FE4">
        <w:rPr>
          <w:rFonts w:ascii="Times New Roman" w:hAnsi="Times New Roman" w:eastAsia="Times New Roman" w:cs="Times New Roman"/>
          <w:b w:val="1"/>
          <w:bCs w:val="1"/>
          <w:caps w:val="1"/>
          <w:color w:val="003B71"/>
          <w:sz w:val="44"/>
          <w:szCs w:val="44"/>
        </w:rPr>
        <w:t>COMPETITIVE APPLICATION CRITERIA</w:t>
      </w:r>
    </w:p>
    <w:p w:rsidRPr="00651FE4" w:rsidR="00651FE4" w:rsidP="00651FE4" w:rsidRDefault="00651FE4" w14:paraId="56A19F4F"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Proposed public school construction or renovation projects submitted by school divisions on the program application are evaluated for funding based on the competitive scoring criteria and their associated point values listed below. All information submitted by school divisions on the program application is subject to additional review, clarification, or verification by the Department. A project qualifies for funding based on the project’s ranked project score, with a minimum qualifying score of 65 points required to receive a funding award, contingent on available funding to award a grant for the project.</w:t>
      </w:r>
    </w:p>
    <w:p w:rsidRPr="00651FE4" w:rsidR="00651FE4" w:rsidP="00651FE4" w:rsidRDefault="00651FE4" w14:paraId="116970B2" w14:textId="77777777">
      <w:pPr>
        <w:spacing w:after="0" w:line="240" w:lineRule="auto"/>
        <w:rPr>
          <w:rFonts w:ascii="Times New Roman" w:hAnsi="Times New Roman" w:eastAsia="Times New Roman" w:cs="Times New Roman"/>
          <w:sz w:val="24"/>
          <w:szCs w:val="24"/>
        </w:rPr>
      </w:pPr>
    </w:p>
    <w:p w:rsidRPr="00651FE4" w:rsidR="00651FE4" w:rsidP="00651FE4" w:rsidRDefault="00651FE4" w14:paraId="15150BB9"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Proposed public school construction or renovation projects are evaluated and scored according to the eleven scoring criteria and their associated point values listed below to determine the eligible school projects to be awarded grants contingent on meeting the minimum qualifying criteria score of 65 and available grant funding </w:t>
      </w:r>
      <w:r w:rsidRPr="00651FE4">
        <w:rPr>
          <w:rFonts w:ascii="Times New Roman" w:hAnsi="Times New Roman" w:eastAsia="Times New Roman" w:cs="Times New Roman"/>
          <w:b/>
          <w:sz w:val="24"/>
          <w:szCs w:val="24"/>
        </w:rPr>
        <w:t>(maximum scoring criteria points = 100; a minimum qualifying score of 65 points is required for a project to qualify for further consideration for a grant award)</w:t>
      </w:r>
      <w:r w:rsidRPr="00651FE4">
        <w:rPr>
          <w:rFonts w:ascii="Times New Roman" w:hAnsi="Times New Roman" w:eastAsia="Times New Roman" w:cs="Times New Roman"/>
          <w:sz w:val="24"/>
          <w:szCs w:val="24"/>
        </w:rPr>
        <w:t>:</w:t>
      </w:r>
    </w:p>
    <w:p w:rsidRPr="00651FE4" w:rsidR="00651FE4" w:rsidP="00651FE4" w:rsidRDefault="00651FE4" w14:paraId="636F6E61" w14:textId="77777777">
      <w:pPr>
        <w:spacing w:after="0" w:line="240" w:lineRule="auto"/>
        <w:rPr>
          <w:rFonts w:ascii="Times New Roman" w:hAnsi="Times New Roman" w:eastAsia="Times New Roman" w:cs="Times New Roman"/>
          <w:sz w:val="24"/>
          <w:szCs w:val="24"/>
        </w:rPr>
      </w:pPr>
    </w:p>
    <w:p w:rsidRPr="00651FE4" w:rsidR="00651FE4" w:rsidP="00651FE4" w:rsidRDefault="00651FE4" w14:paraId="44EA6597" w14:textId="77777777">
      <w:pPr>
        <w:spacing w:after="0" w:line="240" w:lineRule="auto"/>
        <w:rPr>
          <w:rFonts w:ascii="Times New Roman" w:hAnsi="Times New Roman" w:eastAsia="Times New Roman" w:cs="Times New Roman"/>
          <w:b/>
          <w:sz w:val="24"/>
          <w:szCs w:val="24"/>
        </w:rPr>
      </w:pPr>
      <w:r w:rsidRPr="00651FE4">
        <w:rPr>
          <w:rFonts w:ascii="Times New Roman" w:hAnsi="Times New Roman" w:eastAsia="Times New Roman" w:cs="Times New Roman"/>
          <w:b/>
          <w:sz w:val="24"/>
          <w:szCs w:val="24"/>
        </w:rPr>
        <w:t>1.  Maximum of 10 points if the project is for construction of a new school building or for a building-wide renovation (which maximizes useful life compared to minor renovations):</w:t>
      </w:r>
    </w:p>
    <w:p w:rsidRPr="00651FE4" w:rsidR="00651FE4" w:rsidP="00651FE4" w:rsidRDefault="00651FE4" w14:paraId="6F483056" w14:textId="77777777">
      <w:pPr>
        <w:numPr>
          <w:ilvl w:val="0"/>
          <w:numId w:val="1"/>
        </w:numP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10 points for new school building construction or for a building-wide renovation </w:t>
      </w:r>
      <w:bookmarkStart w:name="_Hlk127738819" w:id="0"/>
      <w:r w:rsidRPr="00651FE4">
        <w:rPr>
          <w:rFonts w:ascii="Times New Roman" w:hAnsi="Times New Roman" w:eastAsia="Times New Roman" w:cs="Times New Roman"/>
          <w:sz w:val="24"/>
          <w:szCs w:val="24"/>
        </w:rPr>
        <w:t xml:space="preserve">(refer to </w:t>
      </w:r>
      <w:r w:rsidRPr="00651FE4">
        <w:rPr>
          <w:rFonts w:ascii="Times New Roman" w:hAnsi="Times New Roman" w:eastAsia="Times New Roman" w:cs="Times New Roman"/>
          <w:i/>
          <w:iCs/>
          <w:sz w:val="24"/>
          <w:szCs w:val="24"/>
        </w:rPr>
        <w:t>Project Type Definitions</w:t>
      </w:r>
      <w:r w:rsidRPr="00651FE4">
        <w:rPr>
          <w:rFonts w:ascii="Times New Roman" w:hAnsi="Times New Roman" w:eastAsia="Times New Roman" w:cs="Times New Roman"/>
          <w:sz w:val="24"/>
          <w:szCs w:val="24"/>
        </w:rPr>
        <w:t xml:space="preserve"> document)</w:t>
      </w:r>
      <w:bookmarkEnd w:id="0"/>
    </w:p>
    <w:p w:rsidRPr="00651FE4" w:rsidR="00651FE4" w:rsidP="00651FE4" w:rsidRDefault="00651FE4" w14:paraId="3F735551" w14:textId="77777777">
      <w:pPr>
        <w:numPr>
          <w:ilvl w:val="0"/>
          <w:numId w:val="1"/>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5 points for a school building addition (refer to </w:t>
      </w:r>
      <w:r w:rsidRPr="00651FE4">
        <w:rPr>
          <w:rFonts w:ascii="Times New Roman" w:hAnsi="Times New Roman" w:eastAsia="Times New Roman" w:cs="Times New Roman"/>
          <w:i/>
          <w:iCs/>
          <w:sz w:val="24"/>
          <w:szCs w:val="24"/>
        </w:rPr>
        <w:t>Project Type Definitions</w:t>
      </w:r>
      <w:r w:rsidRPr="00651FE4">
        <w:rPr>
          <w:rFonts w:ascii="Times New Roman" w:hAnsi="Times New Roman" w:eastAsia="Times New Roman" w:cs="Times New Roman"/>
          <w:sz w:val="24"/>
          <w:szCs w:val="24"/>
        </w:rPr>
        <w:t xml:space="preserve"> document)</w:t>
      </w:r>
    </w:p>
    <w:p w:rsidRPr="00651FE4" w:rsidR="00651FE4" w:rsidP="00651FE4" w:rsidRDefault="00651FE4" w14:paraId="469CEADA" w14:textId="77777777">
      <w:pPr>
        <w:numPr>
          <w:ilvl w:val="0"/>
          <w:numId w:val="1"/>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for a minor building renovation (refer to </w:t>
      </w:r>
      <w:r w:rsidRPr="00651FE4">
        <w:rPr>
          <w:rFonts w:ascii="Times New Roman" w:hAnsi="Times New Roman" w:eastAsia="Times New Roman" w:cs="Times New Roman"/>
          <w:i/>
          <w:iCs/>
          <w:sz w:val="24"/>
          <w:szCs w:val="24"/>
        </w:rPr>
        <w:t>Project Type Definitions</w:t>
      </w:r>
      <w:r w:rsidRPr="00651FE4">
        <w:rPr>
          <w:rFonts w:ascii="Times New Roman" w:hAnsi="Times New Roman" w:eastAsia="Times New Roman" w:cs="Times New Roman"/>
          <w:sz w:val="24"/>
          <w:szCs w:val="24"/>
        </w:rPr>
        <w:t xml:space="preserve"> document)</w:t>
      </w:r>
    </w:p>
    <w:p w:rsidRPr="00651FE4" w:rsidR="00651FE4" w:rsidP="00651FE4" w:rsidRDefault="00651FE4" w14:paraId="0CEA92A7" w14:textId="77777777">
      <w:pPr>
        <w:spacing w:after="0" w:line="240" w:lineRule="auto"/>
        <w:ind w:left="360" w:hanging="360"/>
        <w:rPr>
          <w:rFonts w:ascii="Times New Roman" w:hAnsi="Times New Roman" w:eastAsia="Times New Roman" w:cs="Times New Roman"/>
          <w:sz w:val="24"/>
          <w:szCs w:val="24"/>
        </w:rPr>
      </w:pPr>
    </w:p>
    <w:p w:rsidRPr="00651FE4" w:rsidR="00651FE4" w:rsidP="00651FE4" w:rsidRDefault="00651FE4" w14:paraId="1E08C1E6" w14:textId="77777777">
      <w:pPr>
        <w:spacing w:after="0" w:line="240" w:lineRule="auto"/>
        <w:rPr>
          <w:rFonts w:ascii="Times New Roman" w:hAnsi="Times New Roman" w:eastAsia="Times New Roman" w:cs="Times New Roman"/>
          <w:b/>
          <w:sz w:val="24"/>
          <w:szCs w:val="24"/>
        </w:rPr>
      </w:pPr>
      <w:r w:rsidRPr="00651FE4">
        <w:rPr>
          <w:rFonts w:ascii="Times New Roman" w:hAnsi="Times New Roman" w:eastAsia="Times New Roman" w:cs="Times New Roman"/>
          <w:b/>
          <w:sz w:val="24"/>
          <w:szCs w:val="24"/>
        </w:rPr>
        <w:t>2.  5 points if the building being renovated or a building specifically being replaced by new construction has not had any building access modernization improvements as required by the Americans with Disabilities Act (ADA) of 1990.</w:t>
      </w:r>
    </w:p>
    <w:p w:rsidRPr="00651FE4" w:rsidR="00651FE4" w:rsidP="00651FE4" w:rsidRDefault="00651FE4" w14:paraId="510354FE" w14:textId="77777777">
      <w:pPr>
        <w:spacing w:after="0" w:line="240" w:lineRule="auto"/>
        <w:rPr>
          <w:rFonts w:ascii="Times New Roman" w:hAnsi="Times New Roman" w:eastAsia="Times New Roman" w:cs="Times New Roman"/>
          <w:b/>
          <w:sz w:val="24"/>
          <w:szCs w:val="24"/>
        </w:rPr>
      </w:pPr>
    </w:p>
    <w:p w:rsidRPr="00651FE4" w:rsidR="00651FE4" w:rsidP="00651FE4" w:rsidRDefault="00651FE4" w14:paraId="07E07635" w14:textId="77777777">
      <w:pPr>
        <w:spacing w:after="0" w:line="240" w:lineRule="auto"/>
        <w:rPr>
          <w:rFonts w:ascii="Times New Roman" w:hAnsi="Times New Roman" w:eastAsia="Times New Roman" w:cs="Times New Roman"/>
          <w:b/>
          <w:sz w:val="24"/>
          <w:szCs w:val="24"/>
        </w:rPr>
      </w:pPr>
      <w:r w:rsidRPr="00651FE4">
        <w:rPr>
          <w:rFonts w:ascii="Times New Roman" w:hAnsi="Times New Roman" w:eastAsia="Times New Roman" w:cs="Times New Roman"/>
          <w:b/>
          <w:sz w:val="24"/>
          <w:szCs w:val="24"/>
        </w:rPr>
        <w:t xml:space="preserve">3.  Maximum of 15 points if </w:t>
      </w:r>
      <w:sdt>
        <w:sdtPr>
          <w:rPr>
            <w:rFonts w:ascii="Times New Roman" w:hAnsi="Times New Roman" w:eastAsia="Times New Roman" w:cs="Times New Roman"/>
            <w:sz w:val="24"/>
            <w:szCs w:val="24"/>
          </w:rPr>
          <w:tag w:val="goog_rdk_18"/>
          <w:id w:val="2008320391"/>
        </w:sdtPr>
        <w:sdtEndPr/>
        <w:sdtContent>
          <w:r w:rsidRPr="00651FE4">
            <w:rPr>
              <w:rFonts w:ascii="Times New Roman" w:hAnsi="Times New Roman" w:eastAsia="Times New Roman" w:cs="Times New Roman"/>
              <w:b/>
              <w:sz w:val="24"/>
              <w:szCs w:val="24"/>
            </w:rPr>
            <w:t xml:space="preserve">the </w:t>
          </w:r>
        </w:sdtContent>
      </w:sdt>
      <w:r w:rsidRPr="00651FE4">
        <w:rPr>
          <w:rFonts w:ascii="Times New Roman" w:hAnsi="Times New Roman" w:eastAsia="Times New Roman" w:cs="Times New Roman"/>
          <w:b/>
          <w:sz w:val="24"/>
          <w:szCs w:val="24"/>
        </w:rPr>
        <w:t>building being renovated, or a building specifically being replaced by new construction is in poor condition:</w:t>
      </w:r>
    </w:p>
    <w:p w:rsidRPr="00651FE4" w:rsidR="00651FE4" w:rsidP="00651FE4" w:rsidRDefault="00651FE4" w14:paraId="4923923D" w14:textId="77777777">
      <w:pPr>
        <w:numPr>
          <w:ilvl w:val="0"/>
          <w:numId w:val="3"/>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15 points if the building is in </w:t>
      </w:r>
      <w:r w:rsidRPr="00651FE4">
        <w:rPr>
          <w:rFonts w:ascii="Times New Roman" w:hAnsi="Times New Roman" w:eastAsia="Times New Roman" w:cs="Times New Roman"/>
          <w:sz w:val="24"/>
          <w:szCs w:val="24"/>
          <w:u w:val="single"/>
        </w:rPr>
        <w:t>Poor</w:t>
      </w:r>
      <w:r w:rsidRPr="00651FE4">
        <w:rPr>
          <w:rFonts w:ascii="Times New Roman" w:hAnsi="Times New Roman" w:eastAsia="Times New Roman" w:cs="Times New Roman"/>
          <w:sz w:val="24"/>
          <w:szCs w:val="24"/>
        </w:rPr>
        <w:t xml:space="preserve"> condition</w:t>
      </w:r>
      <w:bookmarkStart w:name="_Hlk125632587" w:id="1"/>
      <w:r w:rsidRPr="00651FE4">
        <w:rPr>
          <w:rFonts w:ascii="Times New Roman" w:hAnsi="Times New Roman" w:eastAsia="Times New Roman" w:cs="Times New Roman"/>
          <w:sz w:val="24"/>
          <w:szCs w:val="24"/>
        </w:rPr>
        <w:t xml:space="preserve"> (refer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bookmarkEnd w:id="1"/>
      <w:r w:rsidRPr="00651FE4">
        <w:rPr>
          <w:rFonts w:ascii="Times New Roman" w:hAnsi="Times New Roman" w:eastAsia="Times New Roman" w:cs="Times New Roman"/>
          <w:sz w:val="24"/>
          <w:szCs w:val="24"/>
        </w:rPr>
        <w:t>)</w:t>
      </w:r>
    </w:p>
    <w:p w:rsidRPr="00651FE4" w:rsidR="00651FE4" w:rsidP="00651FE4" w:rsidRDefault="00651FE4" w14:paraId="74AE16D5" w14:textId="77777777">
      <w:pPr>
        <w:numPr>
          <w:ilvl w:val="0"/>
          <w:numId w:val="3"/>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10 points if the building is in </w:t>
      </w:r>
      <w:r w:rsidRPr="00651FE4">
        <w:rPr>
          <w:rFonts w:ascii="Times New Roman" w:hAnsi="Times New Roman" w:eastAsia="Times New Roman" w:cs="Times New Roman"/>
          <w:sz w:val="24"/>
          <w:szCs w:val="24"/>
          <w:u w:val="single"/>
        </w:rPr>
        <w:t>Fair</w:t>
      </w:r>
      <w:r w:rsidRPr="00651FE4">
        <w:rPr>
          <w:rFonts w:ascii="Times New Roman" w:hAnsi="Times New Roman" w:eastAsia="Times New Roman" w:cs="Times New Roman"/>
          <w:sz w:val="24"/>
          <w:szCs w:val="24"/>
        </w:rPr>
        <w:t xml:space="preserve"> condition (refer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p>
    <w:p w:rsidRPr="00651FE4" w:rsidR="00651FE4" w:rsidP="00651FE4" w:rsidRDefault="00651FE4" w14:paraId="55AEE010" w14:textId="77777777">
      <w:pPr>
        <w:numPr>
          <w:ilvl w:val="0"/>
          <w:numId w:val="3"/>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if the building is in </w:t>
      </w:r>
      <w:proofErr w:type="gramStart"/>
      <w:r w:rsidRPr="00651FE4">
        <w:rPr>
          <w:rFonts w:ascii="Times New Roman" w:hAnsi="Times New Roman" w:eastAsia="Times New Roman" w:cs="Times New Roman"/>
          <w:sz w:val="24"/>
          <w:szCs w:val="24"/>
          <w:u w:val="single"/>
        </w:rPr>
        <w:t>Good</w:t>
      </w:r>
      <w:proofErr w:type="gramEnd"/>
      <w:r w:rsidRPr="00651FE4">
        <w:rPr>
          <w:rFonts w:ascii="Times New Roman" w:hAnsi="Times New Roman" w:eastAsia="Times New Roman" w:cs="Times New Roman"/>
          <w:sz w:val="24"/>
          <w:szCs w:val="24"/>
        </w:rPr>
        <w:t xml:space="preserve"> condition (refer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p>
    <w:p w:rsidRPr="00651FE4" w:rsidR="00651FE4" w:rsidP="00651FE4" w:rsidRDefault="00651FE4" w14:paraId="30D6BB3A" w14:textId="77777777">
      <w:pPr>
        <w:spacing w:after="0" w:line="240" w:lineRule="auto"/>
        <w:rPr>
          <w:rFonts w:ascii="Times New Roman" w:hAnsi="Times New Roman" w:eastAsia="Times New Roman" w:cs="Times New Roman"/>
          <w:sz w:val="24"/>
          <w:szCs w:val="24"/>
        </w:rPr>
      </w:pPr>
    </w:p>
    <w:p w:rsidRPr="00651FE4" w:rsidR="00651FE4" w:rsidP="00651FE4" w:rsidRDefault="00651FE4" w14:paraId="38D96BC0"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b/>
          <w:sz w:val="24"/>
          <w:szCs w:val="24"/>
        </w:rPr>
        <w:t>4.</w:t>
      </w:r>
      <w:r w:rsidRPr="00651FE4">
        <w:rPr>
          <w:rFonts w:ascii="Times New Roman" w:hAnsi="Times New Roman" w:eastAsia="Times New Roman" w:cs="Times New Roman"/>
          <w:sz w:val="24"/>
          <w:szCs w:val="24"/>
        </w:rPr>
        <w:t xml:space="preserve">  </w:t>
      </w:r>
      <w:r w:rsidRPr="00651FE4">
        <w:rPr>
          <w:rFonts w:ascii="Times New Roman" w:hAnsi="Times New Roman" w:eastAsia="Times New Roman" w:cs="Times New Roman"/>
          <w:b/>
          <w:sz w:val="24"/>
          <w:szCs w:val="24"/>
        </w:rPr>
        <w:t>Maximum of 10 points if 74 percent or greater of the students in the school division are eligible for Free- or Reduced-price meals (including divisions participating in the USDA Community Eligibility Provision program):</w:t>
      </w:r>
    </w:p>
    <w:p w:rsidRPr="00651FE4" w:rsidR="00651FE4" w:rsidP="00651FE4" w:rsidRDefault="00651FE4" w14:paraId="080769C3" w14:textId="77777777">
      <w:pPr>
        <w:numPr>
          <w:ilvl w:val="0"/>
          <w:numId w:val="3"/>
        </w:numP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10 points if 74 percent or greater of students are eligible for free- or reduced-price </w:t>
      </w:r>
      <w:proofErr w:type="gramStart"/>
      <w:r w:rsidRPr="00651FE4">
        <w:rPr>
          <w:rFonts w:ascii="Times New Roman" w:hAnsi="Times New Roman" w:eastAsia="Times New Roman" w:cs="Times New Roman"/>
          <w:sz w:val="24"/>
          <w:szCs w:val="24"/>
        </w:rPr>
        <w:t>meals</w:t>
      </w:r>
      <w:proofErr w:type="gramEnd"/>
    </w:p>
    <w:p w:rsidRPr="00651FE4" w:rsidR="00651FE4" w:rsidP="00651FE4" w:rsidRDefault="00651FE4" w14:paraId="1F711C7B" w14:textId="77777777">
      <w:pPr>
        <w:numPr>
          <w:ilvl w:val="0"/>
          <w:numId w:val="1"/>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7 points if 55 to less than 74 percent of students are eligible for free- or reduced-price </w:t>
      </w:r>
      <w:proofErr w:type="gramStart"/>
      <w:r w:rsidRPr="00651FE4">
        <w:rPr>
          <w:rFonts w:ascii="Times New Roman" w:hAnsi="Times New Roman" w:eastAsia="Times New Roman" w:cs="Times New Roman"/>
          <w:sz w:val="24"/>
          <w:szCs w:val="24"/>
        </w:rPr>
        <w:t>meals</w:t>
      </w:r>
      <w:proofErr w:type="gramEnd"/>
    </w:p>
    <w:p w:rsidRPr="00651FE4" w:rsidR="00651FE4" w:rsidP="00651FE4" w:rsidRDefault="00651FE4" w14:paraId="515E6ED4" w14:textId="77777777">
      <w:pPr>
        <w:numPr>
          <w:ilvl w:val="0"/>
          <w:numId w:val="1"/>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3 points if 40 to less than 55 percent of students are eligible for free- or reduced-price </w:t>
      </w:r>
      <w:proofErr w:type="gramStart"/>
      <w:r w:rsidRPr="00651FE4">
        <w:rPr>
          <w:rFonts w:ascii="Times New Roman" w:hAnsi="Times New Roman" w:eastAsia="Times New Roman" w:cs="Times New Roman"/>
          <w:sz w:val="24"/>
          <w:szCs w:val="24"/>
        </w:rPr>
        <w:t>meals</w:t>
      </w:r>
      <w:proofErr w:type="gramEnd"/>
    </w:p>
    <w:p w:rsidRPr="00651FE4" w:rsidR="00651FE4" w:rsidP="00651FE4" w:rsidRDefault="00651FE4" w14:paraId="2ECE942F" w14:textId="77777777">
      <w:pPr>
        <w:numPr>
          <w:ilvl w:val="0"/>
          <w:numId w:val="1"/>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if less than 40 percent of students are eligible for free- or reduced-price </w:t>
      </w:r>
      <w:proofErr w:type="gramStart"/>
      <w:r w:rsidRPr="00651FE4">
        <w:rPr>
          <w:rFonts w:ascii="Times New Roman" w:hAnsi="Times New Roman" w:eastAsia="Times New Roman" w:cs="Times New Roman"/>
          <w:sz w:val="24"/>
          <w:szCs w:val="24"/>
        </w:rPr>
        <w:t>meals</w:t>
      </w:r>
      <w:proofErr w:type="gramEnd"/>
    </w:p>
    <w:p w:rsidR="00651FE4" w:rsidP="00651FE4" w:rsidRDefault="00651FE4" w14:paraId="46178865" w14:textId="57F89ED0">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Pr="00651FE4" w:rsidR="00651FE4" w:rsidP="00651FE4" w:rsidRDefault="00651FE4" w14:paraId="0FD862CF"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b/>
          <w:sz w:val="24"/>
          <w:szCs w:val="24"/>
        </w:rPr>
        <w:t>5.  Maximum of 10 points for the school division Composite Index:</w:t>
      </w:r>
    </w:p>
    <w:p w:rsidRPr="00651FE4" w:rsidR="00651FE4" w:rsidP="00651FE4" w:rsidRDefault="00651FE4" w14:paraId="7B536A0D" w14:textId="77777777">
      <w:pPr>
        <w:numPr>
          <w:ilvl w:val="0"/>
          <w:numId w:val="4"/>
        </w:numP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10 points for division Composite Index of 0.0000 to 0.2999</w:t>
      </w:r>
    </w:p>
    <w:p w:rsidRPr="00651FE4" w:rsidR="00651FE4" w:rsidP="00651FE4" w:rsidRDefault="00651FE4" w14:paraId="4A18602B"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7 points for division Composite Index of 0.3000 to 0.5999</w:t>
      </w:r>
    </w:p>
    <w:p w:rsidRPr="00651FE4" w:rsidR="00651FE4" w:rsidP="00651FE4" w:rsidRDefault="00651FE4" w14:paraId="242E3DBF"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3 points for division Composite Index of 0.6000 to 0.8000</w:t>
      </w:r>
    </w:p>
    <w:p w:rsidRPr="00651FE4" w:rsidR="00651FE4" w:rsidP="00651FE4" w:rsidRDefault="00651FE4" w14:paraId="1D037FFC" w14:textId="77777777">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Pr="00651FE4" w:rsidR="00651FE4" w:rsidP="00651FE4" w:rsidRDefault="00651FE4" w14:paraId="2A51B7D9"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b/>
          <w:sz w:val="24"/>
          <w:szCs w:val="24"/>
        </w:rPr>
        <w:t xml:space="preserve">6.  5 points if the planned construction, addition, or renovation project is included in the school </w:t>
      </w:r>
      <w:proofErr w:type="gramStart"/>
      <w:r w:rsidRPr="00651FE4">
        <w:rPr>
          <w:rFonts w:ascii="Times New Roman" w:hAnsi="Times New Roman" w:eastAsia="Times New Roman" w:cs="Times New Roman"/>
          <w:b/>
          <w:sz w:val="24"/>
          <w:szCs w:val="24"/>
        </w:rPr>
        <w:t>division’s</w:t>
      </w:r>
      <w:proofErr w:type="gramEnd"/>
      <w:r w:rsidRPr="00651FE4">
        <w:rPr>
          <w:rFonts w:ascii="Times New Roman" w:hAnsi="Times New Roman" w:eastAsia="Times New Roman" w:cs="Times New Roman"/>
          <w:b/>
          <w:sz w:val="24"/>
          <w:szCs w:val="24"/>
        </w:rPr>
        <w:t xml:space="preserve"> or locality’s currently approved Capital Improvement Plan (CIP). 0 points if not.</w:t>
      </w:r>
    </w:p>
    <w:p w:rsidRPr="00651FE4" w:rsidR="00651FE4" w:rsidP="00651FE4" w:rsidRDefault="00651FE4" w14:paraId="1C06B662" w14:textId="77777777">
      <w:pPr>
        <w:spacing w:after="0" w:line="240" w:lineRule="auto"/>
        <w:ind w:left="720" w:hanging="720"/>
        <w:rPr>
          <w:rFonts w:ascii="Times New Roman" w:hAnsi="Times New Roman" w:eastAsia="Times New Roman" w:cs="Times New Roman"/>
          <w:sz w:val="24"/>
          <w:szCs w:val="24"/>
        </w:rPr>
      </w:pPr>
    </w:p>
    <w:p w:rsidRPr="00651FE4" w:rsidR="00651FE4" w:rsidP="00651FE4" w:rsidRDefault="00651FE4" w14:paraId="488F8A12" w14:textId="77777777">
      <w:pPr>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b/>
          <w:sz w:val="24"/>
          <w:szCs w:val="24"/>
        </w:rPr>
        <w:t>7.  Maximum of 5 points for Commitment</w:t>
      </w:r>
      <w:r w:rsidRPr="00651FE4">
        <w:rPr>
          <w:rFonts w:ascii="Times New Roman" w:hAnsi="Times New Roman" w:eastAsia="Times New Roman" w:cs="Times New Roman"/>
          <w:sz w:val="24"/>
          <w:szCs w:val="24"/>
        </w:rPr>
        <w:t>, if: (</w:t>
      </w:r>
      <w:proofErr w:type="spellStart"/>
      <w:r w:rsidRPr="00651FE4">
        <w:rPr>
          <w:rFonts w:ascii="Times New Roman" w:hAnsi="Times New Roman" w:eastAsia="Times New Roman" w:cs="Times New Roman"/>
          <w:sz w:val="24"/>
          <w:szCs w:val="24"/>
        </w:rPr>
        <w:t>i</w:t>
      </w:r>
      <w:proofErr w:type="spellEnd"/>
      <w:r w:rsidRPr="00651FE4">
        <w:rPr>
          <w:rFonts w:ascii="Times New Roman" w:hAnsi="Times New Roman" w:eastAsia="Times New Roman" w:cs="Times New Roman"/>
          <w:sz w:val="24"/>
          <w:szCs w:val="24"/>
        </w:rPr>
        <w:t xml:space="preserve">) there is an agreement by the local governing body to maintain or increase the percentage of local revenues dedicated to public education throughout the duration of the financing proposed for the project; </w:t>
      </w:r>
      <w:r w:rsidRPr="00651FE4">
        <w:rPr>
          <w:rFonts w:ascii="Times New Roman" w:hAnsi="Times New Roman" w:eastAsia="Times New Roman" w:cs="Times New Roman"/>
          <w:sz w:val="24"/>
          <w:szCs w:val="24"/>
          <w:u w:val="single"/>
        </w:rPr>
        <w:t>and</w:t>
      </w:r>
      <w:r w:rsidRPr="00651FE4">
        <w:rPr>
          <w:rFonts w:ascii="Times New Roman" w:hAnsi="Times New Roman" w:eastAsia="Times New Roman" w:cs="Times New Roman"/>
          <w:sz w:val="24"/>
          <w:szCs w:val="24"/>
        </w:rPr>
        <w:t xml:space="preserve"> (ii) if project design and site acquisition for the project has been fully or substantially completed prior to applying for grant funds under this program:</w:t>
      </w:r>
    </w:p>
    <w:p w:rsidRPr="00651FE4" w:rsidR="00651FE4" w:rsidP="00651FE4" w:rsidRDefault="00651FE4" w14:paraId="45B09E6B"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5 points if both criteria </w:t>
      </w:r>
      <w:proofErr w:type="spellStart"/>
      <w:r w:rsidRPr="00651FE4">
        <w:rPr>
          <w:rFonts w:ascii="Times New Roman" w:hAnsi="Times New Roman" w:eastAsia="Times New Roman" w:cs="Times New Roman"/>
          <w:sz w:val="24"/>
          <w:szCs w:val="24"/>
        </w:rPr>
        <w:t>i</w:t>
      </w:r>
      <w:proofErr w:type="spellEnd"/>
      <w:r w:rsidRPr="00651FE4">
        <w:rPr>
          <w:rFonts w:ascii="Times New Roman" w:hAnsi="Times New Roman" w:eastAsia="Times New Roman" w:cs="Times New Roman"/>
          <w:sz w:val="24"/>
          <w:szCs w:val="24"/>
        </w:rPr>
        <w:t xml:space="preserve"> and ii above have been </w:t>
      </w:r>
      <w:proofErr w:type="gramStart"/>
      <w:r w:rsidRPr="00651FE4">
        <w:rPr>
          <w:rFonts w:ascii="Times New Roman" w:hAnsi="Times New Roman" w:eastAsia="Times New Roman" w:cs="Times New Roman"/>
          <w:sz w:val="24"/>
          <w:szCs w:val="24"/>
        </w:rPr>
        <w:t>met</w:t>
      </w:r>
      <w:proofErr w:type="gramEnd"/>
    </w:p>
    <w:p w:rsidRPr="00651FE4" w:rsidR="00651FE4" w:rsidP="00651FE4" w:rsidRDefault="00651FE4" w14:paraId="23BA4C75"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if either criterion </w:t>
      </w:r>
      <w:proofErr w:type="spellStart"/>
      <w:r w:rsidRPr="00651FE4">
        <w:rPr>
          <w:rFonts w:ascii="Times New Roman" w:hAnsi="Times New Roman" w:eastAsia="Times New Roman" w:cs="Times New Roman"/>
          <w:sz w:val="24"/>
          <w:szCs w:val="24"/>
        </w:rPr>
        <w:t>i</w:t>
      </w:r>
      <w:proofErr w:type="spellEnd"/>
      <w:r w:rsidRPr="00651FE4">
        <w:rPr>
          <w:rFonts w:ascii="Times New Roman" w:hAnsi="Times New Roman" w:eastAsia="Times New Roman" w:cs="Times New Roman"/>
          <w:sz w:val="24"/>
          <w:szCs w:val="24"/>
        </w:rPr>
        <w:t xml:space="preserve"> or ii above have </w:t>
      </w:r>
      <w:r w:rsidRPr="00651FE4">
        <w:rPr>
          <w:rFonts w:ascii="Times New Roman" w:hAnsi="Times New Roman" w:eastAsia="Times New Roman" w:cs="Times New Roman"/>
          <w:sz w:val="24"/>
          <w:szCs w:val="24"/>
          <w:u w:val="single"/>
        </w:rPr>
        <w:t>not</w:t>
      </w:r>
      <w:r w:rsidRPr="00651FE4">
        <w:rPr>
          <w:rFonts w:ascii="Times New Roman" w:hAnsi="Times New Roman" w:eastAsia="Times New Roman" w:cs="Times New Roman"/>
          <w:sz w:val="24"/>
          <w:szCs w:val="24"/>
        </w:rPr>
        <w:t xml:space="preserve"> been </w:t>
      </w:r>
      <w:proofErr w:type="gramStart"/>
      <w:r w:rsidRPr="00651FE4">
        <w:rPr>
          <w:rFonts w:ascii="Times New Roman" w:hAnsi="Times New Roman" w:eastAsia="Times New Roman" w:cs="Times New Roman"/>
          <w:sz w:val="24"/>
          <w:szCs w:val="24"/>
        </w:rPr>
        <w:t>met</w:t>
      </w:r>
      <w:proofErr w:type="gramEnd"/>
    </w:p>
    <w:p w:rsidRPr="00651FE4" w:rsidR="00651FE4" w:rsidP="00651FE4" w:rsidRDefault="00651FE4" w14:paraId="3D13F953" w14:textId="77777777">
      <w:pPr>
        <w:spacing w:after="0" w:line="240" w:lineRule="auto"/>
        <w:rPr>
          <w:rFonts w:ascii="Times New Roman" w:hAnsi="Times New Roman" w:eastAsia="Times New Roman" w:cs="Times New Roman"/>
          <w:b/>
          <w:sz w:val="24"/>
          <w:szCs w:val="24"/>
        </w:rPr>
      </w:pPr>
    </w:p>
    <w:p w:rsidRPr="00651FE4" w:rsidR="00651FE4" w:rsidP="00651FE4" w:rsidRDefault="00651FE4" w14:paraId="4250B04E" w14:textId="77777777">
      <w:pPr>
        <w:spacing w:after="0" w:line="240" w:lineRule="auto"/>
        <w:rPr>
          <w:rFonts w:ascii="Times New Roman" w:hAnsi="Times New Roman" w:eastAsia="Times New Roman" w:cs="Times New Roman"/>
          <w:b/>
          <w:sz w:val="24"/>
          <w:szCs w:val="24"/>
        </w:rPr>
      </w:pPr>
      <w:r w:rsidRPr="00651FE4">
        <w:rPr>
          <w:rFonts w:ascii="Times New Roman" w:hAnsi="Times New Roman" w:eastAsia="Times New Roman" w:cs="Times New Roman"/>
          <w:b/>
          <w:sz w:val="24"/>
          <w:szCs w:val="24"/>
        </w:rPr>
        <w:t>8.  Maximum of 10 points for Locality Fiscal Stress Designation:</w:t>
      </w:r>
    </w:p>
    <w:p w:rsidRPr="00651FE4" w:rsidR="00651FE4" w:rsidP="00651FE4" w:rsidRDefault="00651FE4" w14:paraId="2C88814B"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10 points for a locality with a </w:t>
      </w:r>
      <w:r w:rsidRPr="00651FE4">
        <w:rPr>
          <w:rFonts w:ascii="Times New Roman" w:hAnsi="Times New Roman" w:eastAsia="Times New Roman" w:cs="Times New Roman"/>
          <w:sz w:val="24"/>
          <w:szCs w:val="24"/>
          <w:u w:val="single"/>
        </w:rPr>
        <w:t>High</w:t>
      </w:r>
      <w:r w:rsidRPr="00651FE4">
        <w:rPr>
          <w:rFonts w:ascii="Times New Roman" w:hAnsi="Times New Roman" w:eastAsia="Times New Roman" w:cs="Times New Roman"/>
          <w:sz w:val="24"/>
          <w:szCs w:val="24"/>
        </w:rPr>
        <w:t xml:space="preserve"> fiscal stress designation</w:t>
      </w:r>
    </w:p>
    <w:p w:rsidRPr="00651FE4" w:rsidR="00651FE4" w:rsidP="00651FE4" w:rsidRDefault="00651FE4" w14:paraId="0BD4F5BD"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7 points for a locality with an </w:t>
      </w:r>
      <w:r w:rsidRPr="00651FE4">
        <w:rPr>
          <w:rFonts w:ascii="Times New Roman" w:hAnsi="Times New Roman" w:eastAsia="Times New Roman" w:cs="Times New Roman"/>
          <w:sz w:val="24"/>
          <w:szCs w:val="24"/>
          <w:u w:val="single"/>
        </w:rPr>
        <w:t>Above Average</w:t>
      </w:r>
      <w:r w:rsidRPr="00651FE4">
        <w:rPr>
          <w:rFonts w:ascii="Times New Roman" w:hAnsi="Times New Roman" w:eastAsia="Times New Roman" w:cs="Times New Roman"/>
          <w:sz w:val="24"/>
          <w:szCs w:val="24"/>
        </w:rPr>
        <w:t xml:space="preserve"> fiscal stress designation</w:t>
      </w:r>
    </w:p>
    <w:p w:rsidRPr="00651FE4" w:rsidR="00651FE4" w:rsidP="00651FE4" w:rsidRDefault="00651FE4" w14:paraId="03E3FED3"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3 points for a locality with a </w:t>
      </w:r>
      <w:r w:rsidRPr="00651FE4">
        <w:rPr>
          <w:rFonts w:ascii="Times New Roman" w:hAnsi="Times New Roman" w:eastAsia="Times New Roman" w:cs="Times New Roman"/>
          <w:sz w:val="24"/>
          <w:szCs w:val="24"/>
          <w:u w:val="single"/>
        </w:rPr>
        <w:t>Below Average</w:t>
      </w:r>
      <w:r w:rsidRPr="00651FE4">
        <w:rPr>
          <w:rFonts w:ascii="Times New Roman" w:hAnsi="Times New Roman" w:eastAsia="Times New Roman" w:cs="Times New Roman"/>
          <w:sz w:val="24"/>
          <w:szCs w:val="24"/>
        </w:rPr>
        <w:t xml:space="preserve"> fiscal stress designation</w:t>
      </w:r>
    </w:p>
    <w:p w:rsidRPr="00651FE4" w:rsidR="00651FE4" w:rsidP="00651FE4" w:rsidRDefault="00651FE4" w14:paraId="5CB389BE"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for a locality with a </w:t>
      </w:r>
      <w:r w:rsidRPr="00651FE4">
        <w:rPr>
          <w:rFonts w:ascii="Times New Roman" w:hAnsi="Times New Roman" w:eastAsia="Times New Roman" w:cs="Times New Roman"/>
          <w:sz w:val="24"/>
          <w:szCs w:val="24"/>
          <w:u w:val="single"/>
        </w:rPr>
        <w:t>Low</w:t>
      </w:r>
      <w:r w:rsidRPr="00651FE4">
        <w:rPr>
          <w:rFonts w:ascii="Times New Roman" w:hAnsi="Times New Roman" w:eastAsia="Times New Roman" w:cs="Times New Roman"/>
          <w:sz w:val="24"/>
          <w:szCs w:val="24"/>
        </w:rPr>
        <w:t xml:space="preserve"> fiscal stress designation</w:t>
      </w:r>
    </w:p>
    <w:p w:rsidRPr="00651FE4" w:rsidR="00651FE4" w:rsidP="00651FE4" w:rsidRDefault="00651FE4" w14:paraId="6EB8147D" w14:textId="77777777">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Pr="00651FE4" w:rsidR="00651FE4" w:rsidP="00651FE4" w:rsidRDefault="00651FE4" w14:paraId="26F6F0C7" w14:textId="77777777">
      <w:pPr>
        <w:keepLines/>
        <w:widowControl w:val="0"/>
        <w:spacing w:after="0" w:line="240" w:lineRule="auto"/>
        <w:rPr>
          <w:rFonts w:ascii="Times New Roman" w:hAnsi="Times New Roman" w:eastAsia="Times New Roman" w:cs="Times New Roman"/>
          <w:sz w:val="24"/>
          <w:szCs w:val="24"/>
        </w:rPr>
      </w:pPr>
      <w:r w:rsidRPr="00651FE4">
        <w:rPr>
          <w:rFonts w:ascii="Times New Roman" w:hAnsi="Times New Roman" w:eastAsia="Times New Roman" w:cs="Times New Roman"/>
          <w:b/>
          <w:sz w:val="24"/>
          <w:szCs w:val="24"/>
        </w:rPr>
        <w:t>9.  Maximum of 10 points for the percentage of residents of the locality in which the school division is located with incomes at or below the federal poverty guidelines</w:t>
      </w:r>
      <w:r w:rsidRPr="00651FE4">
        <w:rPr>
          <w:rFonts w:ascii="Times New Roman" w:hAnsi="Times New Roman" w:eastAsia="Times New Roman" w:cs="Times New Roman"/>
          <w:sz w:val="24"/>
          <w:szCs w:val="24"/>
        </w:rPr>
        <w:t xml:space="preserve"> established by the U.S. Department of Health and Human Services:</w:t>
      </w:r>
    </w:p>
    <w:p w:rsidRPr="00651FE4" w:rsidR="00651FE4" w:rsidP="00651FE4" w:rsidRDefault="00651FE4" w14:paraId="6A7FD563"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10 points for localities with greater than 14.2 percent of residents at or below the federal poverty guidelines</w:t>
      </w:r>
    </w:p>
    <w:p w:rsidRPr="00651FE4" w:rsidR="00651FE4" w:rsidP="00651FE4" w:rsidRDefault="00651FE4" w14:paraId="452A21AA"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5 points for localities with 9 to 14.2 percent of residents at or below the federal poverty guidelines</w:t>
      </w:r>
    </w:p>
    <w:p w:rsidRPr="00651FE4" w:rsidR="00651FE4" w:rsidP="00651FE4" w:rsidRDefault="00651FE4" w14:paraId="7C5A4368" w14:textId="77777777">
      <w:pPr>
        <w:numPr>
          <w:ilvl w:val="0"/>
          <w:numId w:val="4"/>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0 points for localities with less than 9 percent of residents at or below the federal poverty guidelines</w:t>
      </w:r>
    </w:p>
    <w:p w:rsidRPr="00651FE4" w:rsidR="00651FE4" w:rsidP="00651FE4" w:rsidRDefault="00651FE4" w14:paraId="2DD8E604" w14:textId="77777777">
      <w:pPr>
        <w:spacing w:after="0" w:line="240" w:lineRule="auto"/>
        <w:rPr>
          <w:rFonts w:ascii="Times New Roman" w:hAnsi="Times New Roman" w:eastAsia="Times New Roman" w:cs="Times New Roman"/>
          <w:color w:val="333333"/>
          <w:sz w:val="24"/>
          <w:szCs w:val="24"/>
        </w:rPr>
      </w:pPr>
    </w:p>
    <w:p w:rsidRPr="00651FE4" w:rsidR="00651FE4" w:rsidP="00651FE4" w:rsidRDefault="00651FE4" w14:paraId="74FCFD65" w14:textId="77777777">
      <w:pPr>
        <w:spacing w:after="0" w:line="240" w:lineRule="auto"/>
        <w:rPr>
          <w:rFonts w:ascii="Times New Roman" w:hAnsi="Times New Roman" w:eastAsia="Times New Roman" w:cs="Times New Roman"/>
          <w:b/>
          <w:color w:val="333333"/>
          <w:sz w:val="24"/>
          <w:szCs w:val="24"/>
        </w:rPr>
      </w:pPr>
      <w:r w:rsidRPr="00651FE4">
        <w:rPr>
          <w:rFonts w:ascii="Times New Roman" w:hAnsi="Times New Roman" w:eastAsia="Times New Roman" w:cs="Times New Roman"/>
          <w:b/>
          <w:sz w:val="24"/>
          <w:szCs w:val="24"/>
        </w:rPr>
        <w:t>10.  Maximum of 10 points for the condition of most other school buildings in the school division (</w:t>
      </w:r>
      <w:r w:rsidRPr="00651FE4">
        <w:rPr>
          <w:rFonts w:ascii="Times New Roman" w:hAnsi="Times New Roman" w:eastAsia="Times New Roman" w:cs="Times New Roman"/>
          <w:b/>
          <w:i/>
          <w:iCs/>
          <w:sz w:val="24"/>
          <w:szCs w:val="24"/>
          <w:u w:val="single"/>
        </w:rPr>
        <w:t>not</w:t>
      </w:r>
      <w:r w:rsidRPr="00651FE4">
        <w:rPr>
          <w:rFonts w:ascii="Times New Roman" w:hAnsi="Times New Roman" w:eastAsia="Times New Roman" w:cs="Times New Roman"/>
          <w:b/>
          <w:sz w:val="24"/>
          <w:szCs w:val="24"/>
        </w:rPr>
        <w:t xml:space="preserve"> including the building proposed for renovation, addition, or replacement):</w:t>
      </w:r>
    </w:p>
    <w:p w:rsidRPr="00651FE4" w:rsidR="00651FE4" w:rsidP="00651FE4" w:rsidRDefault="00651FE4" w14:paraId="2891F2A5" w14:textId="77777777">
      <w:pPr>
        <w:numPr>
          <w:ilvl w:val="0"/>
          <w:numId w:val="2"/>
        </w:numP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10 points if over 50 percent of the other school division buildings are in </w:t>
      </w:r>
      <w:r w:rsidRPr="00651FE4">
        <w:rPr>
          <w:rFonts w:ascii="Times New Roman" w:hAnsi="Times New Roman" w:eastAsia="Times New Roman" w:cs="Times New Roman"/>
          <w:sz w:val="24"/>
          <w:szCs w:val="24"/>
          <w:u w:val="single"/>
        </w:rPr>
        <w:t>Poor</w:t>
      </w:r>
      <w:r w:rsidRPr="00651FE4">
        <w:rPr>
          <w:rFonts w:ascii="Times New Roman" w:hAnsi="Times New Roman" w:eastAsia="Times New Roman" w:cs="Times New Roman"/>
          <w:sz w:val="24"/>
          <w:szCs w:val="24"/>
        </w:rPr>
        <w:t xml:space="preserve"> condition </w:t>
      </w:r>
      <w:bookmarkStart w:name="_Hlk125632620" w:id="2"/>
      <w:r w:rsidRPr="00651FE4">
        <w:rPr>
          <w:rFonts w:ascii="Times New Roman" w:hAnsi="Times New Roman" w:eastAsia="Times New Roman" w:cs="Times New Roman"/>
          <w:sz w:val="24"/>
          <w:szCs w:val="24"/>
        </w:rPr>
        <w:t>(</w:t>
      </w:r>
      <w:proofErr w:type="gramStart"/>
      <w:r w:rsidRPr="00651FE4">
        <w:rPr>
          <w:rFonts w:ascii="Times New Roman" w:hAnsi="Times New Roman" w:eastAsia="Times New Roman" w:cs="Times New Roman"/>
          <w:sz w:val="24"/>
          <w:szCs w:val="24"/>
        </w:rPr>
        <w:t>refer</w:t>
      </w:r>
      <w:proofErr w:type="gramEnd"/>
      <w:r w:rsidRPr="00651FE4">
        <w:rPr>
          <w:rFonts w:ascii="Times New Roman" w:hAnsi="Times New Roman" w:eastAsia="Times New Roman" w:cs="Times New Roman"/>
          <w:sz w:val="24"/>
          <w:szCs w:val="24"/>
        </w:rPr>
        <w:t xml:space="preserve">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bookmarkEnd w:id="2"/>
    </w:p>
    <w:p w:rsidRPr="00651FE4" w:rsidR="00651FE4" w:rsidP="00651FE4" w:rsidRDefault="00651FE4" w14:paraId="02166D9A" w14:textId="77777777">
      <w:pPr>
        <w:numPr>
          <w:ilvl w:val="0"/>
          <w:numId w:val="2"/>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5 points if 30 to 50 percent of the other school division buildings are in </w:t>
      </w:r>
      <w:r w:rsidRPr="00651FE4">
        <w:rPr>
          <w:rFonts w:ascii="Times New Roman" w:hAnsi="Times New Roman" w:eastAsia="Times New Roman" w:cs="Times New Roman"/>
          <w:sz w:val="24"/>
          <w:szCs w:val="24"/>
          <w:u w:val="single"/>
        </w:rPr>
        <w:t>Poor</w:t>
      </w:r>
      <w:r w:rsidRPr="00651FE4">
        <w:rPr>
          <w:rFonts w:ascii="Times New Roman" w:hAnsi="Times New Roman" w:eastAsia="Times New Roman" w:cs="Times New Roman"/>
          <w:sz w:val="24"/>
          <w:szCs w:val="24"/>
        </w:rPr>
        <w:t xml:space="preserve"> condition (refer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p>
    <w:p w:rsidR="00651FE4" w:rsidP="00651FE4" w:rsidRDefault="00651FE4" w14:paraId="31774F44" w14:textId="3EB7ABBD">
      <w:pPr>
        <w:numPr>
          <w:ilvl w:val="0"/>
          <w:numId w:val="2"/>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 xml:space="preserve">0 points if less than 30 percent of the other school division buildings are in </w:t>
      </w:r>
      <w:r w:rsidRPr="00651FE4">
        <w:rPr>
          <w:rFonts w:ascii="Times New Roman" w:hAnsi="Times New Roman" w:eastAsia="Times New Roman" w:cs="Times New Roman"/>
          <w:sz w:val="24"/>
          <w:szCs w:val="24"/>
          <w:u w:val="single"/>
        </w:rPr>
        <w:t>Poor</w:t>
      </w:r>
      <w:r w:rsidRPr="00651FE4">
        <w:rPr>
          <w:rFonts w:ascii="Times New Roman" w:hAnsi="Times New Roman" w:eastAsia="Times New Roman" w:cs="Times New Roman"/>
          <w:sz w:val="24"/>
          <w:szCs w:val="24"/>
        </w:rPr>
        <w:t xml:space="preserve"> condition (refer to </w:t>
      </w:r>
      <w:r w:rsidRPr="00651FE4">
        <w:rPr>
          <w:rFonts w:ascii="Times New Roman" w:hAnsi="Times New Roman" w:eastAsia="Times New Roman" w:cs="Times New Roman"/>
          <w:i/>
          <w:iCs/>
          <w:sz w:val="24"/>
          <w:szCs w:val="24"/>
        </w:rPr>
        <w:t>School Building Condition Definitions</w:t>
      </w:r>
      <w:r w:rsidRPr="00651FE4">
        <w:rPr>
          <w:rFonts w:ascii="Times New Roman" w:hAnsi="Times New Roman" w:eastAsia="Times New Roman" w:cs="Times New Roman"/>
          <w:sz w:val="24"/>
          <w:szCs w:val="24"/>
        </w:rPr>
        <w:t xml:space="preserve"> document)</w:t>
      </w:r>
    </w:p>
    <w:p w:rsidR="007D51A3" w:rsidP="007D51A3" w:rsidRDefault="007D51A3" w14:paraId="27444163" w14:textId="008D30A3">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007D51A3" w:rsidP="007D51A3" w:rsidRDefault="007D51A3" w14:paraId="438F7D22" w14:textId="72C069BA">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00651FE4" w:rsidP="00651FE4" w:rsidRDefault="00651FE4" w14:paraId="49289E86" w14:textId="03D25E6D">
      <w:pPr>
        <w:pBdr>
          <w:top w:val="nil"/>
          <w:left w:val="nil"/>
          <w:bottom w:val="nil"/>
          <w:right w:val="nil"/>
          <w:between w:val="nil"/>
        </w:pBdr>
        <w:spacing w:after="0" w:line="240" w:lineRule="auto"/>
        <w:rPr>
          <w:rFonts w:ascii="Times New Roman" w:hAnsi="Times New Roman" w:eastAsia="Times New Roman" w:cs="Times New Roman"/>
          <w:sz w:val="24"/>
          <w:szCs w:val="24"/>
        </w:rPr>
      </w:pPr>
    </w:p>
    <w:p w:rsidR="007D51A3" w:rsidP="00651FE4" w:rsidRDefault="007D51A3" w14:paraId="1FA218E1" w14:textId="77777777">
      <w:pPr>
        <w:pBdr>
          <w:top w:val="nil"/>
          <w:left w:val="nil"/>
          <w:bottom w:val="nil"/>
          <w:right w:val="nil"/>
          <w:between w:val="nil"/>
        </w:pBdr>
        <w:spacing w:after="0" w:line="240" w:lineRule="auto"/>
        <w:rPr>
          <w:rFonts w:ascii="Times New Roman" w:hAnsi="Times New Roman" w:eastAsia="Times New Roman" w:cs="Times New Roman"/>
          <w:b/>
          <w:sz w:val="24"/>
          <w:szCs w:val="24"/>
        </w:rPr>
      </w:pPr>
    </w:p>
    <w:p w:rsidRPr="00651FE4" w:rsidR="00651FE4" w:rsidP="00651FE4" w:rsidRDefault="00651FE4" w14:paraId="36565BB6" w14:textId="37750734">
      <w:pPr>
        <w:pBdr>
          <w:top w:val="nil"/>
          <w:left w:val="nil"/>
          <w:bottom w:val="nil"/>
          <w:right w:val="nil"/>
          <w:between w:val="nil"/>
        </w:pBdr>
        <w:spacing w:after="0" w:line="240" w:lineRule="auto"/>
        <w:rPr>
          <w:rFonts w:ascii="Times New Roman" w:hAnsi="Times New Roman" w:eastAsia="Times New Roman" w:cs="Times New Roman"/>
          <w:b/>
          <w:sz w:val="24"/>
          <w:szCs w:val="24"/>
        </w:rPr>
      </w:pPr>
      <w:r w:rsidRPr="00651FE4">
        <w:rPr>
          <w:rFonts w:ascii="Times New Roman" w:hAnsi="Times New Roman" w:eastAsia="Times New Roman" w:cs="Times New Roman"/>
          <w:b/>
          <w:sz w:val="24"/>
          <w:szCs w:val="24"/>
        </w:rPr>
        <w:lastRenderedPageBreak/>
        <w:t xml:space="preserve">11.  </w:t>
      </w:r>
      <w:r w:rsidRPr="00651FE4">
        <w:rPr>
          <w:rFonts w:ascii="Times New Roman" w:hAnsi="Times New Roman" w:eastAsia="Times New Roman" w:cs="Times New Roman"/>
          <w:b/>
          <w:color w:val="000000"/>
          <w:sz w:val="24"/>
          <w:szCs w:val="24"/>
        </w:rPr>
        <w:t>Maximum of 10 points for Deb</w:t>
      </w:r>
      <w:r w:rsidRPr="00651FE4">
        <w:rPr>
          <w:rFonts w:ascii="Times New Roman" w:hAnsi="Times New Roman" w:eastAsia="Times New Roman" w:cs="Times New Roman"/>
          <w:b/>
          <w:sz w:val="24"/>
          <w:szCs w:val="24"/>
        </w:rPr>
        <w:t>t Capacity of the Locality</w:t>
      </w:r>
      <w:r w:rsidRPr="00651FE4">
        <w:rPr>
          <w:rFonts w:ascii="Times New Roman" w:hAnsi="Times New Roman" w:eastAsia="Times New Roman" w:cs="Times New Roman"/>
          <w:sz w:val="24"/>
          <w:szCs w:val="24"/>
        </w:rPr>
        <w:t xml:space="preserve"> (Debt Capacity for each locality is expressed as a percentage based on </w:t>
      </w:r>
      <w:r w:rsidRPr="00651FE4">
        <w:rPr>
          <w:rFonts w:ascii="Times New Roman" w:hAnsi="Times New Roman" w:eastAsia="Times New Roman" w:cs="Times New Roman"/>
          <w:color w:val="000000"/>
          <w:sz w:val="24"/>
          <w:szCs w:val="24"/>
        </w:rPr>
        <w:t>Total Tax Supported Debt divided by the sum</w:t>
      </w:r>
      <w:r w:rsidRPr="00651FE4">
        <w:rPr>
          <w:rFonts w:ascii="Times New Roman" w:hAnsi="Times New Roman" w:eastAsia="Times New Roman" w:cs="Times New Roman"/>
          <w:sz w:val="24"/>
          <w:szCs w:val="24"/>
        </w:rPr>
        <w:t xml:space="preserve"> of </w:t>
      </w:r>
      <w:r w:rsidRPr="00651FE4">
        <w:rPr>
          <w:rFonts w:ascii="Times New Roman" w:hAnsi="Times New Roman" w:eastAsia="Times New Roman" w:cs="Times New Roman"/>
          <w:color w:val="000000"/>
          <w:sz w:val="24"/>
          <w:szCs w:val="24"/>
        </w:rPr>
        <w:t>F</w:t>
      </w:r>
      <w:r w:rsidRPr="00651FE4">
        <w:rPr>
          <w:rFonts w:ascii="Times New Roman" w:hAnsi="Times New Roman" w:eastAsia="Times New Roman" w:cs="Times New Roman"/>
          <w:sz w:val="24"/>
          <w:szCs w:val="24"/>
        </w:rPr>
        <w:t>air Market Value (</w:t>
      </w:r>
      <w:r w:rsidRPr="00651FE4">
        <w:rPr>
          <w:rFonts w:ascii="Times New Roman" w:hAnsi="Times New Roman" w:eastAsia="Times New Roman" w:cs="Times New Roman"/>
          <w:color w:val="000000"/>
          <w:sz w:val="24"/>
          <w:szCs w:val="24"/>
        </w:rPr>
        <w:t>FMV) of</w:t>
      </w:r>
      <w:r w:rsidRPr="00651FE4">
        <w:rPr>
          <w:rFonts w:ascii="Times New Roman" w:hAnsi="Times New Roman" w:eastAsia="Times New Roman" w:cs="Times New Roman"/>
          <w:sz w:val="24"/>
          <w:szCs w:val="24"/>
        </w:rPr>
        <w:t xml:space="preserve"> </w:t>
      </w:r>
      <w:r w:rsidRPr="00651FE4">
        <w:rPr>
          <w:rFonts w:ascii="Times New Roman" w:hAnsi="Times New Roman" w:eastAsia="Times New Roman" w:cs="Times New Roman"/>
          <w:color w:val="000000"/>
          <w:sz w:val="24"/>
          <w:szCs w:val="24"/>
        </w:rPr>
        <w:t>Taxable Real Estate + Assessed Value of Tangible Personal Property + Assessed</w:t>
      </w:r>
      <w:r w:rsidRPr="00651FE4">
        <w:rPr>
          <w:rFonts w:ascii="Times New Roman" w:hAnsi="Times New Roman" w:eastAsia="Times New Roman" w:cs="Times New Roman"/>
          <w:sz w:val="24"/>
          <w:szCs w:val="24"/>
        </w:rPr>
        <w:t xml:space="preserve"> </w:t>
      </w:r>
      <w:r w:rsidRPr="00651FE4">
        <w:rPr>
          <w:rFonts w:ascii="Times New Roman" w:hAnsi="Times New Roman" w:eastAsia="Times New Roman" w:cs="Times New Roman"/>
          <w:color w:val="000000"/>
          <w:sz w:val="24"/>
          <w:szCs w:val="24"/>
        </w:rPr>
        <w:t>Value of Public Service Corporations. Source: Ratio Mea</w:t>
      </w:r>
      <w:r w:rsidRPr="00651FE4">
        <w:rPr>
          <w:rFonts w:ascii="Times New Roman" w:hAnsi="Times New Roman" w:eastAsia="Times New Roman" w:cs="Times New Roman"/>
          <w:sz w:val="24"/>
          <w:szCs w:val="24"/>
        </w:rPr>
        <w:t xml:space="preserve">sure 5 from the Auditor of Public Accounts’ </w:t>
      </w:r>
      <w:r w:rsidRPr="00651FE4">
        <w:rPr>
          <w:rFonts w:ascii="Times New Roman" w:hAnsi="Times New Roman" w:eastAsia="Times New Roman" w:cs="Times New Roman"/>
          <w:i/>
          <w:sz w:val="24"/>
          <w:szCs w:val="24"/>
        </w:rPr>
        <w:t>Monitoring for Local Government Fiscal Distress</w:t>
      </w:r>
      <w:r w:rsidRPr="00651FE4">
        <w:rPr>
          <w:rFonts w:ascii="Times New Roman" w:hAnsi="Times New Roman" w:eastAsia="Times New Roman" w:cs="Times New Roman"/>
          <w:i/>
          <w:color w:val="000000"/>
          <w:sz w:val="24"/>
          <w:szCs w:val="24"/>
        </w:rPr>
        <w:t xml:space="preserve"> 2020 and 2021 Report - as of April 2022</w:t>
      </w:r>
      <w:r w:rsidRPr="00651FE4">
        <w:rPr>
          <w:rFonts w:ascii="Times New Roman" w:hAnsi="Times New Roman" w:eastAsia="Times New Roman" w:cs="Times New Roman"/>
          <w:i/>
          <w:sz w:val="24"/>
          <w:szCs w:val="24"/>
        </w:rPr>
        <w:t>):</w:t>
      </w:r>
    </w:p>
    <w:p w:rsidRPr="00651FE4" w:rsidR="00651FE4" w:rsidP="00651FE4" w:rsidRDefault="00651FE4" w14:paraId="2A093793" w14:textId="77777777">
      <w:pPr>
        <w:numPr>
          <w:ilvl w:val="0"/>
          <w:numId w:val="2"/>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10 points for a percentage greater than 6 percent</w:t>
      </w:r>
    </w:p>
    <w:p w:rsidRPr="00651FE4" w:rsidR="00651FE4" w:rsidP="00651FE4" w:rsidRDefault="00651FE4" w14:paraId="3EA5CFCE" w14:textId="77777777">
      <w:pPr>
        <w:numPr>
          <w:ilvl w:val="0"/>
          <w:numId w:val="2"/>
        </w:numPr>
        <w:pBdr>
          <w:top w:val="nil"/>
          <w:left w:val="nil"/>
          <w:bottom w:val="nil"/>
          <w:right w:val="nil"/>
          <w:between w:val="nil"/>
        </w:pBdr>
        <w:spacing w:after="0" w:line="240" w:lineRule="auto"/>
        <w:ind w:left="540" w:hanging="180"/>
        <w:rPr>
          <w:rFonts w:ascii="Times New Roman" w:hAnsi="Times New Roman" w:eastAsia="Times New Roman" w:cs="Times New Roman"/>
          <w:sz w:val="24"/>
          <w:szCs w:val="24"/>
        </w:rPr>
      </w:pPr>
      <w:r w:rsidRPr="00651FE4">
        <w:rPr>
          <w:rFonts w:ascii="Times New Roman" w:hAnsi="Times New Roman" w:eastAsia="Times New Roman" w:cs="Times New Roman"/>
          <w:sz w:val="24"/>
          <w:szCs w:val="24"/>
        </w:rPr>
        <w:t>5 points for a percentage of 3 to 6 percent</w:t>
      </w:r>
    </w:p>
    <w:p w:rsidRPr="00651FE4" w:rsidR="00104342" w:rsidP="00651FE4" w:rsidRDefault="00651FE4" w14:paraId="027309E8" w14:textId="2F496853">
      <w:pPr>
        <w:numPr>
          <w:ilvl w:val="0"/>
          <w:numId w:val="2"/>
        </w:numPr>
        <w:pBdr>
          <w:top w:val="nil"/>
          <w:left w:val="nil"/>
          <w:bottom w:val="nil"/>
          <w:right w:val="nil"/>
          <w:between w:val="nil"/>
        </w:pBdr>
        <w:spacing w:after="0" w:line="240" w:lineRule="auto"/>
        <w:ind w:left="540" w:hanging="180"/>
        <w:rPr>
          <w:rFonts w:ascii="Times New Roman" w:hAnsi="Times New Roman" w:eastAsia="Times New Roman" w:cs="Times New Roman"/>
          <w:b/>
          <w:sz w:val="20"/>
          <w:szCs w:val="20"/>
        </w:rPr>
      </w:pPr>
      <w:r w:rsidRPr="00651FE4">
        <w:rPr>
          <w:rFonts w:ascii="Times New Roman" w:hAnsi="Times New Roman" w:eastAsia="Times New Roman" w:cs="Times New Roman"/>
          <w:sz w:val="24"/>
          <w:szCs w:val="24"/>
        </w:rPr>
        <w:t>0 points for a percentage less than 3 percent</w:t>
      </w:r>
    </w:p>
    <w:sectPr w:rsidRPr="00651FE4" w:rsidR="00104342" w:rsidSect="007D51A3">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FE4" w:rsidP="00651FE4" w:rsidRDefault="00651FE4" w14:paraId="2730D895" w14:textId="77777777">
      <w:pPr>
        <w:spacing w:after="0" w:line="240" w:lineRule="auto"/>
      </w:pPr>
      <w:r>
        <w:separator/>
      </w:r>
    </w:p>
  </w:endnote>
  <w:endnote w:type="continuationSeparator" w:id="0">
    <w:p w:rsidR="00651FE4" w:rsidP="00651FE4" w:rsidRDefault="00651FE4" w14:paraId="4BDC8F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F0" w:rsidRDefault="00096E1F" w14:paraId="172D8809"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CE04F0" w:rsidRDefault="00100571" w14:paraId="48C881A2"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F0" w:rsidRDefault="00100571" w14:paraId="66395F08" w14:textId="676FAD1D">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F0" w:rsidRDefault="00100571" w14:paraId="336DB977"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FE4" w:rsidP="00651FE4" w:rsidRDefault="00651FE4" w14:paraId="0A166C67" w14:textId="77777777">
      <w:pPr>
        <w:spacing w:after="0" w:line="240" w:lineRule="auto"/>
      </w:pPr>
      <w:r>
        <w:separator/>
      </w:r>
    </w:p>
  </w:footnote>
  <w:footnote w:type="continuationSeparator" w:id="0">
    <w:p w:rsidR="00651FE4" w:rsidP="00651FE4" w:rsidRDefault="00651FE4" w14:paraId="60A13A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F0" w:rsidRDefault="00100571" w14:paraId="004195B5"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F0" w:rsidRDefault="00100571" w14:paraId="2BD147EF" w14:textId="777777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6E1F" w:rsidR="00096E1F" w:rsidRDefault="00096E1F" w14:paraId="6B58A877" w14:textId="0971F3D7">
    <w:pPr>
      <w:pStyle w:val="Header"/>
      <w:rPr>
        <w:rFonts w:ascii="Times New Roman" w:hAnsi="Times New Roman"/>
        <w:b/>
        <w:bCs/>
        <w:i/>
        <w:iCs/>
        <w:sz w:val="28"/>
        <w:szCs w:val="28"/>
      </w:rPr>
    </w:pPr>
    <w:r w:rsidRPr="00096E1F">
      <w:rPr>
        <w:rFonts w:ascii="Times New Roman" w:hAnsi="Times New Roman"/>
        <w:b/>
        <w:bCs/>
        <w:i/>
        <w:iCs/>
        <w:sz w:val="28"/>
        <w:szCs w:val="28"/>
      </w:rPr>
      <w:t xml:space="preserve">Attachment </w:t>
    </w:r>
    <w:r w:rsidR="00100571">
      <w:rPr>
        <w:rFonts w:ascii="Times New Roman" w:hAnsi="Times New Roman"/>
        <w:b/>
        <w:bCs/>
        <w:i/>
        <w:iCs/>
        <w:sz w:val="28"/>
        <w:szCs w:val="28"/>
      </w:rPr>
      <w:t>1</w:t>
    </w:r>
  </w:p>
  <w:p w:rsidR="00CE04F0" w:rsidRDefault="00100571" w14:paraId="06652B1A"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EEC"/>
    <w:multiLevelType w:val="multilevel"/>
    <w:tmpl w:val="A622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1D36"/>
    <w:multiLevelType w:val="multilevel"/>
    <w:tmpl w:val="AB7E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8132C4"/>
    <w:multiLevelType w:val="multilevel"/>
    <w:tmpl w:val="6FBC2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3B6822"/>
    <w:multiLevelType w:val="multilevel"/>
    <w:tmpl w:val="6D12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9303352">
    <w:abstractNumId w:val="0"/>
  </w:num>
  <w:num w:numId="2" w16cid:durableId="836767777">
    <w:abstractNumId w:val="1"/>
  </w:num>
  <w:num w:numId="3" w16cid:durableId="1746301541">
    <w:abstractNumId w:val="2"/>
  </w:num>
  <w:num w:numId="4" w16cid:durableId="1772235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E4"/>
    <w:rsid w:val="00096E1F"/>
    <w:rsid w:val="00100571"/>
    <w:rsid w:val="00104342"/>
    <w:rsid w:val="00651FE4"/>
    <w:rsid w:val="007D51A3"/>
    <w:rsid w:val="00A71483"/>
    <w:rsid w:val="00C9371F"/>
    <w:rsid w:val="00D72C30"/>
    <w:rsid w:val="7640A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9AF2"/>
  <w15:chartTrackingRefBased/>
  <w15:docId w15:val="{07F5A44B-2D54-4AAC-B2DB-AB4C3528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6E1F"/>
    <w:pPr>
      <w:tabs>
        <w:tab w:val="center" w:pos="4680"/>
        <w:tab w:val="right" w:pos="9360"/>
      </w:tabs>
      <w:spacing w:after="0" w:line="240" w:lineRule="auto"/>
    </w:pPr>
    <w:rPr>
      <w:rFonts w:cs="Times New Roman" w:eastAsiaTheme="minorEastAsia"/>
    </w:rPr>
  </w:style>
  <w:style w:type="character" w:styleId="HeaderChar" w:customStyle="1">
    <w:name w:val="Header Char"/>
    <w:basedOn w:val="DefaultParagraphFont"/>
    <w:link w:val="Header"/>
    <w:uiPriority w:val="99"/>
    <w:rsid w:val="00096E1F"/>
    <w:rPr>
      <w:rFonts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9c7e08cdeb0048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ca0366-0df5-4fd4-8358-0c3f0f18829e}"/>
      </w:docPartPr>
      <w:docPartBody>
        <w:p w14:paraId="7640A8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CB7E3-3A33-43B0-83EB-EB1D0BD980BB}"/>
</file>

<file path=customXml/itemProps2.xml><?xml version="1.0" encoding="utf-8"?>
<ds:datastoreItem xmlns:ds="http://schemas.openxmlformats.org/officeDocument/2006/customXml" ds:itemID="{E4BECF0A-E84C-481D-982C-2B77421CB494}"/>
</file>

<file path=customXml/itemProps3.xml><?xml version="1.0" encoding="utf-8"?>
<ds:datastoreItem xmlns:ds="http://schemas.openxmlformats.org/officeDocument/2006/customXml" ds:itemID="{87A49F43-4ABC-446D-A6C2-9E817A210C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Kent (DOE)</dc:creator>
  <cp:keywords/>
  <dc:description/>
  <cp:lastModifiedBy>Chapman, Jim (DOE)</cp:lastModifiedBy>
  <cp:revision>3</cp:revision>
  <dcterms:created xsi:type="dcterms:W3CDTF">2023-05-02T22:15:00Z</dcterms:created>
  <dcterms:modified xsi:type="dcterms:W3CDTF">2023-05-03T12:24:25Z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Approval">
    <vt:lpwstr>Approved</vt:lpwstr>
  </property>
</Properties>
</file>