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292B1173" w:rsidP="7F46D3FF" w:rsidRDefault="292B1173" w14:paraId="6A310334" w14:textId="19CC1557">
      <w:pPr>
        <w:pStyle w:val="Heading1"/>
      </w:pPr>
      <w:r w:rsidRPr="31E42715" w:rsidR="1807E72E">
        <w:rPr>
          <w:rFonts w:ascii="Times New Roman" w:hAnsi="Times New Roman" w:eastAsia="Times New Roman" w:cs="Times New Roman"/>
          <w:noProof w:val="0"/>
          <w:sz w:val="24"/>
          <w:szCs w:val="24"/>
          <w:lang w:val="en"/>
        </w:rPr>
        <w:t>Agenda Item:</w:t>
      </w:r>
      <w:r w:rsidRPr="31E42715" w:rsidR="1807E72E">
        <w:rPr>
          <w:noProof w:val="0"/>
          <w:sz w:val="24"/>
          <w:szCs w:val="24"/>
          <w:lang w:val="en"/>
        </w:rPr>
        <w:t xml:space="preserve">             </w:t>
      </w:r>
      <w:r w:rsidRPr="31E42715" w:rsidR="785400B8">
        <w:rPr>
          <w:rFonts w:ascii="Times New Roman" w:hAnsi="Times New Roman" w:eastAsia="Times New Roman" w:cs="Times New Roman"/>
          <w:noProof w:val="0"/>
          <w:sz w:val="24"/>
          <w:szCs w:val="24"/>
          <w:lang w:val="en"/>
        </w:rPr>
        <w:t>K</w:t>
      </w:r>
    </w:p>
    <w:p w:rsidR="292B1173" w:rsidP="7F46D3FF" w:rsidRDefault="292B1173" w14:paraId="09A1791D" w14:textId="55401692">
      <w:pPr>
        <w:spacing w:line="276" w:lineRule="auto"/>
        <w:ind w:left="2160" w:hanging="2160"/>
      </w:pPr>
      <w:r w:rsidRPr="7F46D3FF" w:rsidR="292B1173">
        <w:rPr>
          <w:rFonts w:ascii="Times New Roman" w:hAnsi="Times New Roman" w:eastAsia="Times New Roman" w:cs="Times New Roman"/>
          <w:b w:val="1"/>
          <w:bCs w:val="1"/>
          <w:noProof w:val="0"/>
          <w:sz w:val="24"/>
          <w:szCs w:val="24"/>
          <w:lang w:val="en"/>
        </w:rPr>
        <w:t xml:space="preserve"> </w:t>
      </w:r>
    </w:p>
    <w:p w:rsidR="292B1173" w:rsidP="7F46D3FF" w:rsidRDefault="292B1173" w14:paraId="19E0569C" w14:textId="6140BE59">
      <w:pPr>
        <w:pStyle w:val="Heading2"/>
        <w:ind w:left="2250" w:hanging="2250"/>
      </w:pPr>
      <w:r w:rsidRPr="7F46D3FF" w:rsidR="292B1173">
        <w:rPr>
          <w:rFonts w:ascii="Times New Roman" w:hAnsi="Times New Roman" w:eastAsia="Times New Roman" w:cs="Times New Roman"/>
          <w:noProof w:val="0"/>
          <w:sz w:val="24"/>
          <w:szCs w:val="24"/>
          <w:lang w:val="en"/>
        </w:rPr>
        <w:t xml:space="preserve">Date: </w:t>
      </w:r>
      <w:r>
        <w:tab/>
      </w:r>
      <w:r w:rsidRPr="7F46D3FF" w:rsidR="292B1173">
        <w:rPr>
          <w:rFonts w:ascii="Times New Roman" w:hAnsi="Times New Roman" w:eastAsia="Times New Roman" w:cs="Times New Roman"/>
          <w:noProof w:val="0"/>
          <w:sz w:val="24"/>
          <w:szCs w:val="24"/>
          <w:lang w:val="en"/>
        </w:rPr>
        <w:t>April 20, 2023</w:t>
      </w:r>
    </w:p>
    <w:p w:rsidR="292B1173" w:rsidP="7F46D3FF" w:rsidRDefault="292B1173" w14:paraId="3A7FB341" w14:textId="0CFFD75B">
      <w:pPr>
        <w:spacing w:line="276" w:lineRule="auto"/>
        <w:ind w:left="2160" w:hanging="2160"/>
      </w:pPr>
      <w:r w:rsidRPr="7F46D3FF" w:rsidR="292B1173">
        <w:rPr>
          <w:rFonts w:ascii="Times New Roman" w:hAnsi="Times New Roman" w:eastAsia="Times New Roman" w:cs="Times New Roman"/>
          <w:b w:val="1"/>
          <w:bCs w:val="1"/>
          <w:noProof w:val="0"/>
          <w:sz w:val="24"/>
          <w:szCs w:val="24"/>
          <w:lang w:val="en"/>
        </w:rPr>
        <w:t xml:space="preserve"> </w:t>
      </w:r>
    </w:p>
    <w:p w:rsidR="292B1173" w:rsidP="7F46D3FF" w:rsidRDefault="292B1173" w14:paraId="0D91FBED" w14:textId="0B8DD83E">
      <w:pPr>
        <w:pStyle w:val="Heading2"/>
        <w:ind w:left="2250" w:hanging="2250"/>
      </w:pPr>
      <w:r w:rsidRPr="115E616A" w:rsidR="292B1173">
        <w:rPr>
          <w:rFonts w:ascii="Times New Roman" w:hAnsi="Times New Roman" w:eastAsia="Times New Roman" w:cs="Times New Roman"/>
          <w:noProof w:val="0"/>
          <w:sz w:val="24"/>
          <w:szCs w:val="24"/>
          <w:lang w:val="en"/>
        </w:rPr>
        <w:t>Title:</w:t>
      </w:r>
      <w:r>
        <w:tab/>
      </w:r>
      <w:r w:rsidRPr="115E616A" w:rsidR="292B1173">
        <w:rPr>
          <w:rFonts w:ascii="Times New Roman" w:hAnsi="Times New Roman" w:eastAsia="Times New Roman" w:cs="Times New Roman"/>
          <w:noProof w:val="0"/>
          <w:sz w:val="24"/>
          <w:szCs w:val="24"/>
          <w:lang w:val="en"/>
        </w:rPr>
        <w:t>First Review of Applications from Divisions Partnering with i</w:t>
      </w:r>
      <w:r w:rsidRPr="115E616A" w:rsidR="04C73EA5">
        <w:rPr>
          <w:rFonts w:ascii="Times New Roman" w:hAnsi="Times New Roman" w:eastAsia="Times New Roman" w:cs="Times New Roman"/>
          <w:noProof w:val="0"/>
          <w:sz w:val="24"/>
          <w:szCs w:val="24"/>
          <w:lang w:val="en"/>
        </w:rPr>
        <w:t>t</w:t>
      </w:r>
      <w:r w:rsidRPr="115E616A" w:rsidR="292B1173">
        <w:rPr>
          <w:rFonts w:ascii="Times New Roman" w:hAnsi="Times New Roman" w:eastAsia="Times New Roman" w:cs="Times New Roman"/>
          <w:noProof w:val="0"/>
          <w:sz w:val="24"/>
          <w:szCs w:val="24"/>
          <w:lang w:val="en"/>
        </w:rPr>
        <w:t>each to Provide an Alternate Route to Licensure and Endorsements Pursuant to House Bill 2486 of the 2019 Virginia General Assembly</w:t>
      </w:r>
    </w:p>
    <w:p w:rsidR="292B1173" w:rsidP="7F46D3FF" w:rsidRDefault="292B1173" w14:paraId="73E2E643" w14:textId="207B21DB">
      <w:pPr>
        <w:pStyle w:val="Heading2"/>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7B81F515" w14:textId="6ED6C38B">
      <w:pPr>
        <w:pStyle w:val="Heading2"/>
        <w:ind w:left="2250" w:hanging="2250"/>
      </w:pPr>
      <w:r w:rsidRPr="7F46D3FF" w:rsidR="292B1173">
        <w:rPr>
          <w:rFonts w:ascii="Times New Roman" w:hAnsi="Times New Roman" w:eastAsia="Times New Roman" w:cs="Times New Roman"/>
          <w:noProof w:val="0"/>
          <w:sz w:val="24"/>
          <w:szCs w:val="24"/>
          <w:lang w:val="en"/>
        </w:rPr>
        <w:t xml:space="preserve">Presenter: </w:t>
      </w:r>
      <w:r>
        <w:tab/>
      </w:r>
      <w:r w:rsidRPr="7F46D3FF" w:rsidR="292B1173">
        <w:rPr>
          <w:rFonts w:ascii="Times New Roman" w:hAnsi="Times New Roman" w:eastAsia="Times New Roman" w:cs="Times New Roman"/>
          <w:noProof w:val="0"/>
          <w:sz w:val="24"/>
          <w:szCs w:val="24"/>
          <w:lang w:val="en"/>
        </w:rPr>
        <w:t>Joan B. Johnson, Assistant Superintendent of Teacher Education and Licensure</w:t>
      </w:r>
    </w:p>
    <w:p w:rsidR="292B1173" w:rsidP="7F46D3FF" w:rsidRDefault="292B1173" w14:paraId="16596400" w14:textId="288CBA1C">
      <w:pPr>
        <w:pStyle w:val="Heading2"/>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4A0869CF" w14:textId="7C78009E">
      <w:pPr>
        <w:pStyle w:val="Heading2"/>
      </w:pPr>
      <w:r w:rsidRPr="31E42715" w:rsidR="1807E72E">
        <w:rPr>
          <w:rFonts w:ascii="Times New Roman" w:hAnsi="Times New Roman" w:eastAsia="Times New Roman" w:cs="Times New Roman"/>
          <w:noProof w:val="0"/>
          <w:sz w:val="24"/>
          <w:szCs w:val="24"/>
          <w:lang w:val="en"/>
        </w:rPr>
        <w:t xml:space="preserve">Email: </w:t>
      </w:r>
      <w:r>
        <w:tab/>
      </w:r>
      <w:r>
        <w:tab/>
      </w:r>
      <w:r w:rsidRPr="31E42715" w:rsidR="2AAC8084">
        <w:rPr>
          <w:rFonts w:ascii="Times New Roman" w:hAnsi="Times New Roman" w:eastAsia="Times New Roman" w:cs="Times New Roman"/>
          <w:noProof w:val="0"/>
          <w:sz w:val="24"/>
          <w:szCs w:val="24"/>
          <w:lang w:val="en"/>
        </w:rPr>
        <w:t xml:space="preserve"> </w:t>
      </w:r>
      <w:hyperlink r:id="R9d03d7cfac7e48e2">
        <w:r w:rsidRPr="31E42715" w:rsidR="1807E72E">
          <w:rPr>
            <w:rStyle w:val="Hyperlink"/>
            <w:rFonts w:ascii="Times New Roman" w:hAnsi="Times New Roman" w:eastAsia="Times New Roman" w:cs="Times New Roman"/>
            <w:noProof w:val="0"/>
            <w:sz w:val="24"/>
            <w:szCs w:val="24"/>
            <w:lang w:val="en"/>
          </w:rPr>
          <w:t>Joan.Johnson@doe.v</w:t>
        </w:r>
      </w:hyperlink>
      <w:hyperlink r:id="R253e8892ae444bb1">
        <w:r w:rsidRPr="31E42715" w:rsidR="1807E72E">
          <w:rPr>
            <w:rStyle w:val="Hyperlink"/>
            <w:rFonts w:ascii="Times New Roman" w:hAnsi="Times New Roman" w:eastAsia="Times New Roman" w:cs="Times New Roman"/>
            <w:strike w:val="0"/>
            <w:dstrike w:val="0"/>
            <w:noProof w:val="0"/>
            <w:sz w:val="24"/>
            <w:szCs w:val="24"/>
            <w:lang w:val="en"/>
          </w:rPr>
          <w:t>irginia.gov</w:t>
        </w:r>
      </w:hyperlink>
      <w:r w:rsidRPr="31E42715" w:rsidR="1807E72E">
        <w:rPr>
          <w:rFonts w:ascii="Times New Roman" w:hAnsi="Times New Roman" w:eastAsia="Times New Roman" w:cs="Times New Roman"/>
          <w:b w:val="0"/>
          <w:bCs w:val="0"/>
          <w:noProof w:val="0"/>
          <w:color w:val="000000" w:themeColor="text1" w:themeTint="FF" w:themeShade="FF"/>
          <w:sz w:val="24"/>
          <w:szCs w:val="24"/>
          <w:lang w:val="en"/>
        </w:rPr>
        <w:t xml:space="preserve"> </w:t>
      </w:r>
      <w:r>
        <w:tab/>
      </w:r>
      <w:r>
        <w:tab/>
      </w:r>
      <w:r w:rsidRPr="31E42715" w:rsidR="1807E72E">
        <w:rPr>
          <w:rFonts w:ascii="Times New Roman" w:hAnsi="Times New Roman" w:eastAsia="Times New Roman" w:cs="Times New Roman"/>
          <w:noProof w:val="0"/>
          <w:sz w:val="24"/>
          <w:szCs w:val="24"/>
          <w:lang w:val="en"/>
        </w:rPr>
        <w:t>Phone:  804-371-2522</w:t>
      </w:r>
    </w:p>
    <w:p w:rsidR="292B1173" w:rsidP="7F46D3FF" w:rsidRDefault="292B1173" w14:paraId="00FF9B71" w14:textId="644742F4">
      <w:pPr>
        <w:spacing w:line="276" w:lineRule="auto"/>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0CEAE319" w14:textId="1E339E8B">
      <w:pPr>
        <w:pStyle w:val="Heading2"/>
      </w:pPr>
      <w:r w:rsidRPr="7F46D3FF" w:rsidR="292B1173">
        <w:rPr>
          <w:rFonts w:ascii="Times New Roman" w:hAnsi="Times New Roman" w:eastAsia="Times New Roman" w:cs="Times New Roman"/>
          <w:noProof w:val="0"/>
          <w:sz w:val="24"/>
          <w:szCs w:val="24"/>
          <w:lang w:val="en"/>
        </w:rPr>
        <w:t xml:space="preserve">Purpose of Presentation: </w:t>
      </w:r>
    </w:p>
    <w:p w:rsidR="292B1173" w:rsidP="7F46D3FF" w:rsidRDefault="292B1173" w14:paraId="622A19A3" w14:textId="634D23F4">
      <w:pPr>
        <w:spacing w:line="276" w:lineRule="auto"/>
      </w:pPr>
      <w:r w:rsidRPr="7F46D3FF" w:rsidR="292B1173">
        <w:rPr>
          <w:rFonts w:ascii="Times New Roman" w:hAnsi="Times New Roman" w:eastAsia="Times New Roman" w:cs="Times New Roman"/>
          <w:noProof w:val="0"/>
          <w:sz w:val="24"/>
          <w:szCs w:val="24"/>
          <w:lang w:val="en"/>
        </w:rPr>
        <w:t>Action required by state or federal law or regulation.</w:t>
      </w:r>
    </w:p>
    <w:p w:rsidR="292B1173" w:rsidP="7F46D3FF" w:rsidRDefault="292B1173" w14:paraId="0285E68E" w14:textId="27A481D3">
      <w:pPr>
        <w:spacing w:line="276" w:lineRule="auto"/>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2EAA49CA" w14:textId="3947D07C">
      <w:pPr>
        <w:pStyle w:val="Heading2"/>
      </w:pPr>
      <w:r w:rsidRPr="7F46D3FF" w:rsidR="292B1173">
        <w:rPr>
          <w:rFonts w:ascii="Times New Roman" w:hAnsi="Times New Roman" w:eastAsia="Times New Roman" w:cs="Times New Roman"/>
          <w:noProof w:val="0"/>
          <w:sz w:val="24"/>
          <w:szCs w:val="24"/>
          <w:lang w:val="en"/>
        </w:rPr>
        <w:t xml:space="preserve">Executive Summary: </w:t>
      </w:r>
    </w:p>
    <w:p w:rsidR="292B1173" w:rsidRDefault="292B1173" w14:paraId="25530663" w14:textId="797098DC">
      <w:r w:rsidRPr="7F46D3FF" w:rsidR="292B1173">
        <w:rPr>
          <w:rFonts w:ascii="Times New Roman" w:hAnsi="Times New Roman" w:eastAsia="Times New Roman" w:cs="Times New Roman"/>
          <w:noProof w:val="0"/>
          <w:sz w:val="24"/>
          <w:szCs w:val="24"/>
          <w:lang w:val="en"/>
        </w:rPr>
        <w:t xml:space="preserve">On November 14, 2019, the Virginia Board of Education (Board) approved proposed </w:t>
      </w:r>
      <w:r w:rsidRPr="7F46D3FF" w:rsidR="292B1173">
        <w:rPr>
          <w:rFonts w:ascii="Times New Roman" w:hAnsi="Times New Roman" w:eastAsia="Times New Roman" w:cs="Times New Roman"/>
          <w:i w:val="1"/>
          <w:iCs w:val="1"/>
          <w:noProof w:val="0"/>
          <w:sz w:val="24"/>
          <w:szCs w:val="24"/>
          <w:lang w:val="en"/>
        </w:rPr>
        <w:t>Guidelines for Alternate Routes to Licensure in Response to House Bill 2486 of the 2019 Virginia General Assembly</w:t>
      </w:r>
      <w:r w:rsidRPr="7F46D3FF" w:rsidR="292B1173">
        <w:rPr>
          <w:rFonts w:ascii="Times New Roman" w:hAnsi="Times New Roman" w:eastAsia="Times New Roman" w:cs="Times New Roman"/>
          <w:noProof w:val="0"/>
          <w:sz w:val="24"/>
          <w:szCs w:val="24"/>
          <w:lang w:val="en"/>
        </w:rPr>
        <w:t xml:space="preserve"> (</w:t>
      </w:r>
      <w:r w:rsidRPr="7F46D3FF" w:rsidR="292B1173">
        <w:rPr>
          <w:rFonts w:ascii="Times New Roman" w:hAnsi="Times New Roman" w:eastAsia="Times New Roman" w:cs="Times New Roman"/>
          <w:i w:val="1"/>
          <w:iCs w:val="1"/>
          <w:noProof w:val="0"/>
          <w:sz w:val="24"/>
          <w:szCs w:val="24"/>
          <w:lang w:val="en"/>
        </w:rPr>
        <w:t>Guidelines</w:t>
      </w:r>
      <w:r w:rsidRPr="7F46D3FF" w:rsidR="292B1173">
        <w:rPr>
          <w:rFonts w:ascii="Times New Roman" w:hAnsi="Times New Roman" w:eastAsia="Times New Roman" w:cs="Times New Roman"/>
          <w:noProof w:val="0"/>
          <w:sz w:val="24"/>
          <w:szCs w:val="24"/>
          <w:lang w:val="en"/>
        </w:rPr>
        <w:t xml:space="preserve">). </w:t>
      </w:r>
      <w:hyperlink r:id="Ra7143182b9ec42d6">
        <w:r w:rsidRPr="7F46D3FF" w:rsidR="292B1173">
          <w:rPr>
            <w:rStyle w:val="Hyperlink"/>
            <w:rFonts w:ascii="Times New Roman" w:hAnsi="Times New Roman" w:eastAsia="Times New Roman" w:cs="Times New Roman"/>
            <w:strike w:val="0"/>
            <w:dstrike w:val="0"/>
            <w:noProof w:val="0"/>
            <w:sz w:val="24"/>
            <w:szCs w:val="24"/>
            <w:lang w:val="en"/>
          </w:rPr>
          <w:t>HB2486 (2019)</w:t>
        </w:r>
      </w:hyperlink>
      <w:r w:rsidRPr="7F46D3FF" w:rsidR="292B1173">
        <w:rPr>
          <w:rFonts w:ascii="Times New Roman" w:hAnsi="Times New Roman" w:eastAsia="Times New Roman" w:cs="Times New Roman"/>
          <w:noProof w:val="0"/>
          <w:sz w:val="24"/>
          <w:szCs w:val="24"/>
          <w:lang w:val="en"/>
        </w:rPr>
        <w:t xml:space="preserve"> required, in part, the following:</w:t>
      </w:r>
      <w:r w:rsidRPr="7F46D3FF" w:rsidR="292B1173">
        <w:rPr>
          <w:rFonts w:ascii="Times New Roman" w:hAnsi="Times New Roman" w:eastAsia="Times New Roman" w:cs="Times New Roman"/>
          <w:noProof w:val="0"/>
          <w:sz w:val="24"/>
          <w:szCs w:val="24"/>
          <w:lang w:val="en-US"/>
        </w:rPr>
        <w:t xml:space="preserve"> </w:t>
      </w:r>
    </w:p>
    <w:p w:rsidR="292B1173" w:rsidRDefault="292B1173" w14:paraId="2470F801" w14:textId="493DE853">
      <w:r w:rsidRPr="7F46D3FF" w:rsidR="292B1173">
        <w:rPr>
          <w:rFonts w:ascii="Times New Roman" w:hAnsi="Times New Roman" w:eastAsia="Times New Roman" w:cs="Times New Roman"/>
          <w:noProof w:val="0"/>
          <w:sz w:val="24"/>
          <w:szCs w:val="24"/>
          <w:lang w:val="en-US"/>
        </w:rPr>
        <w:t xml:space="preserve"> </w:t>
      </w:r>
    </w:p>
    <w:p w:rsidR="292B1173" w:rsidRDefault="292B1173" w14:paraId="29132C14" w14:textId="6D3E92B3">
      <w:r w:rsidRPr="7F46D3FF" w:rsidR="292B1173">
        <w:rPr>
          <w:rFonts w:ascii="Times New Roman" w:hAnsi="Times New Roman" w:eastAsia="Times New Roman" w:cs="Times New Roman"/>
          <w:noProof w:val="0"/>
          <w:sz w:val="24"/>
          <w:szCs w:val="24"/>
          <w:lang w:val="en"/>
        </w:rPr>
        <w:t xml:space="preserve">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r w:rsidRPr="7F46D3FF" w:rsidR="292B1173">
        <w:rPr>
          <w:rFonts w:ascii="Times New Roman" w:hAnsi="Times New Roman" w:eastAsia="Times New Roman" w:cs="Times New Roman"/>
          <w:noProof w:val="0"/>
          <w:sz w:val="24"/>
          <w:szCs w:val="24"/>
          <w:lang w:val="en-US"/>
        </w:rPr>
        <w:t xml:space="preserve"> </w:t>
      </w:r>
    </w:p>
    <w:p w:rsidR="292B1173" w:rsidRDefault="292B1173" w14:paraId="56E830ED" w14:textId="4377EEC9">
      <w:r w:rsidRPr="7F46D3FF" w:rsidR="292B1173">
        <w:rPr>
          <w:rFonts w:ascii="Times New Roman" w:hAnsi="Times New Roman" w:eastAsia="Times New Roman" w:cs="Times New Roman"/>
          <w:noProof w:val="0"/>
          <w:sz w:val="24"/>
          <w:szCs w:val="24"/>
          <w:lang w:val="en-US"/>
        </w:rPr>
        <w:t xml:space="preserve"> </w:t>
      </w:r>
    </w:p>
    <w:p w:rsidR="292B1173" w:rsidRDefault="292B1173" w14:paraId="63492D26" w14:textId="3C91B4E3">
      <w:r w:rsidRPr="115E616A" w:rsidR="292B1173">
        <w:rPr>
          <w:rFonts w:ascii="Times New Roman" w:hAnsi="Times New Roman" w:eastAsia="Times New Roman" w:cs="Times New Roman"/>
          <w:noProof w:val="0"/>
          <w:sz w:val="24"/>
          <w:szCs w:val="24"/>
          <w:lang w:val="en"/>
        </w:rPr>
        <w:t xml:space="preserve">The </w:t>
      </w:r>
      <w:r w:rsidRPr="115E616A" w:rsidR="292B1173">
        <w:rPr>
          <w:rFonts w:ascii="Times New Roman" w:hAnsi="Times New Roman" w:eastAsia="Times New Roman" w:cs="Times New Roman"/>
          <w:i w:val="1"/>
          <w:iCs w:val="1"/>
          <w:noProof w:val="0"/>
          <w:sz w:val="24"/>
          <w:szCs w:val="24"/>
          <w:lang w:val="en"/>
        </w:rPr>
        <w:t>Guidelines</w:t>
      </w:r>
      <w:r w:rsidRPr="115E616A" w:rsidR="292B1173">
        <w:rPr>
          <w:rFonts w:ascii="Times New Roman" w:hAnsi="Times New Roman" w:eastAsia="Times New Roman" w:cs="Times New Roman"/>
          <w:noProof w:val="0"/>
          <w:sz w:val="24"/>
          <w:szCs w:val="24"/>
          <w:lang w:val="en"/>
        </w:rPr>
        <w:t xml:space="preserve"> became effective on January 23, 2020, after the 30-day public comment period.</w:t>
      </w:r>
      <w:r w:rsidRPr="115E616A" w:rsidR="292B1173">
        <w:rPr>
          <w:rFonts w:ascii="Times New Roman" w:hAnsi="Times New Roman" w:eastAsia="Times New Roman" w:cs="Times New Roman"/>
          <w:noProof w:val="0"/>
          <w:sz w:val="24"/>
          <w:szCs w:val="24"/>
          <w:lang w:val="en-US"/>
        </w:rPr>
        <w:t xml:space="preserve"> Pursuant to the </w:t>
      </w:r>
      <w:r w:rsidRPr="115E616A" w:rsidR="292B1173">
        <w:rPr>
          <w:rFonts w:ascii="Times New Roman" w:hAnsi="Times New Roman" w:eastAsia="Times New Roman" w:cs="Times New Roman"/>
          <w:i w:val="1"/>
          <w:iCs w:val="1"/>
          <w:noProof w:val="0"/>
          <w:sz w:val="24"/>
          <w:szCs w:val="24"/>
          <w:lang w:val="en-US"/>
        </w:rPr>
        <w:t>Guidelines</w:t>
      </w:r>
      <w:r w:rsidRPr="115E616A" w:rsidR="292B1173">
        <w:rPr>
          <w:rFonts w:ascii="Times New Roman" w:hAnsi="Times New Roman" w:eastAsia="Times New Roman" w:cs="Times New Roman"/>
          <w:noProof w:val="0"/>
          <w:sz w:val="24"/>
          <w:szCs w:val="24"/>
          <w:lang w:val="en-US"/>
        </w:rPr>
        <w:t>, the following school divisions have applied for an alternate route to licensure partnering with i</w:t>
      </w:r>
      <w:r w:rsidRPr="115E616A" w:rsidR="574B9B76">
        <w:rPr>
          <w:rFonts w:ascii="Times New Roman" w:hAnsi="Times New Roman" w:eastAsia="Times New Roman" w:cs="Times New Roman"/>
          <w:noProof w:val="0"/>
          <w:sz w:val="24"/>
          <w:szCs w:val="24"/>
          <w:lang w:val="en-US"/>
        </w:rPr>
        <w:t>t</w:t>
      </w:r>
      <w:r w:rsidRPr="115E616A" w:rsidR="292B1173">
        <w:rPr>
          <w:rFonts w:ascii="Times New Roman" w:hAnsi="Times New Roman" w:eastAsia="Times New Roman" w:cs="Times New Roman"/>
          <w:noProof w:val="0"/>
          <w:sz w:val="24"/>
          <w:szCs w:val="24"/>
          <w:lang w:val="en-US"/>
        </w:rPr>
        <w:t>eachUS:</w:t>
      </w:r>
    </w:p>
    <w:p w:rsidR="292B1173" w:rsidRDefault="292B1173" w14:paraId="5198E86A" w14:textId="6CC66F6E">
      <w:r w:rsidRPr="115E616A" w:rsidR="292B1173">
        <w:rPr>
          <w:rFonts w:ascii="Times New Roman" w:hAnsi="Times New Roman" w:eastAsia="Times New Roman" w:cs="Times New Roman"/>
          <w:noProof w:val="0"/>
          <w:sz w:val="24"/>
          <w:szCs w:val="24"/>
          <w:lang w:val="en-US"/>
        </w:rPr>
        <w:t xml:space="preserve"> </w:t>
      </w:r>
    </w:p>
    <w:p w:rsidR="292B1173" w:rsidRDefault="292B1173" w14:paraId="7A4CB148" w14:textId="0D98CBBC">
      <w:r w:rsidRPr="7F46D3FF" w:rsidR="292B1173">
        <w:rPr>
          <w:rFonts w:ascii="Times New Roman" w:hAnsi="Times New Roman" w:eastAsia="Times New Roman" w:cs="Times New Roman"/>
          <w:noProof w:val="0"/>
          <w:sz w:val="24"/>
          <w:szCs w:val="24"/>
          <w:lang w:val="en-US"/>
        </w:rPr>
        <w:t>Bedford County Public Schools</w:t>
      </w:r>
    </w:p>
    <w:p w:rsidR="292B1173" w:rsidRDefault="292B1173" w14:paraId="580DD55B" w14:textId="76FEA045">
      <w:r w:rsidRPr="7F46D3FF" w:rsidR="292B1173">
        <w:rPr>
          <w:rFonts w:ascii="Times New Roman" w:hAnsi="Times New Roman" w:eastAsia="Times New Roman" w:cs="Times New Roman"/>
          <w:noProof w:val="0"/>
          <w:sz w:val="24"/>
          <w:szCs w:val="24"/>
          <w:lang w:val="en-US"/>
        </w:rPr>
        <w:t>Chesapeake City Public Schools</w:t>
      </w:r>
    </w:p>
    <w:p w:rsidR="292B1173" w:rsidRDefault="292B1173" w14:paraId="5A0AD016" w14:textId="3408B2BE">
      <w:r w:rsidRPr="7F46D3FF" w:rsidR="292B1173">
        <w:rPr>
          <w:rFonts w:ascii="Times New Roman" w:hAnsi="Times New Roman" w:eastAsia="Times New Roman" w:cs="Times New Roman"/>
          <w:noProof w:val="0"/>
          <w:sz w:val="24"/>
          <w:szCs w:val="24"/>
          <w:lang w:val="en-US"/>
        </w:rPr>
        <w:t>Chesterfield County Public Schools</w:t>
      </w:r>
    </w:p>
    <w:p w:rsidR="292B1173" w:rsidRDefault="292B1173" w14:paraId="6F48F71F" w14:textId="50D0AC64">
      <w:r w:rsidRPr="7F46D3FF" w:rsidR="292B1173">
        <w:rPr>
          <w:rFonts w:ascii="Times New Roman" w:hAnsi="Times New Roman" w:eastAsia="Times New Roman" w:cs="Times New Roman"/>
          <w:noProof w:val="0"/>
          <w:sz w:val="24"/>
          <w:szCs w:val="24"/>
          <w:lang w:val="en-US"/>
        </w:rPr>
        <w:t>Fairfax County Public Schools</w:t>
      </w:r>
    </w:p>
    <w:p w:rsidR="292B1173" w:rsidRDefault="292B1173" w14:paraId="4ECE25CA" w14:textId="4AF6ABC6">
      <w:r w:rsidRPr="7F46D3FF" w:rsidR="292B1173">
        <w:rPr>
          <w:rFonts w:ascii="Times New Roman" w:hAnsi="Times New Roman" w:eastAsia="Times New Roman" w:cs="Times New Roman"/>
          <w:noProof w:val="0"/>
          <w:sz w:val="24"/>
          <w:szCs w:val="24"/>
          <w:lang w:val="en-US"/>
        </w:rPr>
        <w:t>Hampton City Public Schools</w:t>
      </w:r>
    </w:p>
    <w:p w:rsidR="292B1173" w:rsidRDefault="292B1173" w14:paraId="3F2078F9" w14:textId="3158103F">
      <w:r w:rsidRPr="7F46D3FF" w:rsidR="292B1173">
        <w:rPr>
          <w:rFonts w:ascii="Times New Roman" w:hAnsi="Times New Roman" w:eastAsia="Times New Roman" w:cs="Times New Roman"/>
          <w:noProof w:val="0"/>
          <w:sz w:val="24"/>
          <w:szCs w:val="24"/>
          <w:lang w:val="en-US"/>
        </w:rPr>
        <w:t>Botetourt County Public Schools</w:t>
      </w:r>
    </w:p>
    <w:p w:rsidR="292B1173" w:rsidRDefault="292B1173" w14:paraId="1A37CD75" w14:textId="74880824">
      <w:r w:rsidRPr="7F46D3FF" w:rsidR="292B1173">
        <w:rPr>
          <w:rFonts w:ascii="Times New Roman" w:hAnsi="Times New Roman" w:eastAsia="Times New Roman" w:cs="Times New Roman"/>
          <w:noProof w:val="0"/>
          <w:sz w:val="24"/>
          <w:szCs w:val="24"/>
          <w:lang w:val="en-US"/>
        </w:rPr>
        <w:t>Charles City Public Schools</w:t>
      </w:r>
    </w:p>
    <w:p w:rsidR="292B1173" w:rsidRDefault="292B1173" w14:paraId="2B145076" w14:textId="754680D7">
      <w:r w:rsidRPr="7F46D3FF" w:rsidR="292B1173">
        <w:rPr>
          <w:rFonts w:ascii="Times New Roman" w:hAnsi="Times New Roman" w:eastAsia="Times New Roman" w:cs="Times New Roman"/>
          <w:noProof w:val="0"/>
          <w:sz w:val="24"/>
          <w:szCs w:val="24"/>
          <w:lang w:val="en-US"/>
        </w:rPr>
        <w:t>Essex County Public Schools</w:t>
      </w:r>
    </w:p>
    <w:p w:rsidR="292B1173" w:rsidRDefault="292B1173" w14:paraId="32236147" w14:textId="3F1DF16C">
      <w:r w:rsidRPr="7F46D3FF" w:rsidR="292B1173">
        <w:rPr>
          <w:rFonts w:ascii="Times New Roman" w:hAnsi="Times New Roman" w:eastAsia="Times New Roman" w:cs="Times New Roman"/>
          <w:noProof w:val="0"/>
          <w:sz w:val="24"/>
          <w:szCs w:val="24"/>
          <w:lang w:val="en-US"/>
        </w:rPr>
        <w:t>Greensville County Public Schools</w:t>
      </w:r>
    </w:p>
    <w:p w:rsidR="292B1173" w:rsidRDefault="292B1173" w14:paraId="0053CAC6" w14:textId="57C4C8F2">
      <w:r w:rsidRPr="7F46D3FF" w:rsidR="292B1173">
        <w:rPr>
          <w:rFonts w:ascii="Times New Roman" w:hAnsi="Times New Roman" w:eastAsia="Times New Roman" w:cs="Times New Roman"/>
          <w:noProof w:val="0"/>
          <w:sz w:val="24"/>
          <w:szCs w:val="24"/>
          <w:lang w:val="en-US"/>
        </w:rPr>
        <w:t>Middlesex County Public Schools</w:t>
      </w:r>
    </w:p>
    <w:p w:rsidR="292B1173" w:rsidRDefault="292B1173" w14:paraId="29058715" w14:textId="4816379F">
      <w:r w:rsidRPr="7F46D3FF" w:rsidR="292B1173">
        <w:rPr>
          <w:rFonts w:ascii="Times New Roman" w:hAnsi="Times New Roman" w:eastAsia="Times New Roman" w:cs="Times New Roman"/>
          <w:noProof w:val="0"/>
          <w:sz w:val="24"/>
          <w:szCs w:val="24"/>
          <w:lang w:val="en-US"/>
        </w:rPr>
        <w:t>Newport News City Public Schools</w:t>
      </w:r>
    </w:p>
    <w:p w:rsidR="292B1173" w:rsidRDefault="292B1173" w14:paraId="2ADA4D51" w14:textId="1267F902">
      <w:r w:rsidRPr="7F46D3FF" w:rsidR="292B1173">
        <w:rPr>
          <w:rFonts w:ascii="Times New Roman" w:hAnsi="Times New Roman" w:eastAsia="Times New Roman" w:cs="Times New Roman"/>
          <w:noProof w:val="0"/>
          <w:sz w:val="24"/>
          <w:szCs w:val="24"/>
          <w:lang w:val="en-US"/>
        </w:rPr>
        <w:t>Powhatan County Public Schools</w:t>
      </w:r>
    </w:p>
    <w:p w:rsidR="292B1173" w:rsidRDefault="292B1173" w14:paraId="2CFFF0E2" w14:textId="5BA38E82">
      <w:r w:rsidRPr="7F46D3FF" w:rsidR="292B1173">
        <w:rPr>
          <w:rFonts w:ascii="Times New Roman" w:hAnsi="Times New Roman" w:eastAsia="Times New Roman" w:cs="Times New Roman"/>
          <w:noProof w:val="0"/>
          <w:sz w:val="24"/>
          <w:szCs w:val="24"/>
          <w:lang w:val="en-US"/>
        </w:rPr>
        <w:t>Prince George County Public Schools</w:t>
      </w:r>
    </w:p>
    <w:p w:rsidR="292B1173" w:rsidRDefault="292B1173" w14:paraId="4A7EE9DC" w14:textId="4CCAF638">
      <w:r w:rsidRPr="7F46D3FF" w:rsidR="292B1173">
        <w:rPr>
          <w:rFonts w:ascii="Times New Roman" w:hAnsi="Times New Roman" w:eastAsia="Times New Roman" w:cs="Times New Roman"/>
          <w:noProof w:val="0"/>
          <w:sz w:val="24"/>
          <w:szCs w:val="24"/>
          <w:lang w:val="en-US"/>
        </w:rPr>
        <w:t>Roanoke County Public Schools</w:t>
      </w:r>
    </w:p>
    <w:p w:rsidR="292B1173" w:rsidRDefault="292B1173" w14:paraId="07E80D0D" w14:textId="43C0EEDE">
      <w:r w:rsidRPr="7F46D3FF" w:rsidR="292B1173">
        <w:rPr>
          <w:rFonts w:ascii="Times New Roman" w:hAnsi="Times New Roman" w:eastAsia="Times New Roman" w:cs="Times New Roman"/>
          <w:noProof w:val="0"/>
          <w:sz w:val="24"/>
          <w:szCs w:val="24"/>
          <w:lang w:val="en-US"/>
        </w:rPr>
        <w:t>Shenandoah County Public Schools</w:t>
      </w:r>
    </w:p>
    <w:p w:rsidR="292B1173" w:rsidRDefault="292B1173" w14:paraId="17C64DC1" w14:textId="125B6D3E">
      <w:r w:rsidRPr="7F46D3FF" w:rsidR="292B1173">
        <w:rPr>
          <w:rFonts w:ascii="Times New Roman" w:hAnsi="Times New Roman" w:eastAsia="Times New Roman" w:cs="Times New Roman"/>
          <w:noProof w:val="0"/>
          <w:sz w:val="24"/>
          <w:szCs w:val="24"/>
          <w:lang w:val="en-US"/>
        </w:rPr>
        <w:t>Arlington County Public Schools</w:t>
      </w:r>
    </w:p>
    <w:p w:rsidR="292B1173" w:rsidRDefault="292B1173" w14:paraId="75E21D0B" w14:textId="37ED2B29">
      <w:r w:rsidRPr="7F46D3FF" w:rsidR="292B1173">
        <w:rPr>
          <w:rFonts w:ascii="Times New Roman" w:hAnsi="Times New Roman" w:eastAsia="Times New Roman" w:cs="Times New Roman"/>
          <w:noProof w:val="0"/>
          <w:sz w:val="24"/>
          <w:szCs w:val="24"/>
          <w:lang w:val="en-US"/>
        </w:rPr>
        <w:t>Dinwiddie County Public Schools</w:t>
      </w:r>
    </w:p>
    <w:p w:rsidR="292B1173" w:rsidRDefault="292B1173" w14:paraId="3CD49663" w14:textId="404085D3">
      <w:r w:rsidRPr="7F46D3FF" w:rsidR="292B1173">
        <w:rPr>
          <w:rFonts w:ascii="Times New Roman" w:hAnsi="Times New Roman" w:eastAsia="Times New Roman" w:cs="Times New Roman"/>
          <w:noProof w:val="0"/>
          <w:sz w:val="24"/>
          <w:szCs w:val="24"/>
          <w:lang w:val="en-US"/>
        </w:rPr>
        <w:t>Henry County Public Schools</w:t>
      </w:r>
    </w:p>
    <w:p w:rsidR="292B1173" w:rsidRDefault="292B1173" w14:paraId="1DD3D652" w14:textId="632FC80E">
      <w:r w:rsidRPr="7F46D3FF" w:rsidR="292B1173">
        <w:rPr>
          <w:rFonts w:ascii="Times New Roman" w:hAnsi="Times New Roman" w:eastAsia="Times New Roman" w:cs="Times New Roman"/>
          <w:noProof w:val="0"/>
          <w:sz w:val="24"/>
          <w:szCs w:val="24"/>
          <w:lang w:val="en-US"/>
        </w:rPr>
        <w:t>Mathews County Public Schools</w:t>
      </w:r>
    </w:p>
    <w:p w:rsidR="292B1173" w:rsidRDefault="292B1173" w14:paraId="4A03442F" w14:textId="639550A8">
      <w:r w:rsidRPr="7F46D3FF" w:rsidR="292B1173">
        <w:rPr>
          <w:rFonts w:ascii="Times New Roman" w:hAnsi="Times New Roman" w:eastAsia="Times New Roman" w:cs="Times New Roman"/>
          <w:noProof w:val="0"/>
          <w:sz w:val="24"/>
          <w:szCs w:val="24"/>
          <w:lang w:val="en-US"/>
        </w:rPr>
        <w:t>Sussex County Public Schools</w:t>
      </w:r>
    </w:p>
    <w:p w:rsidR="292B1173" w:rsidRDefault="292B1173" w14:paraId="582F20F7" w14:textId="18B45451">
      <w:r w:rsidRPr="7F46D3FF" w:rsidR="292B1173">
        <w:rPr>
          <w:rFonts w:ascii="Times New Roman" w:hAnsi="Times New Roman" w:eastAsia="Times New Roman" w:cs="Times New Roman"/>
          <w:noProof w:val="0"/>
          <w:sz w:val="24"/>
          <w:szCs w:val="24"/>
          <w:lang w:val="en-US"/>
        </w:rPr>
        <w:t>Westmoreland County Public Schools</w:t>
      </w:r>
    </w:p>
    <w:p w:rsidR="292B1173" w:rsidP="7F46D3FF" w:rsidRDefault="292B1173" w14:paraId="12E9A26B" w14:textId="6CCD78D8">
      <w:pPr>
        <w:spacing w:line="276" w:lineRule="auto"/>
      </w:pPr>
    </w:p>
    <w:p w:rsidR="292B1173" w:rsidP="7F46D3FF" w:rsidRDefault="292B1173" w14:paraId="6E2A9704" w14:textId="02C59433">
      <w:pPr>
        <w:spacing w:line="276" w:lineRule="auto"/>
      </w:pPr>
      <w:proofErr w:type="spellStart"/>
      <w:r w:rsidRPr="31E42715" w:rsidR="1807E72E">
        <w:rPr>
          <w:rFonts w:ascii="Times New Roman" w:hAnsi="Times New Roman" w:eastAsia="Times New Roman" w:cs="Times New Roman"/>
          <w:noProof w:val="0"/>
          <w:sz w:val="24"/>
          <w:szCs w:val="24"/>
          <w:lang w:val="en"/>
        </w:rPr>
        <w:t>i</w:t>
      </w:r>
      <w:r w:rsidRPr="31E42715" w:rsidR="2A2A6639">
        <w:rPr>
          <w:rFonts w:ascii="Times New Roman" w:hAnsi="Times New Roman" w:eastAsia="Times New Roman" w:cs="Times New Roman"/>
          <w:noProof w:val="0"/>
          <w:sz w:val="24"/>
          <w:szCs w:val="24"/>
          <w:lang w:val="en"/>
        </w:rPr>
        <w:t>t</w:t>
      </w:r>
      <w:r w:rsidRPr="31E42715" w:rsidR="1807E72E">
        <w:rPr>
          <w:rFonts w:ascii="Times New Roman" w:hAnsi="Times New Roman" w:eastAsia="Times New Roman" w:cs="Times New Roman"/>
          <w:noProof w:val="0"/>
          <w:sz w:val="24"/>
          <w:szCs w:val="24"/>
          <w:lang w:val="en"/>
        </w:rPr>
        <w:t>eachUS</w:t>
      </w:r>
      <w:proofErr w:type="spellEnd"/>
      <w:r w:rsidRPr="31E42715" w:rsidR="1807E72E">
        <w:rPr>
          <w:rFonts w:ascii="Times New Roman" w:hAnsi="Times New Roman" w:eastAsia="Times New Roman" w:cs="Times New Roman"/>
          <w:noProof w:val="0"/>
          <w:sz w:val="24"/>
          <w:szCs w:val="24"/>
          <w:lang w:val="en"/>
        </w:rPr>
        <w:t xml:space="preserve"> is a competency-based preparation program for educators that combines the convenience of online learning with the support of face-to-face mentorship. It was founded as </w:t>
      </w:r>
      <w:proofErr w:type="spellStart"/>
      <w:r w:rsidRPr="31E42715" w:rsidR="1807E72E">
        <w:rPr>
          <w:rFonts w:ascii="Times New Roman" w:hAnsi="Times New Roman" w:eastAsia="Times New Roman" w:cs="Times New Roman"/>
          <w:noProof w:val="0"/>
          <w:sz w:val="24"/>
          <w:szCs w:val="24"/>
          <w:lang w:val="en"/>
        </w:rPr>
        <w:t>i</w:t>
      </w:r>
      <w:r w:rsidRPr="31E42715" w:rsidR="14FDD0AD">
        <w:rPr>
          <w:rFonts w:ascii="Times New Roman" w:hAnsi="Times New Roman" w:eastAsia="Times New Roman" w:cs="Times New Roman"/>
          <w:noProof w:val="0"/>
          <w:sz w:val="24"/>
          <w:szCs w:val="24"/>
          <w:lang w:val="en"/>
        </w:rPr>
        <w:t>t</w:t>
      </w:r>
      <w:r w:rsidRPr="31E42715" w:rsidR="1807E72E">
        <w:rPr>
          <w:rFonts w:ascii="Times New Roman" w:hAnsi="Times New Roman" w:eastAsia="Times New Roman" w:cs="Times New Roman"/>
          <w:noProof w:val="0"/>
          <w:sz w:val="24"/>
          <w:szCs w:val="24"/>
          <w:lang w:val="en"/>
        </w:rPr>
        <w:t>eachTEXAS</w:t>
      </w:r>
      <w:proofErr w:type="spellEnd"/>
      <w:r w:rsidRPr="31E42715" w:rsidR="1807E72E">
        <w:rPr>
          <w:rFonts w:ascii="Times New Roman" w:hAnsi="Times New Roman" w:eastAsia="Times New Roman" w:cs="Times New Roman"/>
          <w:noProof w:val="0"/>
          <w:sz w:val="24"/>
          <w:szCs w:val="24"/>
          <w:lang w:val="en"/>
        </w:rPr>
        <w:t xml:space="preserve"> in 2003 to help talented people become teachers while avoiding the high costs and time commitments of traditional educator preparation programs. The success at preparing great educators, </w:t>
      </w:r>
      <w:r w:rsidRPr="31E42715" w:rsidR="1807E72E">
        <w:rPr>
          <w:rFonts w:ascii="Times New Roman" w:hAnsi="Times New Roman" w:eastAsia="Times New Roman" w:cs="Times New Roman"/>
          <w:noProof w:val="0"/>
          <w:sz w:val="24"/>
          <w:szCs w:val="24"/>
          <w:lang w:val="en-US"/>
        </w:rPr>
        <w:t>attributed to the fluid combination of highly effective personnel, focused pedagogical curricula, supportive classroom mentoring and outstanding service to school districts,</w:t>
      </w:r>
      <w:r w:rsidRPr="31E42715" w:rsidR="1807E72E">
        <w:rPr>
          <w:rFonts w:ascii="Times New Roman" w:hAnsi="Times New Roman" w:eastAsia="Times New Roman" w:cs="Times New Roman"/>
          <w:noProof w:val="0"/>
          <w:sz w:val="24"/>
          <w:szCs w:val="24"/>
          <w:lang w:val="en"/>
        </w:rPr>
        <w:t xml:space="preserve"> on a large scale grew into </w:t>
      </w:r>
      <w:proofErr w:type="spellStart"/>
      <w:r w:rsidRPr="31E42715" w:rsidR="1807E72E">
        <w:rPr>
          <w:rFonts w:ascii="Times New Roman" w:hAnsi="Times New Roman" w:eastAsia="Times New Roman" w:cs="Times New Roman"/>
          <w:noProof w:val="0"/>
          <w:sz w:val="24"/>
          <w:szCs w:val="24"/>
          <w:lang w:val="en"/>
        </w:rPr>
        <w:t>iteachUS</w:t>
      </w:r>
      <w:proofErr w:type="spellEnd"/>
      <w:r w:rsidRPr="31E42715" w:rsidR="1807E72E">
        <w:rPr>
          <w:rFonts w:ascii="Times New Roman" w:hAnsi="Times New Roman" w:eastAsia="Times New Roman" w:cs="Times New Roman"/>
          <w:noProof w:val="0"/>
          <w:sz w:val="24"/>
          <w:szCs w:val="24"/>
          <w:lang w:val="en"/>
        </w:rPr>
        <w:t xml:space="preserve"> in 2007. </w:t>
      </w:r>
      <w:r w:rsidRPr="31E42715" w:rsidR="1807E72E">
        <w:rPr>
          <w:rFonts w:ascii="Times New Roman" w:hAnsi="Times New Roman" w:eastAsia="Times New Roman" w:cs="Times New Roman"/>
          <w:noProof w:val="0"/>
          <w:sz w:val="24"/>
          <w:szCs w:val="24"/>
          <w:lang w:val="en-US"/>
        </w:rPr>
        <w:t xml:space="preserve">The </w:t>
      </w:r>
      <w:proofErr w:type="spellStart"/>
      <w:r w:rsidRPr="31E42715" w:rsidR="1807E72E">
        <w:rPr>
          <w:rFonts w:ascii="Times New Roman" w:hAnsi="Times New Roman" w:eastAsia="Times New Roman" w:cs="Times New Roman"/>
          <w:noProof w:val="0"/>
          <w:sz w:val="24"/>
          <w:szCs w:val="24"/>
          <w:lang w:val="en-US"/>
        </w:rPr>
        <w:t>iteachVIRGINIA</w:t>
      </w:r>
      <w:proofErr w:type="spellEnd"/>
      <w:r w:rsidRPr="31E42715" w:rsidR="1807E72E">
        <w:rPr>
          <w:rFonts w:ascii="Times New Roman" w:hAnsi="Times New Roman" w:eastAsia="Times New Roman" w:cs="Times New Roman"/>
          <w:noProof w:val="0"/>
          <w:sz w:val="24"/>
          <w:szCs w:val="24"/>
          <w:lang w:val="en-US"/>
        </w:rPr>
        <w:t xml:space="preserve"> distance learning curriculum imparts adult learning principles to promote better engagement with specific content and overall course understanding. This philosophy aligns with the thought that for the distance learner, the tool of technology is transparent, as the learner maintains focus on the instructional content. </w:t>
      </w:r>
      <w:proofErr w:type="spellStart"/>
      <w:r w:rsidRPr="31E42715" w:rsidR="1807E72E">
        <w:rPr>
          <w:rFonts w:ascii="Times New Roman" w:hAnsi="Times New Roman" w:eastAsia="Times New Roman" w:cs="Times New Roman"/>
          <w:noProof w:val="0"/>
          <w:sz w:val="24"/>
          <w:szCs w:val="24"/>
          <w:lang w:val="en-US"/>
        </w:rPr>
        <w:t>iteachVIRGINIA</w:t>
      </w:r>
      <w:proofErr w:type="spellEnd"/>
      <w:r w:rsidRPr="31E42715" w:rsidR="1807E72E">
        <w:rPr>
          <w:rFonts w:ascii="Times New Roman" w:hAnsi="Times New Roman" w:eastAsia="Times New Roman" w:cs="Times New Roman"/>
          <w:noProof w:val="0"/>
          <w:sz w:val="24"/>
          <w:szCs w:val="24"/>
          <w:lang w:val="en-US"/>
        </w:rPr>
        <w:t xml:space="preserve"> is proposing to provide pedagogical and content courses using an approach which blends practical distance instruction via the internet and focused field-based experiences under the support and supervision of </w:t>
      </w:r>
      <w:proofErr w:type="spellStart"/>
      <w:r w:rsidRPr="31E42715" w:rsidR="0936B0FD">
        <w:rPr>
          <w:rFonts w:ascii="Times New Roman" w:hAnsi="Times New Roman" w:eastAsia="Times New Roman" w:cs="Times New Roman"/>
          <w:noProof w:val="0"/>
          <w:sz w:val="24"/>
          <w:szCs w:val="24"/>
          <w:lang w:val="en-US"/>
        </w:rPr>
        <w:t>iteach</w:t>
      </w:r>
      <w:proofErr w:type="spellEnd"/>
      <w:r w:rsidRPr="31E42715" w:rsidR="0936B0FD">
        <w:rPr>
          <w:rFonts w:ascii="Times New Roman" w:hAnsi="Times New Roman" w:eastAsia="Times New Roman" w:cs="Times New Roman"/>
          <w:noProof w:val="0"/>
          <w:sz w:val="24"/>
          <w:szCs w:val="24"/>
          <w:lang w:val="en-US"/>
        </w:rPr>
        <w:t xml:space="preserve"> </w:t>
      </w:r>
      <w:r w:rsidRPr="31E42715" w:rsidR="1807E72E">
        <w:rPr>
          <w:rFonts w:ascii="Times New Roman" w:hAnsi="Times New Roman" w:eastAsia="Times New Roman" w:cs="Times New Roman"/>
          <w:noProof w:val="0"/>
          <w:sz w:val="24"/>
          <w:szCs w:val="24"/>
          <w:lang w:val="en-US"/>
        </w:rPr>
        <w:t xml:space="preserve">program staff. The program is based on a model that </w:t>
      </w:r>
      <w:proofErr w:type="spellStart"/>
      <w:r w:rsidRPr="31E42715" w:rsidR="1807E72E">
        <w:rPr>
          <w:rFonts w:ascii="Times New Roman" w:hAnsi="Times New Roman" w:eastAsia="Times New Roman" w:cs="Times New Roman"/>
          <w:noProof w:val="0"/>
          <w:sz w:val="24"/>
          <w:szCs w:val="24"/>
          <w:lang w:val="en-US"/>
        </w:rPr>
        <w:t>iteachUS</w:t>
      </w:r>
      <w:proofErr w:type="spellEnd"/>
      <w:r w:rsidRPr="31E42715" w:rsidR="1807E72E">
        <w:rPr>
          <w:rFonts w:ascii="Times New Roman" w:hAnsi="Times New Roman" w:eastAsia="Times New Roman" w:cs="Times New Roman"/>
          <w:noProof w:val="0"/>
          <w:sz w:val="24"/>
          <w:szCs w:val="24"/>
          <w:lang w:val="en-US"/>
        </w:rPr>
        <w:t xml:space="preserve">, the program’s parent organization, successfully piloted more than a decade ago. </w:t>
      </w:r>
    </w:p>
    <w:p w:rsidR="292B1173" w:rsidP="7F46D3FF" w:rsidRDefault="292B1173" w14:paraId="3E0DD592" w14:textId="659B83EE">
      <w:pPr>
        <w:spacing w:line="276" w:lineRule="auto"/>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70DFC414" w14:textId="0D017827">
      <w:pPr>
        <w:pStyle w:val="Heading2"/>
      </w:pPr>
      <w:r w:rsidRPr="7F46D3FF" w:rsidR="292B1173">
        <w:rPr>
          <w:rFonts w:ascii="Times New Roman" w:hAnsi="Times New Roman" w:eastAsia="Times New Roman" w:cs="Times New Roman"/>
          <w:noProof w:val="0"/>
          <w:sz w:val="24"/>
          <w:szCs w:val="24"/>
          <w:lang w:val="en"/>
        </w:rPr>
        <w:t xml:space="preserve">Action Requested: </w:t>
      </w:r>
    </w:p>
    <w:p w:rsidR="292B1173" w:rsidRDefault="292B1173" w14:paraId="18EA38D5" w14:textId="09ECD025">
      <w:r w:rsidRPr="7F46D3FF" w:rsidR="292B1173">
        <w:rPr>
          <w:rFonts w:ascii="Times New Roman" w:hAnsi="Times New Roman" w:eastAsia="Times New Roman" w:cs="Times New Roman"/>
          <w:noProof w:val="0"/>
          <w:sz w:val="24"/>
          <w:szCs w:val="24"/>
          <w:lang w:val="en"/>
        </w:rPr>
        <w:t xml:space="preserve">Action will be requested at a future meeting. </w:t>
      </w:r>
      <w:r w:rsidRPr="7F46D3FF" w:rsidR="292B1173">
        <w:rPr>
          <w:rFonts w:ascii="Times New Roman" w:hAnsi="Times New Roman" w:eastAsia="Times New Roman" w:cs="Times New Roman"/>
          <w:noProof w:val="0"/>
          <w:sz w:val="24"/>
          <w:szCs w:val="24"/>
          <w:lang w:val="en-US"/>
        </w:rPr>
        <w:t xml:space="preserve"> </w:t>
      </w:r>
    </w:p>
    <w:p w:rsidR="292B1173" w:rsidRDefault="292B1173" w14:paraId="0F18ED7C" w14:textId="5EB5B4D6">
      <w:r w:rsidRPr="7F46D3FF" w:rsidR="292B1173">
        <w:rPr>
          <w:rFonts w:ascii="Times New Roman" w:hAnsi="Times New Roman" w:eastAsia="Times New Roman" w:cs="Times New Roman"/>
          <w:noProof w:val="0"/>
          <w:sz w:val="24"/>
          <w:szCs w:val="24"/>
          <w:lang w:val="en"/>
        </w:rPr>
        <w:t>June 15, 2023</w:t>
      </w:r>
      <w:r w:rsidRPr="7F46D3FF" w:rsidR="292B1173">
        <w:rPr>
          <w:rFonts w:ascii="Times New Roman" w:hAnsi="Times New Roman" w:eastAsia="Times New Roman" w:cs="Times New Roman"/>
          <w:noProof w:val="0"/>
          <w:sz w:val="24"/>
          <w:szCs w:val="24"/>
          <w:lang w:val="en-US"/>
        </w:rPr>
        <w:t xml:space="preserve"> </w:t>
      </w:r>
    </w:p>
    <w:p w:rsidR="292B1173" w:rsidRDefault="292B1173" w14:paraId="06D56F2A" w14:textId="7AD9A4FF">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04B4B2A9" w14:textId="2BA58926">
      <w:pPr>
        <w:pStyle w:val="Heading2"/>
      </w:pPr>
      <w:r w:rsidRPr="7F46D3FF" w:rsidR="292B1173">
        <w:rPr>
          <w:rFonts w:ascii="Times New Roman" w:hAnsi="Times New Roman" w:eastAsia="Times New Roman" w:cs="Times New Roman"/>
          <w:noProof w:val="0"/>
          <w:sz w:val="24"/>
          <w:szCs w:val="24"/>
          <w:lang w:val="en"/>
        </w:rPr>
        <w:t xml:space="preserve">Superintendent’s Recommendation </w:t>
      </w:r>
    </w:p>
    <w:p w:rsidR="292B1173" w:rsidP="31E42715" w:rsidRDefault="292B1173" w14:paraId="77B37189" w14:textId="6A7C1224">
      <w:pPr>
        <w:rPr>
          <w:rFonts w:ascii="Times New Roman" w:hAnsi="Times New Roman" w:eastAsia="Times New Roman" w:cs="Times New Roman"/>
          <w:noProof w:val="0"/>
          <w:color w:val="000000" w:themeColor="text1" w:themeTint="FF" w:themeShade="FF"/>
          <w:sz w:val="24"/>
          <w:szCs w:val="24"/>
          <w:lang w:val="en"/>
        </w:rPr>
      </w:pPr>
      <w:r w:rsidRPr="31E42715" w:rsidR="1807E72E">
        <w:rPr>
          <w:rFonts w:ascii="Times New Roman" w:hAnsi="Times New Roman" w:eastAsia="Times New Roman" w:cs="Times New Roman"/>
          <w:noProof w:val="0"/>
          <w:color w:val="000000" w:themeColor="text1" w:themeTint="FF" w:themeShade="FF"/>
          <w:sz w:val="24"/>
          <w:szCs w:val="24"/>
          <w:lang w:val="en"/>
        </w:rPr>
        <w:t xml:space="preserve">The Superintendent recommends that the Board of Education receive for first review the recommendation of the </w:t>
      </w:r>
      <w:r w:rsidRPr="31E42715" w:rsidR="22CD728E">
        <w:rPr>
          <w:rFonts w:ascii="Times New Roman" w:hAnsi="Times New Roman" w:eastAsia="Times New Roman" w:cs="Times New Roman"/>
          <w:noProof w:val="0"/>
          <w:color w:val="000000" w:themeColor="text1" w:themeTint="FF" w:themeShade="FF"/>
          <w:sz w:val="24"/>
          <w:szCs w:val="24"/>
          <w:lang w:val="en"/>
        </w:rPr>
        <w:t xml:space="preserve">Virginia Department of Education (VDOE) </w:t>
      </w:r>
      <w:r w:rsidRPr="31E42715" w:rsidR="1807E72E">
        <w:rPr>
          <w:rFonts w:ascii="Times New Roman" w:hAnsi="Times New Roman" w:eastAsia="Times New Roman" w:cs="Times New Roman"/>
          <w:noProof w:val="0"/>
          <w:color w:val="000000" w:themeColor="text1" w:themeTint="FF" w:themeShade="FF"/>
          <w:sz w:val="24"/>
          <w:szCs w:val="24"/>
          <w:lang w:val="en"/>
        </w:rPr>
        <w:t>panel to approve</w:t>
      </w:r>
      <w:r w:rsidRPr="31E42715" w:rsidR="267D1A75">
        <w:rPr>
          <w:rFonts w:ascii="Times New Roman" w:hAnsi="Times New Roman" w:eastAsia="Times New Roman" w:cs="Times New Roman"/>
          <w:noProof w:val="0"/>
          <w:color w:val="000000" w:themeColor="text1" w:themeTint="FF" w:themeShade="FF"/>
          <w:sz w:val="24"/>
          <w:szCs w:val="24"/>
          <w:lang w:val="en"/>
        </w:rPr>
        <w:t xml:space="preserve"> identified</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w:t>
      </w:r>
      <w:r w:rsidRPr="31E42715" w:rsidR="7FED28CB">
        <w:rPr>
          <w:rFonts w:ascii="Times New Roman" w:hAnsi="Times New Roman" w:eastAsia="Times New Roman" w:cs="Times New Roman"/>
          <w:noProof w:val="0"/>
          <w:color w:val="000000" w:themeColor="text1" w:themeTint="FF" w:themeShade="FF"/>
          <w:sz w:val="24"/>
          <w:szCs w:val="24"/>
          <w:lang w:val="en"/>
        </w:rPr>
        <w:t>portions</w:t>
      </w:r>
      <w:r w:rsidRPr="31E42715" w:rsidR="743AC5D8">
        <w:rPr>
          <w:rFonts w:ascii="Times New Roman" w:hAnsi="Times New Roman" w:eastAsia="Times New Roman" w:cs="Times New Roman"/>
          <w:noProof w:val="0"/>
          <w:color w:val="000000" w:themeColor="text1" w:themeTint="FF" w:themeShade="FF"/>
          <w:sz w:val="24"/>
          <w:szCs w:val="24"/>
          <w:lang w:val="en"/>
        </w:rPr>
        <w:t xml:space="preserve"> of the </w:t>
      </w:r>
      <w:r w:rsidRPr="31E42715" w:rsidR="1807E72E">
        <w:rPr>
          <w:rFonts w:ascii="Times New Roman" w:hAnsi="Times New Roman" w:eastAsia="Times New Roman" w:cs="Times New Roman"/>
          <w:noProof w:val="0"/>
          <w:color w:val="000000" w:themeColor="text1" w:themeTint="FF" w:themeShade="FF"/>
          <w:sz w:val="24"/>
          <w:szCs w:val="24"/>
          <w:lang w:val="en"/>
        </w:rPr>
        <w:t>application</w:t>
      </w:r>
      <w:r w:rsidRPr="31E42715" w:rsidR="75DFF918">
        <w:rPr>
          <w:rFonts w:ascii="Times New Roman" w:hAnsi="Times New Roman" w:eastAsia="Times New Roman" w:cs="Times New Roman"/>
          <w:noProof w:val="0"/>
          <w:color w:val="000000" w:themeColor="text1" w:themeTint="FF" w:themeShade="FF"/>
          <w:sz w:val="24"/>
          <w:szCs w:val="24"/>
          <w:lang w:val="en"/>
        </w:rPr>
        <w:t>s</w:t>
      </w:r>
      <w:r w:rsidRPr="31E42715" w:rsidR="515A0C0A">
        <w:rPr>
          <w:rFonts w:ascii="Times New Roman" w:hAnsi="Times New Roman" w:eastAsia="Times New Roman" w:cs="Times New Roman"/>
          <w:noProof w:val="0"/>
          <w:color w:val="000000" w:themeColor="text1" w:themeTint="FF" w:themeShade="FF"/>
          <w:sz w:val="24"/>
          <w:szCs w:val="24"/>
          <w:lang w:val="en"/>
        </w:rPr>
        <w:t xml:space="preserve"> submitted </w:t>
      </w:r>
      <w:r w:rsidRPr="31E42715" w:rsidR="05CF8D0E">
        <w:rPr>
          <w:rFonts w:ascii="Times New Roman" w:hAnsi="Times New Roman" w:eastAsia="Times New Roman" w:cs="Times New Roman"/>
          <w:noProof w:val="0"/>
          <w:color w:val="000000" w:themeColor="text1" w:themeTint="FF" w:themeShade="FF"/>
          <w:sz w:val="24"/>
          <w:szCs w:val="24"/>
          <w:lang w:val="en"/>
        </w:rPr>
        <w:t>by</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divisions partnering with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
        </w:rPr>
        <w:t>iteach</w:t>
      </w:r>
      <w:proofErr w:type="spellEnd"/>
      <w:r w:rsidRPr="31E42715" w:rsidR="1807E72E">
        <w:rPr>
          <w:rFonts w:ascii="Times New Roman" w:hAnsi="Times New Roman" w:eastAsia="Times New Roman" w:cs="Times New Roman"/>
          <w:noProof w:val="0"/>
          <w:color w:val="000000" w:themeColor="text1" w:themeTint="FF" w:themeShade="FF"/>
          <w:sz w:val="24"/>
          <w:szCs w:val="24"/>
          <w:lang w:val="en"/>
        </w:rPr>
        <w:t xml:space="preserve"> to provide an alternate route to licensure and endorsements pursuant to House Bill 2486 of the 2019 Virginia General Assembly</w:t>
      </w:r>
      <w:r w:rsidRPr="31E42715" w:rsidR="1ED48099">
        <w:rPr>
          <w:rFonts w:ascii="Times New Roman" w:hAnsi="Times New Roman" w:eastAsia="Times New Roman" w:cs="Times New Roman"/>
          <w:noProof w:val="0"/>
          <w:color w:val="000000" w:themeColor="text1" w:themeTint="FF" w:themeShade="FF"/>
          <w:sz w:val="24"/>
          <w:szCs w:val="24"/>
          <w:lang w:val="en"/>
        </w:rPr>
        <w:t>, as detailed below</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w:t>
      </w:r>
    </w:p>
    <w:p w:rsidR="292B1173" w:rsidP="7F46D3FF" w:rsidRDefault="292B1173" w14:paraId="2FCD60C4" w14:textId="0DE01735">
      <w:pPr>
        <w:spacing w:line="276" w:lineRule="auto"/>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6C5E6446" w14:textId="10788D61">
      <w:pPr>
        <w:pStyle w:val="Heading2"/>
      </w:pPr>
      <w:r w:rsidRPr="7F46D3FF" w:rsidR="292B1173">
        <w:rPr>
          <w:rFonts w:ascii="Times New Roman" w:hAnsi="Times New Roman" w:eastAsia="Times New Roman" w:cs="Times New Roman"/>
          <w:noProof w:val="0"/>
          <w:sz w:val="24"/>
          <w:szCs w:val="24"/>
          <w:lang w:val="en"/>
        </w:rPr>
        <w:t xml:space="preserve">Previous Review or Action: </w:t>
      </w:r>
    </w:p>
    <w:p w:rsidR="292B1173" w:rsidP="7F46D3FF" w:rsidRDefault="292B1173" w14:paraId="0DB8110F" w14:textId="3CD07E4C">
      <w:pPr>
        <w:spacing w:line="276" w:lineRule="auto"/>
      </w:pPr>
      <w:r w:rsidRPr="7F46D3FF" w:rsidR="292B1173">
        <w:rPr>
          <w:rFonts w:ascii="Times New Roman" w:hAnsi="Times New Roman" w:eastAsia="Times New Roman" w:cs="Times New Roman"/>
          <w:noProof w:val="0"/>
          <w:color w:val="000000" w:themeColor="text1" w:themeTint="FF" w:themeShade="FF"/>
          <w:sz w:val="24"/>
          <w:szCs w:val="24"/>
          <w:lang w:val="en"/>
        </w:rPr>
        <w:t xml:space="preserve">No previous review or action.  </w:t>
      </w:r>
    </w:p>
    <w:p w:rsidR="292B1173" w:rsidRDefault="292B1173" w14:paraId="16F27719" w14:textId="03ECD1AE">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7B630BE9" w14:textId="77F0BE81">
      <w:pPr>
        <w:pStyle w:val="Heading2"/>
      </w:pPr>
      <w:r w:rsidRPr="7F46D3FF" w:rsidR="292B1173">
        <w:rPr>
          <w:rFonts w:ascii="Times New Roman" w:hAnsi="Times New Roman" w:eastAsia="Times New Roman" w:cs="Times New Roman"/>
          <w:noProof w:val="0"/>
          <w:sz w:val="24"/>
          <w:szCs w:val="24"/>
          <w:lang w:val="en"/>
        </w:rPr>
        <w:t xml:space="preserve">Background Information and Statutory Authority:  </w:t>
      </w:r>
    </w:p>
    <w:p w:rsidR="292B1173" w:rsidRDefault="292B1173" w14:paraId="7F1005F2" w14:textId="12804737">
      <w:r w:rsidRPr="7F46D3FF" w:rsidR="292B1173">
        <w:rPr>
          <w:rFonts w:ascii="Times New Roman" w:hAnsi="Times New Roman" w:eastAsia="Times New Roman" w:cs="Times New Roman"/>
          <w:noProof w:val="0"/>
          <w:color w:val="000000" w:themeColor="text1" w:themeTint="FF" w:themeShade="FF"/>
          <w:sz w:val="24"/>
          <w:szCs w:val="24"/>
          <w:lang w:val="en"/>
        </w:rPr>
        <w:t xml:space="preserve">In addition to the completion of an approved teacher preparation program and application for a license through reciprocity, the Board of Education’s </w:t>
      </w:r>
      <w:r w:rsidRPr="7F46D3FF" w:rsidR="292B1173">
        <w:rPr>
          <w:rFonts w:ascii="Times New Roman" w:hAnsi="Times New Roman" w:eastAsia="Times New Roman" w:cs="Times New Roman"/>
          <w:i w:val="1"/>
          <w:iCs w:val="1"/>
          <w:noProof w:val="0"/>
          <w:color w:val="000000" w:themeColor="text1" w:themeTint="FF" w:themeShade="FF"/>
          <w:sz w:val="24"/>
          <w:szCs w:val="24"/>
          <w:lang w:val="en"/>
        </w:rPr>
        <w:t>Licensure Regulations for School Personnel</w:t>
      </w:r>
      <w:r w:rsidRPr="7F46D3FF" w:rsidR="292B1173">
        <w:rPr>
          <w:rFonts w:ascii="Times New Roman" w:hAnsi="Times New Roman" w:eastAsia="Times New Roman" w:cs="Times New Roman"/>
          <w:noProof w:val="0"/>
          <w:color w:val="000000" w:themeColor="text1" w:themeTint="FF" w:themeShade="FF"/>
          <w:sz w:val="24"/>
          <w:szCs w:val="24"/>
          <w:lang w:val="en"/>
        </w:rPr>
        <w:t xml:space="preserve"> (</w:t>
      </w:r>
      <w:hyperlink r:id="Ra16324d299804cf9">
        <w:r w:rsidRPr="7F46D3FF" w:rsidR="292B1173">
          <w:rPr>
            <w:rStyle w:val="Hyperlink"/>
            <w:rFonts w:ascii="Times New Roman" w:hAnsi="Times New Roman" w:eastAsia="Times New Roman" w:cs="Times New Roman"/>
            <w:strike w:val="0"/>
            <w:dstrike w:val="0"/>
            <w:noProof w:val="0"/>
            <w:sz w:val="24"/>
            <w:szCs w:val="24"/>
            <w:lang w:val="en"/>
          </w:rPr>
          <w:t>8VAC20-23</w:t>
        </w:r>
      </w:hyperlink>
      <w:r w:rsidRPr="7F46D3FF" w:rsidR="292B1173">
        <w:rPr>
          <w:rFonts w:ascii="Times New Roman" w:hAnsi="Times New Roman" w:eastAsia="Times New Roman" w:cs="Times New Roman"/>
          <w:noProof w:val="0"/>
          <w:color w:val="000000" w:themeColor="text1" w:themeTint="FF" w:themeShade="FF"/>
          <w:sz w:val="24"/>
          <w:szCs w:val="24"/>
          <w:lang w:val="en"/>
        </w:rPr>
        <w:t>) provide for the following alternate routes to licensure:</w:t>
      </w:r>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RDefault="292B1173" w14:paraId="1FFCD125" w14:textId="7AB94A72">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7F46D3FF" w:rsidRDefault="292B1173" w14:paraId="22890AED" w14:textId="7357DD4D">
      <w:pPr>
        <w:pStyle w:val="ListParagraph"/>
        <w:numPr>
          <w:ilvl w:val="0"/>
          <w:numId w:val="10"/>
        </w:numPr>
        <w:rPr>
          <w:noProof w:val="0"/>
          <w:color w:val="000000" w:themeColor="text1" w:themeTint="FF" w:themeShade="FF"/>
          <w:lang w:val="en-US"/>
        </w:rPr>
      </w:pPr>
      <w:r w:rsidRPr="7F46D3FF" w:rsidR="292B1173">
        <w:rPr>
          <w:noProof w:val="0"/>
          <w:color w:val="000000" w:themeColor="text1" w:themeTint="FF" w:themeShade="FF"/>
          <w:lang w:val="en"/>
        </w:rPr>
        <w:t>Career Switcher Alternate Route for Career Professionals</w:t>
      </w:r>
      <w:r w:rsidRPr="7F46D3FF" w:rsidR="292B1173">
        <w:rPr>
          <w:noProof w:val="0"/>
          <w:color w:val="000000" w:themeColor="text1" w:themeTint="FF" w:themeShade="FF"/>
          <w:lang w:val="en-US"/>
        </w:rPr>
        <w:t xml:space="preserve"> </w:t>
      </w:r>
    </w:p>
    <w:p w:rsidR="292B1173" w:rsidP="7F46D3FF" w:rsidRDefault="292B1173" w14:paraId="1A7CDB8A" w14:textId="3FCC6367">
      <w:pPr>
        <w:pStyle w:val="ListParagraph"/>
        <w:numPr>
          <w:ilvl w:val="0"/>
          <w:numId w:val="10"/>
        </w:numPr>
        <w:rPr>
          <w:noProof w:val="0"/>
          <w:color w:val="000000" w:themeColor="text1" w:themeTint="FF" w:themeShade="FF"/>
          <w:lang w:val="en-US"/>
        </w:rPr>
      </w:pPr>
      <w:r w:rsidRPr="7F46D3FF" w:rsidR="292B1173">
        <w:rPr>
          <w:noProof w:val="0"/>
          <w:color w:val="000000" w:themeColor="text1" w:themeTint="FF" w:themeShade="FF"/>
          <w:lang w:val="en"/>
        </w:rPr>
        <w:t>Provisional License Route for Individuals Employed by a Virginia Educational Agency</w:t>
      </w:r>
      <w:r w:rsidRPr="7F46D3FF" w:rsidR="292B1173">
        <w:rPr>
          <w:noProof w:val="0"/>
          <w:color w:val="000000" w:themeColor="text1" w:themeTint="FF" w:themeShade="FF"/>
          <w:lang w:val="en-US"/>
        </w:rPr>
        <w:t xml:space="preserve"> </w:t>
      </w:r>
    </w:p>
    <w:p w:rsidR="292B1173" w:rsidP="7F46D3FF" w:rsidRDefault="292B1173" w14:paraId="75FC2248" w14:textId="01DC2651">
      <w:pPr>
        <w:pStyle w:val="ListParagraph"/>
        <w:numPr>
          <w:ilvl w:val="0"/>
          <w:numId w:val="10"/>
        </w:numPr>
        <w:rPr>
          <w:noProof w:val="0"/>
          <w:color w:val="000000" w:themeColor="text1" w:themeTint="FF" w:themeShade="FF"/>
          <w:lang w:val="en-US"/>
        </w:rPr>
      </w:pPr>
      <w:r w:rsidRPr="7F46D3FF" w:rsidR="292B1173">
        <w:rPr>
          <w:noProof w:val="0"/>
          <w:color w:val="000000" w:themeColor="text1" w:themeTint="FF" w:themeShade="FF"/>
          <w:lang w:val="en"/>
        </w:rPr>
        <w:t>Provisional Alternate Route to a Technical Professional License (Career and Technical Education) for Individuals Employed by a Virginia Educational Agency</w:t>
      </w:r>
      <w:r w:rsidRPr="7F46D3FF" w:rsidR="292B1173">
        <w:rPr>
          <w:noProof w:val="0"/>
          <w:color w:val="000000" w:themeColor="text1" w:themeTint="FF" w:themeShade="FF"/>
          <w:lang w:val="en-US"/>
        </w:rPr>
        <w:t xml:space="preserve"> </w:t>
      </w:r>
    </w:p>
    <w:p w:rsidR="292B1173" w:rsidP="7F46D3FF" w:rsidRDefault="292B1173" w14:paraId="6280CE08" w14:textId="1866BE48">
      <w:pPr>
        <w:pStyle w:val="ListParagraph"/>
        <w:numPr>
          <w:ilvl w:val="0"/>
          <w:numId w:val="11"/>
        </w:numPr>
        <w:rPr>
          <w:noProof w:val="0"/>
          <w:color w:val="000000" w:themeColor="text1" w:themeTint="FF" w:themeShade="FF"/>
          <w:lang w:val="en-US"/>
        </w:rPr>
      </w:pPr>
      <w:r w:rsidRPr="7F46D3FF" w:rsidR="292B1173">
        <w:rPr>
          <w:noProof w:val="0"/>
          <w:color w:val="000000" w:themeColor="text1" w:themeTint="FF" w:themeShade="FF"/>
          <w:lang w:val="en"/>
        </w:rPr>
        <w:t>Alternate Route in Special Education (Provisional License)</w:t>
      </w:r>
      <w:r w:rsidRPr="7F46D3FF" w:rsidR="292B1173">
        <w:rPr>
          <w:noProof w:val="0"/>
          <w:color w:val="000000" w:themeColor="text1" w:themeTint="FF" w:themeShade="FF"/>
          <w:lang w:val="en-US"/>
        </w:rPr>
        <w:t xml:space="preserve"> </w:t>
      </w:r>
    </w:p>
    <w:p w:rsidR="292B1173" w:rsidP="7F46D3FF" w:rsidRDefault="292B1173" w14:paraId="27E61079" w14:textId="3E2D9639">
      <w:pPr>
        <w:pStyle w:val="ListParagraph"/>
        <w:numPr>
          <w:ilvl w:val="0"/>
          <w:numId w:val="11"/>
        </w:numPr>
        <w:rPr>
          <w:noProof w:val="0"/>
          <w:color w:val="000000" w:themeColor="text1" w:themeTint="FF" w:themeShade="FF"/>
          <w:lang w:val="en-US"/>
        </w:rPr>
      </w:pPr>
      <w:r w:rsidRPr="7F46D3FF" w:rsidR="292B1173">
        <w:rPr>
          <w:noProof w:val="0"/>
          <w:color w:val="000000" w:themeColor="text1" w:themeTint="FF" w:themeShade="FF"/>
          <w:lang w:val="en"/>
        </w:rPr>
        <w:t>Alternate Programs at Institutions of Higher Education</w:t>
      </w:r>
      <w:r w:rsidRPr="7F46D3FF" w:rsidR="292B1173">
        <w:rPr>
          <w:noProof w:val="0"/>
          <w:color w:val="000000" w:themeColor="text1" w:themeTint="FF" w:themeShade="FF"/>
          <w:lang w:val="en-US"/>
        </w:rPr>
        <w:t xml:space="preserve"> </w:t>
      </w:r>
    </w:p>
    <w:p w:rsidR="292B1173" w:rsidP="7F46D3FF" w:rsidRDefault="292B1173" w14:paraId="42D0B550" w14:textId="6A95E12C">
      <w:pPr>
        <w:pStyle w:val="ListParagraph"/>
        <w:numPr>
          <w:ilvl w:val="0"/>
          <w:numId w:val="11"/>
        </w:numPr>
        <w:rPr>
          <w:noProof w:val="0"/>
          <w:color w:val="000000" w:themeColor="text1" w:themeTint="FF" w:themeShade="FF"/>
          <w:lang w:val="en-US"/>
        </w:rPr>
      </w:pPr>
      <w:r w:rsidRPr="7F46D3FF" w:rsidR="292B1173">
        <w:rPr>
          <w:noProof w:val="0"/>
          <w:color w:val="000000" w:themeColor="text1" w:themeTint="FF" w:themeShade="FF"/>
          <w:lang w:val="en"/>
        </w:rPr>
        <w:t>Experiential Learning Alternate Route to Licensure</w:t>
      </w:r>
      <w:r w:rsidRPr="7F46D3FF" w:rsidR="292B1173">
        <w:rPr>
          <w:noProof w:val="0"/>
          <w:color w:val="000000" w:themeColor="text1" w:themeTint="FF" w:themeShade="FF"/>
          <w:lang w:val="en-US"/>
        </w:rPr>
        <w:t xml:space="preserve"> </w:t>
      </w:r>
    </w:p>
    <w:p w:rsidR="292B1173" w:rsidP="7F46D3FF" w:rsidRDefault="292B1173" w14:paraId="125F574B" w14:textId="5B07CF72">
      <w:pPr>
        <w:spacing w:line="276" w:lineRule="auto"/>
      </w:pPr>
      <w:r w:rsidRPr="31E42715" w:rsidR="1807E72E">
        <w:rPr>
          <w:rFonts w:ascii="Times New Roman" w:hAnsi="Times New Roman" w:eastAsia="Times New Roman" w:cs="Times New Roman"/>
          <w:noProof w:val="0"/>
          <w:sz w:val="24"/>
          <w:szCs w:val="24"/>
          <w:lang w:val="en"/>
        </w:rPr>
        <w:t xml:space="preserve"> </w:t>
      </w:r>
    </w:p>
    <w:p w:rsidR="292B1173" w:rsidP="7F46D3FF" w:rsidRDefault="292B1173" w14:paraId="41F7A63C" w14:textId="624409E7">
      <w:pPr>
        <w:spacing w:line="276" w:lineRule="auto"/>
      </w:pPr>
      <w:r w:rsidRPr="31E42715" w:rsidR="6E3ECBA7">
        <w:rPr>
          <w:rFonts w:ascii="Times New Roman" w:hAnsi="Times New Roman" w:eastAsia="Times New Roman" w:cs="Times New Roman"/>
          <w:noProof w:val="0"/>
          <w:sz w:val="24"/>
          <w:szCs w:val="24"/>
          <w:lang w:val="en"/>
        </w:rPr>
        <w:t xml:space="preserve">Through the adoption of </w:t>
      </w:r>
      <w:hyperlink r:id="R87be2f4b03f84110">
        <w:r w:rsidRPr="31E42715" w:rsidR="1807E72E">
          <w:rPr>
            <w:rStyle w:val="Hyperlink"/>
            <w:rFonts w:ascii="Times New Roman" w:hAnsi="Times New Roman" w:eastAsia="Times New Roman" w:cs="Times New Roman"/>
            <w:strike w:val="0"/>
            <w:dstrike w:val="0"/>
            <w:noProof w:val="0"/>
            <w:sz w:val="24"/>
            <w:szCs w:val="24"/>
            <w:lang w:val="en"/>
          </w:rPr>
          <w:t>HB2486 (2019)</w:t>
        </w:r>
        <w:r w:rsidRPr="31E42715" w:rsidR="0EEC590F">
          <w:rPr>
            <w:rStyle w:val="Hyperlink"/>
            <w:rFonts w:ascii="Times New Roman" w:hAnsi="Times New Roman" w:eastAsia="Times New Roman" w:cs="Times New Roman"/>
            <w:strike w:val="0"/>
            <w:dstrike w:val="0"/>
            <w:noProof w:val="0"/>
            <w:sz w:val="24"/>
            <w:szCs w:val="24"/>
            <w:lang w:val="en"/>
          </w:rPr>
          <w:t>,</w:t>
        </w:r>
      </w:hyperlink>
      <w:r w:rsidRPr="31E42715" w:rsidR="0EEC590F">
        <w:rPr>
          <w:rFonts w:ascii="Times New Roman" w:hAnsi="Times New Roman" w:eastAsia="Times New Roman" w:cs="Times New Roman"/>
          <w:noProof w:val="0"/>
          <w:sz w:val="24"/>
          <w:szCs w:val="24"/>
          <w:lang w:val="en"/>
        </w:rPr>
        <w:t xml:space="preserve"> the General Assembly created a new, different alternate pathway to</w:t>
      </w:r>
      <w:r w:rsidRPr="31E42715" w:rsidR="3FC4D9B7">
        <w:rPr>
          <w:rFonts w:ascii="Times New Roman" w:hAnsi="Times New Roman" w:eastAsia="Times New Roman" w:cs="Times New Roman"/>
          <w:noProof w:val="0"/>
          <w:sz w:val="24"/>
          <w:szCs w:val="24"/>
          <w:lang w:val="en"/>
        </w:rPr>
        <w:t xml:space="preserve"> empower school divisions to directly address teacher recruitment issues in their local community. The law requires, i</w:t>
      </w:r>
      <w:r w:rsidRPr="31E42715" w:rsidR="1807E72E">
        <w:rPr>
          <w:rFonts w:ascii="Times New Roman" w:hAnsi="Times New Roman" w:eastAsia="Times New Roman" w:cs="Times New Roman"/>
          <w:noProof w:val="0"/>
          <w:sz w:val="24"/>
          <w:szCs w:val="24"/>
          <w:lang w:val="en"/>
        </w:rPr>
        <w:t xml:space="preserve">n part, the following: </w:t>
      </w:r>
    </w:p>
    <w:p w:rsidR="292B1173" w:rsidRDefault="292B1173" w14:paraId="0859A152" w14:textId="5CC4F473">
      <w:r w:rsidRPr="7F46D3FF" w:rsidR="292B1173">
        <w:rPr>
          <w:rFonts w:ascii="Times New Roman" w:hAnsi="Times New Roman" w:eastAsia="Times New Roman" w:cs="Times New Roman"/>
          <w:noProof w:val="0"/>
          <w:sz w:val="24"/>
          <w:szCs w:val="24"/>
          <w:lang w:val="en-US"/>
        </w:rPr>
        <w:t xml:space="preserve"> </w:t>
      </w:r>
    </w:p>
    <w:tbl>
      <w:tblPr>
        <w:tblStyle w:val="TableGrid"/>
        <w:tblW w:w="0" w:type="auto"/>
        <w:tblLayout w:type="fixed"/>
        <w:tblLook w:val="04A0" w:firstRow="1" w:lastRow="0" w:firstColumn="1" w:lastColumn="0" w:noHBand="0" w:noVBand="1"/>
      </w:tblPr>
      <w:tblGrid>
        <w:gridCol w:w="9345"/>
      </w:tblGrid>
      <w:tr w:rsidR="7F46D3FF" w:rsidTr="7F46D3FF" w14:paraId="75CC7161">
        <w:trPr>
          <w:trHeight w:val="300"/>
        </w:trPr>
        <w:tc>
          <w:tcPr>
            <w:tcW w:w="9345" w:type="dxa"/>
            <w:tcBorders>
              <w:top w:val="single" w:sz="8"/>
              <w:left w:val="single" w:sz="8"/>
              <w:bottom w:val="single" w:sz="8"/>
              <w:right w:val="single" w:sz="8"/>
            </w:tcBorders>
            <w:tcMar>
              <w:left w:w="108" w:type="dxa"/>
              <w:right w:w="108" w:type="dxa"/>
            </w:tcMar>
            <w:vAlign w:val="top"/>
          </w:tcPr>
          <w:p w:rsidR="7F46D3FF" w:rsidRDefault="7F46D3FF" w14:paraId="002C3539" w14:textId="5D33C577">
            <w:r w:rsidRPr="7F46D3FF" w:rsidR="7F46D3FF">
              <w:rPr>
                <w:rFonts w:ascii="Times New Roman" w:hAnsi="Times New Roman" w:eastAsia="Times New Roman" w:cs="Times New Roman"/>
                <w:color w:val="333333"/>
                <w:sz w:val="24"/>
                <w:szCs w:val="24"/>
                <w:lang w:val="en"/>
              </w:rPr>
              <w:t xml:space="preserve">§ </w:t>
            </w:r>
            <w:hyperlink r:id="R5bdc5f16d7c34359">
              <w:r w:rsidRPr="7F46D3FF" w:rsidR="7F46D3FF">
                <w:rPr>
                  <w:rStyle w:val="Hyperlink"/>
                  <w:rFonts w:ascii="Times New Roman" w:hAnsi="Times New Roman" w:eastAsia="Times New Roman" w:cs="Times New Roman"/>
                  <w:b w:val="1"/>
                  <w:bCs w:val="1"/>
                  <w:strike w:val="0"/>
                  <w:dstrike w:val="0"/>
                  <w:sz w:val="24"/>
                  <w:szCs w:val="24"/>
                  <w:lang w:val="en"/>
                </w:rPr>
                <w:t>22.1-298.1</w:t>
              </w:r>
            </w:hyperlink>
            <w:r w:rsidRPr="7F46D3FF" w:rsidR="7F46D3FF">
              <w:rPr>
                <w:rFonts w:ascii="Times New Roman" w:hAnsi="Times New Roman" w:eastAsia="Times New Roman" w:cs="Times New Roman"/>
                <w:color w:val="333333"/>
                <w:sz w:val="24"/>
                <w:szCs w:val="24"/>
                <w:lang w:val="en"/>
              </w:rPr>
              <w:t xml:space="preserve">. </w:t>
            </w:r>
            <w:r w:rsidRPr="7F46D3FF" w:rsidR="7F46D3FF">
              <w:rPr>
                <w:rFonts w:ascii="Times New Roman" w:hAnsi="Times New Roman" w:eastAsia="Times New Roman" w:cs="Times New Roman"/>
                <w:color w:val="000000" w:themeColor="text1" w:themeTint="FF" w:themeShade="FF"/>
                <w:sz w:val="24"/>
                <w:szCs w:val="24"/>
                <w:lang w:val="en"/>
              </w:rPr>
              <w:t xml:space="preserve">Regulations governing licensure. </w:t>
            </w:r>
          </w:p>
          <w:p w:rsidR="7F46D3FF" w:rsidRDefault="7F46D3FF" w14:paraId="0C65DDB9" w14:textId="1880AA0F">
            <w:r w:rsidRPr="7F46D3FF" w:rsidR="7F46D3FF">
              <w:rPr>
                <w:rFonts w:ascii="Times New Roman" w:hAnsi="Times New Roman" w:eastAsia="Times New Roman" w:cs="Times New Roman"/>
                <w:color w:val="000000" w:themeColor="text1" w:themeTint="FF" w:themeShade="FF"/>
                <w:sz w:val="24"/>
                <w:szCs w:val="24"/>
                <w:lang w:val="en"/>
              </w:rPr>
              <w:t xml:space="preserve">A. As used in this section: </w:t>
            </w:r>
          </w:p>
          <w:p w:rsidR="7F46D3FF" w:rsidRDefault="7F46D3FF" w14:paraId="07BA804F" w14:textId="5BEAD1E4">
            <w:r w:rsidRPr="7F46D3FF" w:rsidR="7F46D3FF">
              <w:rPr>
                <w:rFonts w:ascii="Times New Roman" w:hAnsi="Times New Roman" w:eastAsia="Times New Roman" w:cs="Times New Roman"/>
                <w:color w:val="000000" w:themeColor="text1" w:themeTint="FF" w:themeShade="FF"/>
                <w:sz w:val="24"/>
                <w:szCs w:val="24"/>
                <w:lang w:val="en"/>
              </w:rPr>
              <w:t>"Alternate route to licensure" means a nontraditional route to teacher licensure available to individuals who meet the criteria specified in the</w:t>
            </w:r>
            <w:r w:rsidRPr="7F46D3FF" w:rsidR="7F46D3FF">
              <w:rPr>
                <w:rFonts w:ascii="Times New Roman" w:hAnsi="Times New Roman" w:eastAsia="Times New Roman" w:cs="Times New Roman"/>
                <w:i w:val="1"/>
                <w:iCs w:val="1"/>
                <w:color w:val="000000" w:themeColor="text1" w:themeTint="FF" w:themeShade="FF"/>
                <w:sz w:val="24"/>
                <w:szCs w:val="24"/>
                <w:lang w:val="en"/>
              </w:rPr>
              <w:t xml:space="preserve"> </w:t>
            </w:r>
            <w:r w:rsidRPr="7F46D3FF" w:rsidR="7F46D3FF">
              <w:rPr>
                <w:rFonts w:ascii="Times New Roman" w:hAnsi="Times New Roman" w:eastAsia="Times New Roman" w:cs="Times New Roman"/>
                <w:color w:val="000000" w:themeColor="text1" w:themeTint="FF" w:themeShade="FF"/>
                <w:sz w:val="24"/>
                <w:szCs w:val="24"/>
                <w:lang w:val="en"/>
              </w:rPr>
              <w:t xml:space="preserve">guidelines developed pursuant to subsection M or regulations issued by the Board of Education. </w:t>
            </w:r>
          </w:p>
          <w:p w:rsidR="7F46D3FF" w:rsidRDefault="7F46D3FF" w14:paraId="5F4758A8" w14:textId="1B2B0699">
            <w:r w:rsidRPr="7F46D3FF" w:rsidR="7F46D3FF">
              <w:rPr>
                <w:rFonts w:ascii="Times New Roman" w:hAnsi="Times New Roman" w:eastAsia="Times New Roman" w:cs="Times New Roman"/>
                <w:sz w:val="24"/>
                <w:szCs w:val="24"/>
                <w:lang w:val="en"/>
              </w:rPr>
              <w:t xml:space="preserve">… </w:t>
            </w:r>
          </w:p>
          <w:p w:rsidR="7F46D3FF" w:rsidRDefault="7F46D3FF" w14:paraId="6397BB47" w14:textId="66A46C5E">
            <w:r w:rsidRPr="7F46D3FF" w:rsidR="7F46D3FF">
              <w:rPr>
                <w:rFonts w:ascii="Times New Roman" w:hAnsi="Times New Roman" w:eastAsia="Times New Roman" w:cs="Times New Roman"/>
                <w:sz w:val="24"/>
                <w:szCs w:val="24"/>
                <w:lang w:val="en"/>
              </w:rPr>
              <w:t xml:space="preserve">M. 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7F46D3FF" w:rsidRDefault="7F46D3FF" w14:paraId="6B349755" w14:textId="333D1E29">
            <w:r w:rsidRPr="7F46D3FF" w:rsidR="7F46D3FF">
              <w:rPr>
                <w:rFonts w:ascii="Segoe UI" w:hAnsi="Segoe UI" w:eastAsia="Segoe UI" w:cs="Segoe UI"/>
                <w:sz w:val="18"/>
                <w:szCs w:val="18"/>
              </w:rPr>
              <w:t xml:space="preserve"> </w:t>
            </w:r>
          </w:p>
        </w:tc>
      </w:tr>
    </w:tbl>
    <w:p w:rsidR="292B1173" w:rsidRDefault="292B1173" w14:paraId="08FB69FF" w14:textId="6CD4825F">
      <w:r w:rsidRPr="7F46D3FF" w:rsidR="292B1173">
        <w:rPr>
          <w:rFonts w:ascii="Times New Roman" w:hAnsi="Times New Roman" w:eastAsia="Times New Roman" w:cs="Times New Roman"/>
          <w:noProof w:val="0"/>
          <w:sz w:val="24"/>
          <w:szCs w:val="24"/>
          <w:lang w:val="en"/>
        </w:rPr>
        <w:t xml:space="preserve"> </w:t>
      </w:r>
      <w:r w:rsidRPr="7F46D3FF" w:rsidR="292B1173">
        <w:rPr>
          <w:rFonts w:ascii="Times New Roman" w:hAnsi="Times New Roman" w:eastAsia="Times New Roman" w:cs="Times New Roman"/>
          <w:noProof w:val="0"/>
          <w:sz w:val="24"/>
          <w:szCs w:val="24"/>
          <w:lang w:val="en-US"/>
        </w:rPr>
        <w:t xml:space="preserve"> </w:t>
      </w:r>
    </w:p>
    <w:p w:rsidR="292B1173" w:rsidP="31E42715" w:rsidRDefault="292B1173" w14:paraId="7AEC615A" w14:textId="4629F597">
      <w:pPr>
        <w:rPr>
          <w:rFonts w:ascii="Times New Roman" w:hAnsi="Times New Roman" w:eastAsia="Times New Roman" w:cs="Times New Roman"/>
          <w:i w:val="0"/>
          <w:iCs w:val="0"/>
          <w:noProof w:val="0"/>
          <w:sz w:val="24"/>
          <w:szCs w:val="24"/>
          <w:lang w:val="en"/>
        </w:rPr>
      </w:pPr>
      <w:r w:rsidRPr="31E42715" w:rsidR="1807E72E">
        <w:rPr>
          <w:rFonts w:ascii="Times New Roman" w:hAnsi="Times New Roman" w:eastAsia="Times New Roman" w:cs="Times New Roman"/>
          <w:noProof w:val="0"/>
          <w:sz w:val="24"/>
          <w:szCs w:val="24"/>
          <w:lang w:val="en"/>
        </w:rPr>
        <w:t xml:space="preserve">The </w:t>
      </w:r>
      <w:r w:rsidRPr="31E42715" w:rsidR="1807E72E">
        <w:rPr>
          <w:rFonts w:ascii="Times New Roman" w:hAnsi="Times New Roman" w:eastAsia="Times New Roman" w:cs="Times New Roman"/>
          <w:i w:val="1"/>
          <w:iCs w:val="1"/>
          <w:noProof w:val="0"/>
          <w:sz w:val="24"/>
          <w:szCs w:val="24"/>
          <w:lang w:val="en"/>
        </w:rPr>
        <w:t>Guidelines</w:t>
      </w:r>
      <w:r w:rsidRPr="31E42715" w:rsidR="1807E72E">
        <w:rPr>
          <w:rFonts w:ascii="Times New Roman" w:hAnsi="Times New Roman" w:eastAsia="Times New Roman" w:cs="Times New Roman"/>
          <w:noProof w:val="0"/>
          <w:sz w:val="24"/>
          <w:szCs w:val="24"/>
          <w:lang w:val="en"/>
        </w:rPr>
        <w:t xml:space="preserve"> </w:t>
      </w:r>
      <w:r w:rsidRPr="31E42715" w:rsidR="7CD5AA48">
        <w:rPr>
          <w:rFonts w:ascii="Times New Roman" w:hAnsi="Times New Roman" w:eastAsia="Times New Roman" w:cs="Times New Roman"/>
          <w:noProof w:val="0"/>
          <w:sz w:val="24"/>
          <w:szCs w:val="24"/>
          <w:lang w:val="en"/>
        </w:rPr>
        <w:t xml:space="preserve">adopted by the Board </w:t>
      </w:r>
      <w:r w:rsidRPr="31E42715" w:rsidR="1807E72E">
        <w:rPr>
          <w:rFonts w:ascii="Times New Roman" w:hAnsi="Times New Roman" w:eastAsia="Times New Roman" w:cs="Times New Roman"/>
          <w:noProof w:val="0"/>
          <w:sz w:val="24"/>
          <w:szCs w:val="24"/>
          <w:lang w:val="en"/>
        </w:rPr>
        <w:t>became effective on January 23, 2020, after the 30-day public comment period.</w:t>
      </w:r>
      <w:r w:rsidRPr="31E42715" w:rsidR="01D96DCA">
        <w:rPr>
          <w:rFonts w:ascii="Times New Roman" w:hAnsi="Times New Roman" w:eastAsia="Times New Roman" w:cs="Times New Roman"/>
          <w:noProof w:val="0"/>
          <w:sz w:val="24"/>
          <w:szCs w:val="24"/>
          <w:lang w:val="en"/>
        </w:rPr>
        <w:t xml:space="preserve"> The Office of the Attorney General, in consultation with VDOE staff, recommended </w:t>
      </w:r>
      <w:r w:rsidRPr="31E42715" w:rsidR="34B25A19">
        <w:rPr>
          <w:rFonts w:ascii="Times New Roman" w:hAnsi="Times New Roman" w:eastAsia="Times New Roman" w:cs="Times New Roman"/>
          <w:noProof w:val="0"/>
          <w:sz w:val="24"/>
          <w:szCs w:val="24"/>
          <w:lang w:val="en"/>
        </w:rPr>
        <w:t xml:space="preserve">a </w:t>
      </w:r>
      <w:r w:rsidRPr="31E42715" w:rsidR="01D96DCA">
        <w:rPr>
          <w:rFonts w:ascii="Times New Roman" w:hAnsi="Times New Roman" w:eastAsia="Times New Roman" w:cs="Times New Roman"/>
          <w:noProof w:val="0"/>
          <w:sz w:val="24"/>
          <w:szCs w:val="24"/>
          <w:lang w:val="en"/>
        </w:rPr>
        <w:t xml:space="preserve">minor technical revision to the </w:t>
      </w:r>
      <w:r w:rsidRPr="31E42715" w:rsidR="01D96DCA">
        <w:rPr>
          <w:rFonts w:ascii="Times New Roman" w:hAnsi="Times New Roman" w:eastAsia="Times New Roman" w:cs="Times New Roman"/>
          <w:i w:val="1"/>
          <w:iCs w:val="1"/>
          <w:noProof w:val="0"/>
          <w:sz w:val="24"/>
          <w:szCs w:val="24"/>
          <w:lang w:val="en"/>
        </w:rPr>
        <w:t>Guidelines</w:t>
      </w:r>
      <w:r w:rsidRPr="31E42715" w:rsidR="07BBD20C">
        <w:rPr>
          <w:rFonts w:ascii="Times New Roman" w:hAnsi="Times New Roman" w:eastAsia="Times New Roman" w:cs="Times New Roman"/>
          <w:i w:val="1"/>
          <w:iCs w:val="1"/>
          <w:noProof w:val="0"/>
          <w:sz w:val="24"/>
          <w:szCs w:val="24"/>
          <w:lang w:val="en"/>
        </w:rPr>
        <w:t xml:space="preserve">. </w:t>
      </w:r>
      <w:r w:rsidRPr="31E42715" w:rsidR="07BBD20C">
        <w:rPr>
          <w:rFonts w:ascii="Times New Roman" w:hAnsi="Times New Roman" w:eastAsia="Times New Roman" w:cs="Times New Roman"/>
          <w:i w:val="0"/>
          <w:iCs w:val="0"/>
          <w:noProof w:val="0"/>
          <w:sz w:val="24"/>
          <w:szCs w:val="24"/>
          <w:lang w:val="en"/>
        </w:rPr>
        <w:t xml:space="preserve">The Board approved </w:t>
      </w:r>
      <w:r w:rsidRPr="31E42715" w:rsidR="25D152CC">
        <w:rPr>
          <w:rFonts w:ascii="Times New Roman" w:hAnsi="Times New Roman" w:eastAsia="Times New Roman" w:cs="Times New Roman"/>
          <w:i w:val="0"/>
          <w:iCs w:val="0"/>
          <w:noProof w:val="0"/>
          <w:sz w:val="24"/>
          <w:szCs w:val="24"/>
          <w:lang w:val="en"/>
        </w:rPr>
        <w:t xml:space="preserve">new </w:t>
      </w:r>
      <w:r w:rsidRPr="31E42715" w:rsidR="25D152CC">
        <w:rPr>
          <w:rFonts w:ascii="Times New Roman" w:hAnsi="Times New Roman" w:eastAsia="Times New Roman" w:cs="Times New Roman"/>
          <w:i w:val="1"/>
          <w:iCs w:val="1"/>
          <w:noProof w:val="0"/>
          <w:sz w:val="24"/>
          <w:szCs w:val="24"/>
          <w:lang w:val="en"/>
        </w:rPr>
        <w:t>Guidelines</w:t>
      </w:r>
      <w:r w:rsidRPr="31E42715" w:rsidR="25D152CC">
        <w:rPr>
          <w:rFonts w:ascii="Times New Roman" w:hAnsi="Times New Roman" w:eastAsia="Times New Roman" w:cs="Times New Roman"/>
          <w:i w:val="0"/>
          <w:iCs w:val="0"/>
          <w:noProof w:val="0"/>
          <w:sz w:val="24"/>
          <w:szCs w:val="24"/>
          <w:lang w:val="en"/>
        </w:rPr>
        <w:t xml:space="preserve">, which became effective on December 22, 2022, following a 30-day public comment period. </w:t>
      </w:r>
      <w:r w:rsidRPr="31E42715" w:rsidR="1807E72E">
        <w:rPr>
          <w:rFonts w:ascii="Times New Roman" w:hAnsi="Times New Roman" w:eastAsia="Times New Roman" w:cs="Times New Roman"/>
          <w:noProof w:val="0"/>
          <w:sz w:val="24"/>
          <w:szCs w:val="24"/>
          <w:lang w:val="en-US"/>
        </w:rPr>
        <w:t xml:space="preserve"> </w:t>
      </w:r>
    </w:p>
    <w:p w:rsidR="292B1173" w:rsidRDefault="292B1173" w14:paraId="53CFF6AA" w14:textId="1E933B7D">
      <w:r w:rsidRPr="7F46D3FF" w:rsidR="292B1173">
        <w:rPr>
          <w:rFonts w:ascii="Times New Roman" w:hAnsi="Times New Roman" w:eastAsia="Times New Roman" w:cs="Times New Roman"/>
          <w:noProof w:val="0"/>
          <w:sz w:val="24"/>
          <w:szCs w:val="24"/>
          <w:lang w:val="en-US"/>
        </w:rPr>
        <w:t xml:space="preserve"> </w:t>
      </w:r>
    </w:p>
    <w:p w:rsidR="292B1173" w:rsidRDefault="292B1173" w14:paraId="55ADD418" w14:textId="6221644B">
      <w:r w:rsidRPr="31E42715" w:rsidR="1807E72E">
        <w:rPr>
          <w:rFonts w:ascii="Times New Roman" w:hAnsi="Times New Roman" w:eastAsia="Times New Roman" w:cs="Times New Roman"/>
          <w:noProof w:val="0"/>
          <w:sz w:val="24"/>
          <w:szCs w:val="24"/>
          <w:lang w:val="en"/>
        </w:rPr>
        <w:t>The purpose of this alternate route to licensure is to ensure local school divisions have an opportunity to meet their unique needs in recruiting and retaining educators for their school communities. While each division may be different, the Board of Education determines the requirements of teacher licensure so that teachers across the Commonwealth are adequately prepared to meet the needs of students in every classroom. This legislation allows for different routes to teacher preparation</w:t>
      </w:r>
      <w:r w:rsidRPr="31E42715" w:rsidR="1807E72E">
        <w:rPr>
          <w:rFonts w:ascii="Times New Roman" w:hAnsi="Times New Roman" w:eastAsia="Times New Roman" w:cs="Times New Roman"/>
          <w:noProof w:val="0"/>
          <w:sz w:val="24"/>
          <w:szCs w:val="24"/>
          <w:lang w:val="en"/>
        </w:rPr>
        <w:t xml:space="preserve">. In accordance with </w:t>
      </w:r>
      <w:r w:rsidRPr="31E42715" w:rsidR="555FE780">
        <w:rPr>
          <w:rFonts w:ascii="Times New Roman" w:hAnsi="Times New Roman" w:eastAsia="Times New Roman" w:cs="Times New Roman"/>
          <w:noProof w:val="0"/>
          <w:sz w:val="24"/>
          <w:szCs w:val="24"/>
          <w:lang w:val="en"/>
        </w:rPr>
        <w:t>state law</w:t>
      </w:r>
      <w:r w:rsidRPr="31E42715" w:rsidR="1807E72E">
        <w:rPr>
          <w:rFonts w:ascii="Times New Roman" w:hAnsi="Times New Roman" w:eastAsia="Times New Roman" w:cs="Times New Roman"/>
          <w:noProof w:val="0"/>
          <w:sz w:val="24"/>
          <w:szCs w:val="24"/>
          <w:lang w:val="en"/>
        </w:rPr>
        <w:t xml:space="preserve">, school divisions are applying for approval to offer an alternate route to licensure for educator candidates to satisfy the requirements and competencies. Candidates who complete the school divisions’ Board approved alternate route under these </w:t>
      </w:r>
      <w:r w:rsidRPr="31E42715" w:rsidR="1807E72E">
        <w:rPr>
          <w:rFonts w:ascii="Times New Roman" w:hAnsi="Times New Roman" w:eastAsia="Times New Roman" w:cs="Times New Roman"/>
          <w:i w:val="1"/>
          <w:iCs w:val="1"/>
          <w:noProof w:val="0"/>
          <w:sz w:val="24"/>
          <w:szCs w:val="24"/>
          <w:lang w:val="en"/>
        </w:rPr>
        <w:t>Guidelines</w:t>
      </w:r>
      <w:r w:rsidRPr="31E42715" w:rsidR="1807E72E">
        <w:rPr>
          <w:rFonts w:ascii="Times New Roman" w:hAnsi="Times New Roman" w:eastAsia="Times New Roman" w:cs="Times New Roman"/>
          <w:noProof w:val="0"/>
          <w:sz w:val="24"/>
          <w:szCs w:val="24"/>
          <w:lang w:val="en"/>
        </w:rPr>
        <w:t xml:space="preserve"> will be issued a current Virginia educator license with the same type of endorsements as other candidates who completed an approved teacher preparation program or other approved alternate route to licensure.</w:t>
      </w:r>
      <w:r w:rsidRPr="31E42715" w:rsidR="1807E72E">
        <w:rPr>
          <w:rFonts w:ascii="Times New Roman" w:hAnsi="Times New Roman" w:eastAsia="Times New Roman" w:cs="Times New Roman"/>
          <w:noProof w:val="0"/>
          <w:sz w:val="24"/>
          <w:szCs w:val="24"/>
          <w:lang w:val="en-US"/>
        </w:rPr>
        <w:t xml:space="preserve"> </w:t>
      </w:r>
    </w:p>
    <w:p w:rsidR="292B1173" w:rsidRDefault="292B1173" w14:paraId="6E2929EA" w14:textId="08E0D6FB">
      <w:r w:rsidRPr="7F46D3FF" w:rsidR="292B1173">
        <w:rPr>
          <w:rFonts w:ascii="Times New Roman" w:hAnsi="Times New Roman" w:eastAsia="Times New Roman" w:cs="Times New Roman"/>
          <w:noProof w:val="0"/>
          <w:sz w:val="24"/>
          <w:szCs w:val="24"/>
          <w:lang w:val="en-US"/>
        </w:rPr>
        <w:t xml:space="preserve"> </w:t>
      </w:r>
    </w:p>
    <w:p w:rsidR="292B1173" w:rsidP="31E42715" w:rsidRDefault="292B1173" w14:paraId="7C9D23A7" w14:textId="0C0CCEE6">
      <w:pPr>
        <w:rPr>
          <w:rFonts w:ascii="Times New Roman" w:hAnsi="Times New Roman" w:eastAsia="Times New Roman" w:cs="Times New Roman"/>
          <w:noProof w:val="0"/>
          <w:color w:val="000000" w:themeColor="text1" w:themeTint="FF" w:themeShade="FF"/>
          <w:sz w:val="24"/>
          <w:szCs w:val="24"/>
          <w:lang w:val="en"/>
        </w:rPr>
      </w:pPr>
      <w:r w:rsidRPr="31E42715" w:rsidR="1807E72E">
        <w:rPr>
          <w:rFonts w:ascii="Times New Roman" w:hAnsi="Times New Roman" w:eastAsia="Times New Roman" w:cs="Times New Roman"/>
          <w:noProof w:val="0"/>
          <w:sz w:val="24"/>
          <w:szCs w:val="24"/>
          <w:lang w:val="en-US"/>
        </w:rPr>
        <w:t xml:space="preserve">Since </w:t>
      </w:r>
      <w:r w:rsidRPr="31E42715" w:rsidR="1807E72E">
        <w:rPr>
          <w:rFonts w:ascii="Times New Roman" w:hAnsi="Times New Roman" w:eastAsia="Times New Roman" w:cs="Times New Roman"/>
          <w:noProof w:val="0"/>
          <w:color w:val="000000" w:themeColor="text1" w:themeTint="FF" w:themeShade="FF"/>
          <w:sz w:val="24"/>
          <w:szCs w:val="24"/>
          <w:lang w:val="en-US"/>
        </w:rPr>
        <w:t>June 2022, 2</w:t>
      </w:r>
      <w:r w:rsidRPr="31E42715" w:rsidR="7F872A5F">
        <w:rPr>
          <w:rFonts w:ascii="Times New Roman" w:hAnsi="Times New Roman" w:eastAsia="Times New Roman" w:cs="Times New Roman"/>
          <w:noProof w:val="0"/>
          <w:color w:val="000000" w:themeColor="text1" w:themeTint="FF" w:themeShade="FF"/>
          <w:sz w:val="24"/>
          <w:szCs w:val="24"/>
          <w:lang w:val="en-US"/>
        </w:rPr>
        <w:t>2</w:t>
      </w:r>
      <w:r w:rsidRPr="31E42715" w:rsidR="1807E72E">
        <w:rPr>
          <w:rFonts w:ascii="Times New Roman" w:hAnsi="Times New Roman" w:eastAsia="Times New Roman" w:cs="Times New Roman"/>
          <w:noProof w:val="0"/>
          <w:color w:val="000000" w:themeColor="text1" w:themeTint="FF" w:themeShade="FF"/>
          <w:sz w:val="24"/>
          <w:szCs w:val="24"/>
          <w:lang w:val="en-US"/>
        </w:rPr>
        <w:t xml:space="preserve"> local school boards have applied for program review and approval to partner with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US"/>
        </w:rPr>
        <w:t>iteach</w:t>
      </w:r>
      <w:proofErr w:type="spellEnd"/>
      <w:r w:rsidRPr="31E42715" w:rsidR="1807E72E">
        <w:rPr>
          <w:rFonts w:ascii="Times New Roman" w:hAnsi="Times New Roman" w:eastAsia="Times New Roman" w:cs="Times New Roman"/>
          <w:noProof w:val="0"/>
          <w:color w:val="000000" w:themeColor="text1" w:themeTint="FF" w:themeShade="FF"/>
          <w:sz w:val="24"/>
          <w:szCs w:val="24"/>
          <w:lang w:val="en-US"/>
        </w:rPr>
        <w:t xml:space="preserve"> to provide professional studies, content, and ensure assessments are passed. The Office of Licensure and School Leadership coordinated the review of the proposed alternate route program. The panel consisted of a representative from an institution of higher education who works with teacher educator preparation programs, a school division assistant superintendent for curriculum, and leadership from the </w:t>
      </w:r>
      <w:r w:rsidRPr="31E42715" w:rsidR="1807E72E">
        <w:rPr>
          <w:rFonts w:ascii="Times New Roman" w:hAnsi="Times New Roman" w:eastAsia="Times New Roman" w:cs="Times New Roman"/>
          <w:noProof w:val="0"/>
          <w:color w:val="000000" w:themeColor="text1" w:themeTint="FF" w:themeShade="FF"/>
          <w:sz w:val="24"/>
          <w:szCs w:val="24"/>
          <w:lang w:val="en-US"/>
        </w:rPr>
        <w:t>VDOE</w:t>
      </w:r>
      <w:r w:rsidRPr="31E42715" w:rsidR="1807E72E">
        <w:rPr>
          <w:rFonts w:ascii="Times New Roman" w:hAnsi="Times New Roman" w:eastAsia="Times New Roman" w:cs="Times New Roman"/>
          <w:noProof w:val="0"/>
          <w:color w:val="000000" w:themeColor="text1" w:themeTint="FF" w:themeShade="FF"/>
          <w:sz w:val="24"/>
          <w:szCs w:val="24"/>
          <w:lang w:val="en-US"/>
        </w:rPr>
        <w:t xml:space="preserve">. On February 27, 2023, the panel convened to review the applications. </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The panel determined that </w:t>
      </w:r>
      <w:r w:rsidRPr="31E42715" w:rsidR="431A0D9C">
        <w:rPr>
          <w:rFonts w:ascii="Times New Roman" w:hAnsi="Times New Roman" w:eastAsia="Times New Roman" w:cs="Times New Roman"/>
          <w:noProof w:val="0"/>
          <w:color w:val="000000" w:themeColor="text1" w:themeTint="FF" w:themeShade="FF"/>
          <w:sz w:val="24"/>
          <w:szCs w:val="24"/>
          <w:lang w:val="en"/>
        </w:rPr>
        <w:t>th</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e professional studies courses being offered by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
        </w:rPr>
        <w:t>iteach</w:t>
      </w:r>
      <w:proofErr w:type="spellEnd"/>
      <w:r w:rsidRPr="31E42715" w:rsidR="1807E72E">
        <w:rPr>
          <w:rFonts w:ascii="Times New Roman" w:hAnsi="Times New Roman" w:eastAsia="Times New Roman" w:cs="Times New Roman"/>
          <w:noProof w:val="0"/>
          <w:color w:val="000000" w:themeColor="text1" w:themeTint="FF" w:themeShade="FF"/>
          <w:sz w:val="24"/>
          <w:szCs w:val="24"/>
          <w:lang w:val="en"/>
        </w:rPr>
        <w:t xml:space="preserve"> met the competencies of the </w:t>
      </w:r>
      <w:r w:rsidRPr="31E42715" w:rsidR="1807E72E">
        <w:rPr>
          <w:rFonts w:ascii="Times New Roman" w:hAnsi="Times New Roman" w:eastAsia="Times New Roman" w:cs="Times New Roman"/>
          <w:i w:val="1"/>
          <w:iCs w:val="1"/>
          <w:noProof w:val="0"/>
          <w:color w:val="000000" w:themeColor="text1" w:themeTint="FF" w:themeShade="FF"/>
          <w:sz w:val="24"/>
          <w:szCs w:val="24"/>
          <w:lang w:val="en"/>
        </w:rPr>
        <w:t>Approved Program Regulations</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for secondary endorsements with a Praxis content assessment</w:t>
      </w:r>
      <w:r w:rsidRPr="31E42715" w:rsidR="0BC2A92F">
        <w:rPr>
          <w:rFonts w:ascii="Times New Roman" w:hAnsi="Times New Roman" w:eastAsia="Times New Roman" w:cs="Times New Roman"/>
          <w:noProof w:val="0"/>
          <w:color w:val="000000" w:themeColor="text1" w:themeTint="FF" w:themeShade="FF"/>
          <w:sz w:val="24"/>
          <w:szCs w:val="24"/>
          <w:lang w:val="en"/>
        </w:rPr>
        <w:t>. F</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urther review by </w:t>
      </w:r>
      <w:r w:rsidRPr="31E42715" w:rsidR="1807E72E">
        <w:rPr>
          <w:rFonts w:ascii="Times New Roman" w:hAnsi="Times New Roman" w:eastAsia="Times New Roman" w:cs="Times New Roman"/>
          <w:noProof w:val="0"/>
          <w:color w:val="000000" w:themeColor="text1" w:themeTint="FF" w:themeShade="FF"/>
          <w:sz w:val="24"/>
          <w:szCs w:val="24"/>
          <w:lang w:val="en"/>
        </w:rPr>
        <w:t>VDOE</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content experts in language acquisition, reading and writing, elementary methods of teaching, middle school language and acquisition and reading development,</w:t>
      </w:r>
      <w:r w:rsidRPr="31E42715" w:rsidR="65D7DFD2">
        <w:rPr>
          <w:rFonts w:ascii="Times New Roman" w:hAnsi="Times New Roman" w:eastAsia="Times New Roman" w:cs="Times New Roman"/>
          <w:noProof w:val="0"/>
          <w:color w:val="000000" w:themeColor="text1" w:themeTint="FF" w:themeShade="FF"/>
          <w:sz w:val="24"/>
          <w:szCs w:val="24"/>
          <w:lang w:val="en"/>
        </w:rPr>
        <w:t xml:space="preserve"> and</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literacy</w:t>
      </w:r>
      <w:r w:rsidRPr="31E42715" w:rsidR="66F85D73">
        <w:rPr>
          <w:rFonts w:ascii="Times New Roman" w:hAnsi="Times New Roman" w:eastAsia="Times New Roman" w:cs="Times New Roman"/>
          <w:noProof w:val="0"/>
          <w:color w:val="000000" w:themeColor="text1" w:themeTint="FF" w:themeShade="FF"/>
          <w:sz w:val="24"/>
          <w:szCs w:val="24"/>
          <w:lang w:val="en"/>
        </w:rPr>
        <w:t>,</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determined that while the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
        </w:rPr>
        <w:t>iteach</w:t>
      </w:r>
      <w:proofErr w:type="spellEnd"/>
      <w:r w:rsidRPr="31E42715" w:rsidR="1807E72E">
        <w:rPr>
          <w:rFonts w:ascii="Times New Roman" w:hAnsi="Times New Roman" w:eastAsia="Times New Roman" w:cs="Times New Roman"/>
          <w:noProof w:val="0"/>
          <w:color w:val="000000" w:themeColor="text1" w:themeTint="FF" w:themeShade="FF"/>
          <w:sz w:val="24"/>
          <w:szCs w:val="24"/>
          <w:lang w:val="en"/>
        </w:rPr>
        <w:t xml:space="preserve"> curriculum </w:t>
      </w:r>
      <w:r w:rsidRPr="31E42715" w:rsidR="37C17F00">
        <w:rPr>
          <w:rFonts w:ascii="Times New Roman" w:hAnsi="Times New Roman" w:eastAsia="Times New Roman" w:cs="Times New Roman"/>
          <w:noProof w:val="0"/>
          <w:color w:val="000000" w:themeColor="text1" w:themeTint="FF" w:themeShade="FF"/>
          <w:sz w:val="24"/>
          <w:szCs w:val="24"/>
          <w:lang w:val="en"/>
        </w:rPr>
        <w:t xml:space="preserve">provided </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a good foundation, the required competencies in the methods of teaching in certain subjects, as well as additional professional studies coursework in language and literacy, for the Elementary Education endorsements and Middle School endorsements were not satisfied entirely. The </w:t>
      </w:r>
      <w:hyperlink r:id="Rae745960c1dc44b5">
        <w:r w:rsidRPr="31E42715" w:rsidR="1807E72E">
          <w:rPr>
            <w:rStyle w:val="Hyperlink"/>
            <w:rFonts w:ascii="Times New Roman" w:hAnsi="Times New Roman" w:eastAsia="Times New Roman" w:cs="Times New Roman"/>
            <w:i w:val="1"/>
            <w:iCs w:val="1"/>
            <w:strike w:val="0"/>
            <w:dstrike w:val="0"/>
            <w:noProof w:val="0"/>
            <w:sz w:val="24"/>
            <w:szCs w:val="24"/>
            <w:lang w:val="en"/>
          </w:rPr>
          <w:t>Regulations Governing the Review and Approval of Education Programs in Virginia</w:t>
        </w:r>
      </w:hyperlink>
      <w:r w:rsidRPr="31E42715" w:rsidR="1807E72E">
        <w:rPr>
          <w:rFonts w:ascii="Times New Roman" w:hAnsi="Times New Roman" w:eastAsia="Times New Roman" w:cs="Times New Roman"/>
          <w:noProof w:val="0"/>
          <w:color w:val="000000" w:themeColor="text1" w:themeTint="FF" w:themeShade="FF"/>
          <w:sz w:val="24"/>
          <w:szCs w:val="24"/>
          <w:lang w:val="en"/>
        </w:rPr>
        <w:t xml:space="preserve"> provide that individuals must satisfy: </w:t>
      </w:r>
      <w:proofErr w:type="spellStart"/>
      <w:proofErr w:type="spellEnd"/>
    </w:p>
    <w:p w:rsidR="7F46D3FF" w:rsidP="7F46D3FF" w:rsidRDefault="7F46D3FF" w14:paraId="2CAB26CD" w14:textId="723DA7E4">
      <w:pPr>
        <w:pStyle w:val="Normal"/>
        <w:rPr>
          <w:rFonts w:ascii="Times New Roman" w:hAnsi="Times New Roman" w:eastAsia="Times New Roman" w:cs="Times New Roman"/>
          <w:noProof w:val="0"/>
          <w:color w:val="000000" w:themeColor="text1" w:themeTint="FF" w:themeShade="FF"/>
          <w:sz w:val="24"/>
          <w:szCs w:val="24"/>
          <w:lang w:val="en"/>
        </w:rPr>
      </w:pPr>
    </w:p>
    <w:tbl>
      <w:tblPr>
        <w:tblStyle w:val="TableGrid"/>
        <w:tblW w:w="0" w:type="auto"/>
        <w:tblLayout w:type="fixed"/>
        <w:tblLook w:val="06A0" w:firstRow="1" w:lastRow="0" w:firstColumn="1" w:lastColumn="0" w:noHBand="1" w:noVBand="1"/>
      </w:tblPr>
      <w:tblGrid>
        <w:gridCol w:w="9360"/>
      </w:tblGrid>
      <w:tr w:rsidR="7F46D3FF" w:rsidTr="7F46D3FF" w14:paraId="2BB3DC72">
        <w:trPr>
          <w:trHeight w:val="300"/>
        </w:trPr>
        <w:tc>
          <w:tcPr>
            <w:tcW w:w="9360" w:type="dxa"/>
            <w:tcBorders>
              <w:top w:val="single" w:sz="8"/>
              <w:left w:val="single" w:sz="8"/>
              <w:bottom w:val="single" w:sz="8"/>
              <w:right w:val="single" w:sz="8"/>
            </w:tcBorders>
            <w:tcMar>
              <w:left w:w="108" w:type="dxa"/>
              <w:right w:w="108" w:type="dxa"/>
            </w:tcMar>
            <w:vAlign w:val="top"/>
          </w:tcPr>
          <w:p w:rsidR="7F46D3FF" w:rsidP="7F46D3FF" w:rsidRDefault="7F46D3FF" w14:paraId="5D025080" w14:textId="77831D6A">
            <w:pPr>
              <w:pStyle w:val="Heading2"/>
            </w:pPr>
            <w:hyperlink r:id="R5da743e7ee7b400d">
              <w:r w:rsidRPr="7F46D3FF" w:rsidR="7F46D3FF">
                <w:rPr>
                  <w:rStyle w:val="Hyperlink"/>
                  <w:rFonts w:ascii="Times New Roman" w:hAnsi="Times New Roman" w:eastAsia="Times New Roman" w:cs="Times New Roman"/>
                  <w:b w:val="0"/>
                  <w:bCs w:val="0"/>
                  <w:strike w:val="0"/>
                  <w:dstrike w:val="0"/>
                  <w:sz w:val="24"/>
                  <w:szCs w:val="24"/>
                  <w:lang w:val="en"/>
                </w:rPr>
                <w:t>8VAC20-543-120</w:t>
              </w:r>
            </w:hyperlink>
          </w:p>
          <w:p w:rsidR="7F46D3FF" w:rsidRDefault="7F46D3FF" w14:paraId="1974D54E" w14:textId="0C52C10C">
            <w:r w:rsidRPr="7F46D3FF" w:rsidR="7F46D3FF">
              <w:rPr>
                <w:rFonts w:ascii="Times New Roman" w:hAnsi="Times New Roman" w:eastAsia="Times New Roman" w:cs="Times New Roman"/>
                <w:sz w:val="24"/>
                <w:szCs w:val="24"/>
                <w:lang w:val="en"/>
              </w:rPr>
              <w:t>...Virginia's core academic areas of English, mathematics, history and social sciences, such as history, government, geography, and economics, or science and demonstrated the following competencies:</w:t>
            </w:r>
          </w:p>
          <w:p w:rsidR="7F46D3FF" w:rsidRDefault="7F46D3FF" w14:paraId="68CD75C1" w14:textId="54525B3B">
            <w:r w:rsidRPr="7F46D3FF" w:rsidR="7F46D3FF">
              <w:rPr>
                <w:rFonts w:ascii="Times New Roman" w:hAnsi="Times New Roman" w:eastAsia="Times New Roman" w:cs="Times New Roman"/>
                <w:sz w:val="24"/>
                <w:szCs w:val="24"/>
                <w:lang w:val="en"/>
              </w:rPr>
              <w:t>1. Methods.</w:t>
            </w:r>
          </w:p>
          <w:p w:rsidR="7F46D3FF" w:rsidP="7F46D3FF" w:rsidRDefault="7F46D3FF" w14:paraId="0777E750" w14:textId="09AD971C">
            <w:pPr>
              <w:ind w:left="720"/>
            </w:pPr>
            <w:r w:rsidRPr="7F46D3FF" w:rsidR="7F46D3FF">
              <w:rPr>
                <w:rFonts w:ascii="Times New Roman" w:hAnsi="Times New Roman" w:eastAsia="Times New Roman" w:cs="Times New Roman"/>
                <w:sz w:val="24"/>
                <w:szCs w:val="24"/>
                <w:lang w:val="en"/>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7F46D3FF" w:rsidP="7F46D3FF" w:rsidRDefault="7F46D3FF" w14:paraId="27E10660" w14:textId="3480BFBD">
            <w:pPr>
              <w:ind w:left="720"/>
            </w:pPr>
            <w:r w:rsidRPr="7F46D3FF" w:rsidR="7F46D3FF">
              <w:rPr>
                <w:rFonts w:ascii="Times New Roman" w:hAnsi="Times New Roman" w:eastAsia="Times New Roman" w:cs="Times New Roman"/>
                <w:sz w:val="24"/>
                <w:szCs w:val="24"/>
                <w:lang w:val="en"/>
              </w:rPr>
              <w:t>b. Understanding of current research on the brain, its role in learning, and implications for instruction;</w:t>
            </w:r>
          </w:p>
          <w:p w:rsidR="7F46D3FF" w:rsidP="7F46D3FF" w:rsidRDefault="7F46D3FF" w14:paraId="78207088" w14:textId="5D26103B">
            <w:pPr>
              <w:ind w:left="720"/>
            </w:pPr>
            <w:r w:rsidRPr="7F46D3FF" w:rsidR="7F46D3FF">
              <w:rPr>
                <w:rFonts w:ascii="Times New Roman" w:hAnsi="Times New Roman" w:eastAsia="Times New Roman" w:cs="Times New Roman"/>
                <w:sz w:val="24"/>
                <w:szCs w:val="24"/>
                <w:lang w:val="en"/>
              </w:rPr>
              <w:t>c. The ability to integrate English, mathematics, science, health, history and social sciences, art, music, drama, movement, and technology in learning experiences;</w:t>
            </w:r>
          </w:p>
          <w:p w:rsidR="7F46D3FF" w:rsidP="7F46D3FF" w:rsidRDefault="7F46D3FF" w14:paraId="14160232" w14:textId="7894B2B8">
            <w:pPr>
              <w:ind w:left="720"/>
            </w:pPr>
            <w:r w:rsidRPr="7F46D3FF" w:rsidR="7F46D3FF">
              <w:rPr>
                <w:rFonts w:ascii="Times New Roman" w:hAnsi="Times New Roman" w:eastAsia="Times New Roman" w:cs="Times New Roman"/>
                <w:sz w:val="24"/>
                <w:szCs w:val="24"/>
                <w:lang w:val="en"/>
              </w:rPr>
              <w:t>d. The use of differentiated instruction and flexible groupings to meet the needs of learners at different stages of development, abilities, and achievement;</w:t>
            </w:r>
          </w:p>
          <w:p w:rsidR="7F46D3FF" w:rsidP="7F46D3FF" w:rsidRDefault="7F46D3FF" w14:paraId="16D29681" w14:textId="596AB0E4">
            <w:pPr>
              <w:ind w:left="720"/>
            </w:pPr>
            <w:r w:rsidRPr="7F46D3FF" w:rsidR="7F46D3FF">
              <w:rPr>
                <w:rFonts w:ascii="Times New Roman" w:hAnsi="Times New Roman" w:eastAsia="Times New Roman" w:cs="Times New Roman"/>
                <w:sz w:val="24"/>
                <w:szCs w:val="24"/>
                <w:lang w:val="en"/>
              </w:rPr>
              <w:t>e. The use of appropriate methods, including those in visual and performing arts, to help learners develop knowledge and basic skills, sustain intellectual curiosity, and problem-solve;</w:t>
            </w:r>
          </w:p>
          <w:p w:rsidR="7F46D3FF" w:rsidP="7F46D3FF" w:rsidRDefault="7F46D3FF" w14:paraId="739DB08F" w14:textId="3F1C8849">
            <w:pPr>
              <w:ind w:left="720"/>
            </w:pPr>
            <w:r w:rsidRPr="7F46D3FF" w:rsidR="7F46D3FF">
              <w:rPr>
                <w:rFonts w:ascii="Times New Roman" w:hAnsi="Times New Roman" w:eastAsia="Times New Roman" w:cs="Times New Roman"/>
                <w:sz w:val="24"/>
                <w:szCs w:val="24"/>
                <w:lang w:val="en"/>
              </w:rPr>
              <w:t>f. The ability to utilize effective classroom and behavior management skills through methods that build responsibility and self-discipline promote self-regulation, and maintain a positive learning environment;</w:t>
            </w:r>
          </w:p>
          <w:p w:rsidR="7F46D3FF" w:rsidP="7F46D3FF" w:rsidRDefault="7F46D3FF" w14:paraId="70D1AC92" w14:textId="584BB9CD">
            <w:pPr>
              <w:ind w:left="720"/>
            </w:pPr>
            <w:r w:rsidRPr="7F46D3FF" w:rsidR="7F46D3FF">
              <w:rPr>
                <w:rFonts w:ascii="Times New Roman" w:hAnsi="Times New Roman" w:eastAsia="Times New Roman" w:cs="Times New Roman"/>
                <w:sz w:val="24"/>
                <w:szCs w:val="24"/>
                <w:lang w:val="en"/>
              </w:rPr>
              <w:t>g. The ability to modify and manage learning environments and experiences to meet the individual needs of children, including children with disabilities, gifted children, children who are English learners, and children with diverse cultural needs;</w:t>
            </w:r>
          </w:p>
          <w:p w:rsidR="7F46D3FF" w:rsidP="7F46D3FF" w:rsidRDefault="7F46D3FF" w14:paraId="677D4697" w14:textId="7D344B80">
            <w:pPr>
              <w:ind w:left="720"/>
            </w:pPr>
            <w:r w:rsidRPr="7F46D3FF" w:rsidR="7F46D3FF">
              <w:rPr>
                <w:rFonts w:ascii="Times New Roman" w:hAnsi="Times New Roman" w:eastAsia="Times New Roman" w:cs="Times New Roman"/>
                <w:sz w:val="24"/>
                <w:szCs w:val="24"/>
                <w:lang w:val="en"/>
              </w:rPr>
              <w:t>h. The ability to use formal and informal assessments to diagnose needs, plan and modify instruction, and record student progress;</w:t>
            </w:r>
          </w:p>
          <w:p w:rsidR="7F46D3FF" w:rsidP="7F46D3FF" w:rsidRDefault="7F46D3FF" w14:paraId="37948C3D" w14:textId="065F86FD">
            <w:pPr>
              <w:ind w:left="720"/>
            </w:pPr>
            <w:proofErr w:type="spellStart"/>
            <w:r w:rsidRPr="7F46D3FF" w:rsidR="7F46D3FF">
              <w:rPr>
                <w:rFonts w:ascii="Times New Roman" w:hAnsi="Times New Roman" w:eastAsia="Times New Roman" w:cs="Times New Roman"/>
                <w:sz w:val="24"/>
                <w:szCs w:val="24"/>
                <w:lang w:val="en"/>
              </w:rPr>
              <w:t>i</w:t>
            </w:r>
            <w:proofErr w:type="spellEnd"/>
            <w:r w:rsidRPr="7F46D3FF" w:rsidR="7F46D3FF">
              <w:rPr>
                <w:rFonts w:ascii="Times New Roman" w:hAnsi="Times New Roman" w:eastAsia="Times New Roman" w:cs="Times New Roman"/>
                <w:sz w:val="24"/>
                <w:szCs w:val="24"/>
                <w:lang w:val="en"/>
              </w:rPr>
              <w:t>. A commitment to professional growth and development through reflection, collaboration, and continuous learning;</w:t>
            </w:r>
          </w:p>
          <w:p w:rsidR="7F46D3FF" w:rsidP="7F46D3FF" w:rsidRDefault="7F46D3FF" w14:paraId="524F1B06" w14:textId="3B83D873">
            <w:pPr>
              <w:ind w:left="720"/>
            </w:pPr>
            <w:r w:rsidRPr="7F46D3FF" w:rsidR="7F46D3FF">
              <w:rPr>
                <w:rFonts w:ascii="Times New Roman" w:hAnsi="Times New Roman" w:eastAsia="Times New Roman" w:cs="Times New Roman"/>
                <w:sz w:val="24"/>
                <w:szCs w:val="24"/>
                <w:lang w:val="en"/>
              </w:rPr>
              <w:t>j. The ability to analyze, evaluate, and apply quantitative and qualitative research; and</w:t>
            </w:r>
          </w:p>
          <w:p w:rsidR="7F46D3FF" w:rsidP="7F46D3FF" w:rsidRDefault="7F46D3FF" w14:paraId="01A401C0" w14:textId="20D9AC77">
            <w:pPr>
              <w:ind w:left="720"/>
            </w:pPr>
            <w:r w:rsidRPr="7F46D3FF" w:rsidR="7F46D3FF">
              <w:rPr>
                <w:rFonts w:ascii="Times New Roman" w:hAnsi="Times New Roman" w:eastAsia="Times New Roman" w:cs="Times New Roman"/>
                <w:sz w:val="24"/>
                <w:szCs w:val="24"/>
                <w:lang w:val="en"/>
              </w:rPr>
              <w:t>k. Understanding of the Virginia Standards of Learning for Computer Technology and the ability to use technology as a tool for teaching, learning, research, and communication; and</w:t>
            </w:r>
          </w:p>
          <w:p w:rsidR="7F46D3FF" w:rsidP="7F46D3FF" w:rsidRDefault="7F46D3FF" w14:paraId="1283FFF2" w14:textId="736DA3FB">
            <w:pPr>
              <w:ind w:left="720"/>
            </w:pPr>
            <w:r w:rsidRPr="7F46D3FF" w:rsidR="7F46D3FF">
              <w:rPr>
                <w:rFonts w:ascii="Times New Roman" w:hAnsi="Times New Roman" w:eastAsia="Times New Roman" w:cs="Times New Roman"/>
                <w:sz w:val="24"/>
                <w:szCs w:val="24"/>
                <w:lang w:val="en"/>
              </w:rPr>
              <w:t>l. The ability to adapt task and interactions to maximize language development, conceptual understanding, and skill competence within each child's zone of proximal development.</w:t>
            </w:r>
          </w:p>
          <w:p w:rsidR="7F46D3FF" w:rsidRDefault="7F46D3FF" w14:paraId="0B63B5A9" w14:textId="6702A7B6">
            <w:r w:rsidRPr="7F46D3FF" w:rsidR="7F46D3FF">
              <w:rPr>
                <w:rFonts w:ascii="Times New Roman" w:hAnsi="Times New Roman" w:eastAsia="Times New Roman" w:cs="Times New Roman"/>
                <w:sz w:val="24"/>
                <w:szCs w:val="24"/>
                <w:lang w:val="en"/>
              </w:rPr>
              <w:t xml:space="preserve"> </w:t>
            </w:r>
          </w:p>
          <w:p w:rsidR="7F46D3FF" w:rsidP="7F46D3FF" w:rsidRDefault="7F46D3FF" w14:paraId="4C5FD5D4" w14:textId="355813C5">
            <w:pPr>
              <w:pStyle w:val="Heading2"/>
            </w:pPr>
            <w:hyperlink r:id="R00e8188c8bad4a45">
              <w:r w:rsidRPr="7F46D3FF" w:rsidR="7F46D3FF">
                <w:rPr>
                  <w:rStyle w:val="Hyperlink"/>
                  <w:rFonts w:ascii="Times New Roman" w:hAnsi="Times New Roman" w:eastAsia="Times New Roman" w:cs="Times New Roman"/>
                  <w:b w:val="0"/>
                  <w:bCs w:val="0"/>
                  <w:strike w:val="0"/>
                  <w:dstrike w:val="0"/>
                  <w:sz w:val="24"/>
                  <w:szCs w:val="24"/>
                  <w:lang w:val="en"/>
                </w:rPr>
                <w:t>8VAC20-543-130</w:t>
              </w:r>
            </w:hyperlink>
          </w:p>
          <w:p w:rsidR="7F46D3FF" w:rsidRDefault="7F46D3FF" w14:paraId="79207815" w14:textId="5BD40C39">
            <w:r w:rsidRPr="7F46D3FF" w:rsidR="7F46D3FF">
              <w:rPr>
                <w:rFonts w:ascii="Times New Roman" w:hAnsi="Times New Roman" w:eastAsia="Times New Roman" w:cs="Times New Roman"/>
                <w:sz w:val="24"/>
                <w:szCs w:val="24"/>
                <w:lang w:val="en"/>
              </w:rPr>
              <w:t>The program in middle education 6-8 with at least one area of academic preparation shall ensure that the candidate has demonstrated the following competencies:</w:t>
            </w:r>
          </w:p>
          <w:p w:rsidR="7F46D3FF" w:rsidRDefault="7F46D3FF" w14:paraId="4E936CBC" w14:textId="5F4C0055">
            <w:r w:rsidRPr="7F46D3FF" w:rsidR="7F46D3FF">
              <w:rPr>
                <w:rFonts w:ascii="Times New Roman" w:hAnsi="Times New Roman" w:eastAsia="Times New Roman" w:cs="Times New Roman"/>
                <w:sz w:val="24"/>
                <w:szCs w:val="24"/>
                <w:lang w:val="en"/>
              </w:rPr>
              <w:t>1. Methods.</w:t>
            </w:r>
          </w:p>
          <w:p w:rsidR="7F46D3FF" w:rsidP="7F46D3FF" w:rsidRDefault="7F46D3FF" w14:paraId="18881005" w14:textId="112AD729">
            <w:pPr>
              <w:ind w:left="720"/>
            </w:pPr>
            <w:r w:rsidRPr="7F46D3FF" w:rsidR="7F46D3FF">
              <w:rPr>
                <w:rFonts w:ascii="Times New Roman" w:hAnsi="Times New Roman" w:eastAsia="Times New Roman" w:cs="Times New Roman"/>
                <w:sz w:val="24"/>
                <w:szCs w:val="24"/>
                <w:lang w:val="en"/>
              </w:rPr>
              <w:t>a. Understanding of the required knowledge, skills, and processes to support learners in achievement of the Virginia Standards of Learning for grades 6-8;</w:t>
            </w:r>
          </w:p>
          <w:p w:rsidR="7F46D3FF" w:rsidP="7F46D3FF" w:rsidRDefault="7F46D3FF" w14:paraId="591A8A05" w14:textId="3C9EF399">
            <w:pPr>
              <w:ind w:left="720"/>
            </w:pPr>
            <w:r w:rsidRPr="7F46D3FF" w:rsidR="7F46D3FF">
              <w:rPr>
                <w:rFonts w:ascii="Times New Roman" w:hAnsi="Times New Roman" w:eastAsia="Times New Roman" w:cs="Times New Roman"/>
                <w:sz w:val="24"/>
                <w:szCs w:val="24"/>
                <w:lang w:val="en"/>
              </w:rPr>
              <w:t>b. The use of appropriate methods, including direct instruction and inquiry-based instructional methods, to help learners develop knowledge and skills, sustain intellectual curiosity, and solve problems;</w:t>
            </w:r>
          </w:p>
          <w:p w:rsidR="7F46D3FF" w:rsidP="7F46D3FF" w:rsidRDefault="7F46D3FF" w14:paraId="110D97CE" w14:textId="045C19F5">
            <w:pPr>
              <w:ind w:left="720"/>
            </w:pPr>
            <w:r w:rsidRPr="7F46D3FF" w:rsidR="7F46D3FF">
              <w:rPr>
                <w:rFonts w:ascii="Times New Roman" w:hAnsi="Times New Roman" w:eastAsia="Times New Roman" w:cs="Times New Roman"/>
                <w:sz w:val="24"/>
                <w:szCs w:val="24"/>
                <w:lang w:val="en"/>
              </w:rPr>
              <w:t>c. The ability to plan and teach collaboratively to facilitate interdisciplinary learning;</w:t>
            </w:r>
          </w:p>
          <w:p w:rsidR="7F46D3FF" w:rsidP="7F46D3FF" w:rsidRDefault="7F46D3FF" w14:paraId="6033108F" w14:textId="2BD5EF57">
            <w:pPr>
              <w:ind w:left="720"/>
            </w:pPr>
            <w:r w:rsidRPr="7F46D3FF" w:rsidR="7F46D3FF">
              <w:rPr>
                <w:rFonts w:ascii="Times New Roman" w:hAnsi="Times New Roman" w:eastAsia="Times New Roman" w:cs="Times New Roman"/>
                <w:sz w:val="24"/>
                <w:szCs w:val="24"/>
                <w:lang w:val="en"/>
              </w:rPr>
              <w:t>d. The use of differentiated instruction and flexible groupings to meet the needs of preadolescents at different stages of development, abilities, and achievement;</w:t>
            </w:r>
          </w:p>
          <w:p w:rsidR="7F46D3FF" w:rsidP="7F46D3FF" w:rsidRDefault="7F46D3FF" w14:paraId="56B641C3" w14:textId="21AB5B36">
            <w:pPr>
              <w:ind w:left="720"/>
            </w:pPr>
            <w:r w:rsidRPr="7F46D3FF" w:rsidR="7F46D3FF">
              <w:rPr>
                <w:rFonts w:ascii="Times New Roman" w:hAnsi="Times New Roman" w:eastAsia="Times New Roman" w:cs="Times New Roman"/>
                <w:sz w:val="24"/>
                <w:szCs w:val="24"/>
                <w:lang w:val="en"/>
              </w:rPr>
              <w:t>e. The ability to utilize effective classroom and behavior management skills through methods that build responsibility and self-discipline and maintain a positive learning environment;</w:t>
            </w:r>
          </w:p>
          <w:p w:rsidR="7F46D3FF" w:rsidP="7F46D3FF" w:rsidRDefault="7F46D3FF" w14:paraId="127D4276" w14:textId="4085E32A">
            <w:pPr>
              <w:ind w:left="720"/>
            </w:pPr>
            <w:r w:rsidRPr="7F46D3FF" w:rsidR="7F46D3FF">
              <w:rPr>
                <w:rFonts w:ascii="Times New Roman" w:hAnsi="Times New Roman" w:eastAsia="Times New Roman" w:cs="Times New Roman"/>
                <w:sz w:val="24"/>
                <w:szCs w:val="24"/>
                <w:lang w:val="en"/>
              </w:rPr>
              <w:t>f. The ability to modify and manage learning environments and experiences to meet the individual needs of preadolescents, including children with disabilities, gifted children, and children who are English learners;</w:t>
            </w:r>
          </w:p>
          <w:p w:rsidR="7F46D3FF" w:rsidP="7F46D3FF" w:rsidRDefault="7F46D3FF" w14:paraId="3570992B" w14:textId="4E8B9BA2">
            <w:pPr>
              <w:ind w:left="720"/>
            </w:pPr>
            <w:r w:rsidRPr="7F46D3FF" w:rsidR="7F46D3FF">
              <w:rPr>
                <w:rFonts w:ascii="Times New Roman" w:hAnsi="Times New Roman" w:eastAsia="Times New Roman" w:cs="Times New Roman"/>
                <w:sz w:val="24"/>
                <w:szCs w:val="24"/>
                <w:lang w:val="en"/>
              </w:rPr>
              <w:t>g. The ability to use formal and informal assessments to diagnose needs, plan and modify instruction, and record student progress;</w:t>
            </w:r>
          </w:p>
          <w:p w:rsidR="7F46D3FF" w:rsidP="7F46D3FF" w:rsidRDefault="7F46D3FF" w14:paraId="6348C875" w14:textId="6617532C">
            <w:pPr>
              <w:ind w:left="720"/>
            </w:pPr>
            <w:r w:rsidRPr="7F46D3FF" w:rsidR="7F46D3FF">
              <w:rPr>
                <w:rFonts w:ascii="Times New Roman" w:hAnsi="Times New Roman" w:eastAsia="Times New Roman" w:cs="Times New Roman"/>
                <w:sz w:val="24"/>
                <w:szCs w:val="24"/>
                <w:lang w:val="en"/>
              </w:rPr>
              <w:t>h. A commitment to professional growth and development through reflection, collaboration, and continuous learning;</w:t>
            </w:r>
          </w:p>
          <w:p w:rsidR="7F46D3FF" w:rsidP="7F46D3FF" w:rsidRDefault="7F46D3FF" w14:paraId="4E5097F0" w14:textId="4D70D63F">
            <w:pPr>
              <w:ind w:left="720"/>
            </w:pPr>
            <w:proofErr w:type="spellStart"/>
            <w:r w:rsidRPr="7F46D3FF" w:rsidR="7F46D3FF">
              <w:rPr>
                <w:rFonts w:ascii="Times New Roman" w:hAnsi="Times New Roman" w:eastAsia="Times New Roman" w:cs="Times New Roman"/>
                <w:sz w:val="24"/>
                <w:szCs w:val="24"/>
                <w:lang w:val="en"/>
              </w:rPr>
              <w:t>i</w:t>
            </w:r>
            <w:proofErr w:type="spellEnd"/>
            <w:r w:rsidRPr="7F46D3FF" w:rsidR="7F46D3FF">
              <w:rPr>
                <w:rFonts w:ascii="Times New Roman" w:hAnsi="Times New Roman" w:eastAsia="Times New Roman" w:cs="Times New Roman"/>
                <w:sz w:val="24"/>
                <w:szCs w:val="24"/>
                <w:lang w:val="en"/>
              </w:rPr>
              <w:t>. The ability to analyze, evaluate, apply, and conduct quantitative and qualitative research;</w:t>
            </w:r>
          </w:p>
          <w:p w:rsidR="7F46D3FF" w:rsidP="7F46D3FF" w:rsidRDefault="7F46D3FF" w14:paraId="3467FDD1" w14:textId="4298B1E9">
            <w:pPr>
              <w:ind w:left="720"/>
            </w:pPr>
            <w:r w:rsidRPr="7F46D3FF" w:rsidR="7F46D3FF">
              <w:rPr>
                <w:rFonts w:ascii="Times New Roman" w:hAnsi="Times New Roman" w:eastAsia="Times New Roman" w:cs="Times New Roman"/>
                <w:sz w:val="24"/>
                <w:szCs w:val="24"/>
                <w:lang w:val="en"/>
              </w:rPr>
              <w:t>j. The ability to use technology as a tool for teaching, learning, research, and communication;</w:t>
            </w:r>
          </w:p>
          <w:p w:rsidR="7F46D3FF" w:rsidP="7F46D3FF" w:rsidRDefault="7F46D3FF" w14:paraId="6FC04629" w14:textId="58CCD40D">
            <w:pPr>
              <w:ind w:left="720"/>
            </w:pPr>
            <w:r w:rsidRPr="7F46D3FF" w:rsidR="7F46D3FF">
              <w:rPr>
                <w:rFonts w:ascii="Times New Roman" w:hAnsi="Times New Roman" w:eastAsia="Times New Roman" w:cs="Times New Roman"/>
                <w:sz w:val="24"/>
                <w:szCs w:val="24"/>
                <w:lang w:val="en"/>
              </w:rPr>
              <w:t>k. An understanding of how to apply a variety of school organizational structures, schedules, groupings, and classroom formats appropriately for middle level learners;</w:t>
            </w:r>
          </w:p>
          <w:p w:rsidR="7F46D3FF" w:rsidP="7F46D3FF" w:rsidRDefault="7F46D3FF" w14:paraId="5699E7DE" w14:textId="0146F69B">
            <w:pPr>
              <w:ind w:left="720"/>
            </w:pPr>
            <w:r w:rsidRPr="7F46D3FF" w:rsidR="7F46D3FF">
              <w:rPr>
                <w:rFonts w:ascii="Times New Roman" w:hAnsi="Times New Roman" w:eastAsia="Times New Roman" w:cs="Times New Roman"/>
                <w:sz w:val="24"/>
                <w:szCs w:val="24"/>
                <w:lang w:val="en"/>
              </w:rPr>
              <w:t>l. Skill in promoting the development of all students' abilities for academic achievement and continued learning; and</w:t>
            </w:r>
          </w:p>
          <w:p w:rsidR="7F46D3FF" w:rsidP="7F46D3FF" w:rsidRDefault="7F46D3FF" w14:paraId="433FE506" w14:textId="49CA8BE3">
            <w:pPr>
              <w:ind w:left="720"/>
            </w:pPr>
            <w:r w:rsidRPr="7F46D3FF" w:rsidR="7F46D3FF">
              <w:rPr>
                <w:rFonts w:ascii="Times New Roman" w:hAnsi="Times New Roman" w:eastAsia="Times New Roman" w:cs="Times New Roman"/>
                <w:sz w:val="24"/>
                <w:szCs w:val="24"/>
                <w:lang w:val="en"/>
              </w:rPr>
              <w:t>m. The ability to use reading in the content area strategies appropriate to text and student needs.</w:t>
            </w:r>
          </w:p>
          <w:p w:rsidR="7F46D3FF" w:rsidRDefault="7F46D3FF" w14:paraId="49E6D3DD" w14:textId="287EFB7F">
            <w:r w:rsidRPr="7F46D3FF" w:rsidR="7F46D3FF">
              <w:rPr>
                <w:rFonts w:ascii="Times New Roman" w:hAnsi="Times New Roman" w:eastAsia="Times New Roman" w:cs="Times New Roman"/>
                <w:sz w:val="24"/>
                <w:szCs w:val="24"/>
                <w:lang w:val="en"/>
              </w:rPr>
              <w:t xml:space="preserve"> </w:t>
            </w:r>
          </w:p>
          <w:p w:rsidR="7F46D3FF" w:rsidP="7F46D3FF" w:rsidRDefault="7F46D3FF" w14:paraId="173E5EF0" w14:textId="0F78C27D">
            <w:pPr>
              <w:pStyle w:val="Heading2"/>
            </w:pPr>
            <w:hyperlink r:id="R5a0ab938663c4489">
              <w:r w:rsidRPr="7F46D3FF" w:rsidR="7F46D3FF">
                <w:rPr>
                  <w:rStyle w:val="Hyperlink"/>
                  <w:rFonts w:ascii="Times New Roman" w:hAnsi="Times New Roman" w:eastAsia="Times New Roman" w:cs="Times New Roman"/>
                  <w:b w:val="0"/>
                  <w:bCs w:val="0"/>
                  <w:strike w:val="0"/>
                  <w:dstrike w:val="0"/>
                  <w:sz w:val="24"/>
                  <w:szCs w:val="24"/>
                  <w:lang w:val="en"/>
                </w:rPr>
                <w:t>8VAC20-543-90</w:t>
              </w:r>
            </w:hyperlink>
          </w:p>
          <w:p w:rsidR="7F46D3FF" w:rsidRDefault="7F46D3FF" w14:paraId="111DC714" w14:textId="11629BA6">
            <w:r w:rsidRPr="7F46D3FF" w:rsidR="7F46D3FF">
              <w:rPr>
                <w:rFonts w:ascii="Times New Roman" w:hAnsi="Times New Roman" w:eastAsia="Times New Roman" w:cs="Times New Roman"/>
                <w:sz w:val="24"/>
                <w:szCs w:val="24"/>
                <w:lang w:val="en"/>
              </w:rPr>
              <w:t>6. Language and Literacy.</w:t>
            </w:r>
          </w:p>
          <w:p w:rsidR="7F46D3FF" w:rsidP="7F46D3FF" w:rsidRDefault="7F46D3FF" w14:paraId="1B4A2C84" w14:textId="322F9406">
            <w:pPr>
              <w:ind w:left="720"/>
            </w:pPr>
            <w:r w:rsidRPr="7F46D3FF" w:rsidR="7F46D3FF">
              <w:rPr>
                <w:rFonts w:ascii="Times New Roman" w:hAnsi="Times New Roman" w:eastAsia="Times New Roman" w:cs="Times New Roman"/>
                <w:sz w:val="24"/>
                <w:szCs w:val="24"/>
                <w:lang w:val="en"/>
              </w:rPr>
              <w:t>a. Early/primary education preK-3 and elementary education preK-6 language acquisition and reading and writing. Skills listed for these endorsement areas represent the minimum competencies that a beginning teacher must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7F46D3FF" w:rsidP="7F46D3FF" w:rsidRDefault="7F46D3FF" w14:paraId="45256938" w14:textId="100FF56E">
            <w:pPr>
              <w:ind w:left="1440"/>
            </w:pPr>
            <w:r w:rsidRPr="7F46D3FF" w:rsidR="7F46D3FF">
              <w:rPr>
                <w:rFonts w:ascii="Times New Roman" w:hAnsi="Times New Roman" w:eastAsia="Times New Roman" w:cs="Times New Roman"/>
                <w:sz w:val="24"/>
                <w:szCs w:val="24"/>
                <w:lang w:val="en"/>
              </w:rPr>
              <w:t>(1) Language acquisition: Skills in this area shall be designed to impart a thorough understanding of the Virginia English Standards of Learning, as well</w:t>
            </w:r>
            <w:r w:rsidRPr="7F46D3FF" w:rsidR="7F46D3FF">
              <w:rPr>
                <w:rFonts w:ascii="Times New Roman" w:hAnsi="Times New Roman" w:eastAsia="Times New Roman" w:cs="Times New Roman"/>
                <w:color w:val="444444"/>
                <w:sz w:val="24"/>
                <w:szCs w:val="24"/>
                <w:lang w:val="en"/>
              </w:rPr>
              <w:t xml:space="preserve"> </w:t>
            </w:r>
            <w:r w:rsidRPr="7F46D3FF" w:rsidR="7F46D3FF">
              <w:rPr>
                <w:rFonts w:ascii="Times New Roman" w:hAnsi="Times New Roman" w:eastAsia="Times New Roman" w:cs="Times New Roman"/>
                <w:sz w:val="24"/>
                <w:szCs w:val="24"/>
                <w:lang w:val="en"/>
              </w:rPr>
              <w:t>as the complex nature of language acquisition as a precursor to literacy. Language acquisition shall follow the typical development of linguistic competence in the areas of phonetics, semantics, syntax, morphology, phonology, and pragmatics.</w:t>
            </w:r>
          </w:p>
          <w:p w:rsidR="7F46D3FF" w:rsidP="7F46D3FF" w:rsidRDefault="7F46D3FF" w14:paraId="7BD1ED3D" w14:textId="2BA1B432">
            <w:pPr>
              <w:ind w:left="1440"/>
            </w:pPr>
            <w:r w:rsidRPr="7F46D3FF" w:rsidR="7F46D3FF">
              <w:rPr>
                <w:rFonts w:ascii="Times New Roman" w:hAnsi="Times New Roman" w:eastAsia="Times New Roman" w:cs="Times New Roman"/>
                <w:sz w:val="24"/>
                <w:szCs w:val="24"/>
                <w:lang w:val="en"/>
              </w:rPr>
              <w:t>(2) Reading and writing: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rsidR="7F46D3FF" w:rsidP="7F46D3FF" w:rsidRDefault="7F46D3FF" w14:paraId="3DE93CB2" w14:textId="3EEB8D1E">
            <w:pPr>
              <w:ind w:left="720"/>
            </w:pPr>
            <w:r w:rsidRPr="7F46D3FF" w:rsidR="7F46D3FF">
              <w:rPr>
                <w:rFonts w:ascii="Times New Roman" w:hAnsi="Times New Roman" w:eastAsia="Times New Roman" w:cs="Times New Roman"/>
                <w:sz w:val="24"/>
                <w:szCs w:val="24"/>
                <w:lang w:val="en"/>
              </w:rPr>
              <w:t>b. Middle education - language acquisition and reading development and literacy in the content areas.</w:t>
            </w:r>
          </w:p>
          <w:p w:rsidR="7F46D3FF" w:rsidP="7F46D3FF" w:rsidRDefault="7F46D3FF" w14:paraId="55810BCB" w14:textId="3899B704">
            <w:pPr>
              <w:ind w:left="1440"/>
            </w:pPr>
            <w:r w:rsidRPr="7F46D3FF" w:rsidR="7F46D3FF">
              <w:rPr>
                <w:rFonts w:ascii="Times New Roman" w:hAnsi="Times New Roman" w:eastAsia="Times New Roman" w:cs="Times New Roman"/>
                <w:sz w:val="24"/>
                <w:szCs w:val="24"/>
                <w:lang w:val="en"/>
              </w:rPr>
              <w:t>(1) Language acquisition and reading development: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rsidR="7F46D3FF" w:rsidP="7F46D3FF" w:rsidRDefault="7F46D3FF" w14:paraId="0D2C6AED" w14:textId="1EBE361B">
            <w:pPr>
              <w:ind w:left="1440"/>
            </w:pPr>
            <w:r w:rsidRPr="7F46D3FF" w:rsidR="7F46D3FF">
              <w:rPr>
                <w:rFonts w:ascii="Times New Roman" w:hAnsi="Times New Roman" w:eastAsia="Times New Roman" w:cs="Times New Roman"/>
                <w:sz w:val="24"/>
                <w:szCs w:val="24"/>
                <w:lang w:val="en"/>
              </w:rPr>
              <w:t>(2) Literacy in the content areas: Skills in this area shall be designed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tc>
      </w:tr>
    </w:tbl>
    <w:p w:rsidR="292B1173" w:rsidRDefault="292B1173" w14:paraId="16FC9F56" w14:textId="1C5418B8">
      <w:r w:rsidRPr="7F46D3FF" w:rsidR="292B1173">
        <w:rPr>
          <w:rFonts w:ascii="Times New Roman" w:hAnsi="Times New Roman" w:eastAsia="Times New Roman" w:cs="Times New Roman"/>
          <w:noProof w:val="0"/>
          <w:color w:val="000000" w:themeColor="text1" w:themeTint="FF" w:themeShade="FF"/>
          <w:sz w:val="24"/>
          <w:szCs w:val="24"/>
          <w:lang w:val="en"/>
        </w:rPr>
        <w:t xml:space="preserve"> </w:t>
      </w:r>
    </w:p>
    <w:p w:rsidR="292B1173" w:rsidP="7F46D3FF" w:rsidRDefault="292B1173" w14:paraId="2C318436" w14:textId="62DED0FB">
      <w:pPr>
        <w:spacing w:line="276" w:lineRule="auto"/>
      </w:pPr>
      <w:r w:rsidRPr="7F46D3FF" w:rsidR="292B1173">
        <w:rPr>
          <w:rFonts w:ascii="Times New Roman" w:hAnsi="Times New Roman" w:eastAsia="Times New Roman" w:cs="Times New Roman"/>
          <w:noProof w:val="0"/>
          <w:color w:val="000000" w:themeColor="text1" w:themeTint="FF" w:themeShade="FF"/>
          <w:sz w:val="24"/>
          <w:szCs w:val="24"/>
          <w:lang w:val="en"/>
        </w:rPr>
        <w:t>It was determined additional support to address the methods of teaching mathematics, methods of teaching history and social sciences, and the methods of teaching science would need to be added to the alternate route so the required knowledge, skills, dispositions, and processes to support learners in achievement of Virginia's standards, specifically the Foundation Blocks for Early Learning: Comprehensive Standards for Four-Year-Olds and the Virginia Standards of Learning in English, mathematics, history and social science, and science, as well as the knowledge, skills, and processes to support learners in achievement of the Virginia Standards of Learning for grades 6-8, could be addressed.</w:t>
      </w:r>
    </w:p>
    <w:p w:rsidR="292B1173" w:rsidP="7F46D3FF" w:rsidRDefault="292B1173" w14:paraId="63E051D2" w14:textId="5C692FCE">
      <w:pPr>
        <w:spacing w:line="276" w:lineRule="auto"/>
      </w:pPr>
      <w:r w:rsidRPr="7F46D3FF" w:rsidR="292B1173">
        <w:rPr>
          <w:rFonts w:ascii="Times New Roman" w:hAnsi="Times New Roman" w:eastAsia="Times New Roman" w:cs="Times New Roman"/>
          <w:noProof w:val="0"/>
          <w:color w:val="000000" w:themeColor="text1" w:themeTint="FF" w:themeShade="FF"/>
          <w:sz w:val="24"/>
          <w:szCs w:val="24"/>
          <w:lang w:val="en"/>
        </w:rPr>
        <w:t xml:space="preserve"> </w:t>
      </w:r>
    </w:p>
    <w:p w:rsidR="292B1173" w:rsidP="7F46D3FF" w:rsidRDefault="292B1173" w14:paraId="4E9037E9" w14:textId="383E3B0A">
      <w:pPr>
        <w:spacing w:line="276" w:lineRule="auto"/>
      </w:pPr>
      <w:r w:rsidRPr="31E42715" w:rsidR="1807E72E">
        <w:rPr>
          <w:rFonts w:ascii="Times New Roman" w:hAnsi="Times New Roman" w:eastAsia="Times New Roman" w:cs="Times New Roman"/>
          <w:noProof w:val="0"/>
          <w:color w:val="000000" w:themeColor="text1" w:themeTint="FF" w:themeShade="FF"/>
          <w:sz w:val="24"/>
          <w:szCs w:val="24"/>
          <w:lang w:val="en"/>
        </w:rPr>
        <w:t xml:space="preserve">Further, the Virginia Literacy Act (VLA), which was unanimously passed by the 2022 General Assembly, provides guidance to better prepare and support educators on evidence-based literacy instruction and science-based literacy instruction to help every child learn to read. The VLA allows for a more targeted effort to ensure students are meeting literacy benchmarks, but it also means our teachers will need to be adequately prepared to meet their literacy needs. The syllabi and matrix provided by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
        </w:rPr>
        <w:t>iteach</w:t>
      </w:r>
      <w:proofErr w:type="spellEnd"/>
      <w:r w:rsidRPr="31E42715" w:rsidR="1807E72E">
        <w:rPr>
          <w:rFonts w:ascii="Times New Roman" w:hAnsi="Times New Roman" w:eastAsia="Times New Roman" w:cs="Times New Roman"/>
          <w:noProof w:val="0"/>
          <w:color w:val="000000" w:themeColor="text1" w:themeTint="FF" w:themeShade="FF"/>
          <w:sz w:val="24"/>
          <w:szCs w:val="24"/>
          <w:lang w:val="en"/>
        </w:rPr>
        <w:t xml:space="preserve"> in each division application indicates the professional studies coursework of language acquisition and reading and writing for early/primary education, preK-3, and elementary preK-6 will be addressed in courses 5400 – Literacy, 21</w:t>
      </w:r>
      <w:r w:rsidRPr="31E42715" w:rsidR="1807E72E">
        <w:rPr>
          <w:rFonts w:ascii="Times New Roman" w:hAnsi="Times New Roman" w:eastAsia="Times New Roman" w:cs="Times New Roman"/>
          <w:noProof w:val="0"/>
          <w:color w:val="000000" w:themeColor="text1" w:themeTint="FF" w:themeShade="FF"/>
          <w:sz w:val="24"/>
          <w:szCs w:val="24"/>
          <w:vertAlign w:val="superscript"/>
          <w:lang w:val="en"/>
        </w:rPr>
        <w:t>st</w:t>
      </w:r>
      <w:r w:rsidRPr="31E42715" w:rsidR="1807E72E">
        <w:rPr>
          <w:rFonts w:ascii="Times New Roman" w:hAnsi="Times New Roman" w:eastAsia="Times New Roman" w:cs="Times New Roman"/>
          <w:noProof w:val="0"/>
          <w:color w:val="000000" w:themeColor="text1" w:themeTint="FF" w:themeShade="FF"/>
          <w:sz w:val="24"/>
          <w:szCs w:val="24"/>
          <w:lang w:val="en"/>
        </w:rPr>
        <w:t xml:space="preserve"> Century Instruction, and Pedagogical Content Knowledge and 6005 – Critical Reading and Writing Instruction, however, not all the competency areas were addressed. Specifically, in addition to the Virginia English Standards of Learning not being addressed, content experts were concerned that language acquisition was not addressed, and </w:t>
      </w:r>
      <w:r w:rsidRPr="31E42715" w:rsidR="1807E72E">
        <w:rPr>
          <w:rFonts w:ascii="Times New Roman" w:hAnsi="Times New Roman" w:eastAsia="Times New Roman" w:cs="Times New Roman"/>
          <w:noProof w:val="0"/>
          <w:color w:val="000000" w:themeColor="text1" w:themeTint="FF" w:themeShade="FF"/>
          <w:sz w:val="24"/>
          <w:szCs w:val="24"/>
          <w:lang w:val="en-US"/>
        </w:rPr>
        <w:t xml:space="preserve">phonemic or phonological awareness, concept of print, phonics, fluency, writing, spelling development, and fiction and nonfiction texts are not addressed. </w:t>
      </w:r>
      <w:r w:rsidRPr="31E42715" w:rsidR="1807E72E">
        <w:rPr>
          <w:rFonts w:ascii="Times New Roman" w:hAnsi="Times New Roman" w:eastAsia="Times New Roman" w:cs="Times New Roman"/>
          <w:noProof w:val="0"/>
          <w:color w:val="000000" w:themeColor="text1" w:themeTint="FF" w:themeShade="FF"/>
          <w:sz w:val="24"/>
          <w:szCs w:val="24"/>
          <w:lang w:val="en"/>
        </w:rPr>
        <w:t>The matrix and syllabi also indicate the professional studies competencies for middle education – language acquisition and reading development and literacy in the content area – will be addressed by the same aforementioned courses. However, VDOE content experts were concerned that does not address how the competencies will be met to ensure the teacher has a thorough understanding not only the Virginia English Standards of Learning, but also the complex nature of language acquisition and reading, to include phonemic and other phonological awareness, phonics, fluency, vocabulary development, and comprehension strategies for adolescent learners, as well as teaching strategies that include literal, interpretive, critical, and evaluative comprehension, as well as the ability to foster appreciation of a variety of fiction and nonfiction text and independent reading for adolescent readers.</w:t>
      </w:r>
    </w:p>
    <w:p w:rsidR="292B1173" w:rsidP="7F46D3FF" w:rsidRDefault="292B1173" w14:paraId="0B4E29F1" w14:textId="4EFF4363">
      <w:pPr>
        <w:spacing w:line="276" w:lineRule="auto"/>
      </w:pPr>
      <w:r w:rsidRPr="7F46D3FF" w:rsidR="292B1173">
        <w:rPr>
          <w:rFonts w:ascii="Times New Roman" w:hAnsi="Times New Roman" w:eastAsia="Times New Roman" w:cs="Times New Roman"/>
          <w:noProof w:val="0"/>
          <w:color w:val="000000" w:themeColor="text1" w:themeTint="FF" w:themeShade="FF"/>
          <w:sz w:val="24"/>
          <w:szCs w:val="24"/>
          <w:lang w:val="en"/>
        </w:rPr>
        <w:t xml:space="preserve"> </w:t>
      </w:r>
    </w:p>
    <w:p w:rsidR="292B1173" w:rsidRDefault="292B1173" w14:paraId="14E4CAD7" w14:textId="31EACF17">
      <w:r w:rsidRPr="31E42715" w:rsidR="1807E72E">
        <w:rPr>
          <w:rFonts w:ascii="Times New Roman" w:hAnsi="Times New Roman" w:eastAsia="Times New Roman" w:cs="Times New Roman"/>
          <w:noProof w:val="0"/>
          <w:color w:val="000000" w:themeColor="text1" w:themeTint="FF" w:themeShade="FF"/>
          <w:sz w:val="24"/>
          <w:szCs w:val="24"/>
          <w:lang w:val="en-US"/>
        </w:rPr>
        <w:t>As such, the panel recommends minor modifications to the</w:t>
      </w:r>
      <w:r w:rsidRPr="31E42715" w:rsidR="147C039C">
        <w:rPr>
          <w:rFonts w:ascii="Times New Roman" w:hAnsi="Times New Roman" w:eastAsia="Times New Roman" w:cs="Times New Roman"/>
          <w:noProof w:val="0"/>
          <w:color w:val="000000" w:themeColor="text1" w:themeTint="FF" w:themeShade="FF"/>
          <w:sz w:val="24"/>
          <w:szCs w:val="24"/>
          <w:lang w:val="en-US"/>
        </w:rPr>
        <w:t xml:space="preserve"> identified portions of school</w:t>
      </w:r>
      <w:r w:rsidRPr="31E42715" w:rsidR="1807E72E">
        <w:rPr>
          <w:rFonts w:ascii="Times New Roman" w:hAnsi="Times New Roman" w:eastAsia="Times New Roman" w:cs="Times New Roman"/>
          <w:noProof w:val="0"/>
          <w:color w:val="000000" w:themeColor="text1" w:themeTint="FF" w:themeShade="FF"/>
          <w:sz w:val="24"/>
          <w:szCs w:val="24"/>
          <w:lang w:val="en-US"/>
        </w:rPr>
        <w:t xml:space="preserve"> division applications to strengthen the proposed alternate route preparation program and satisfy all competencies of the approved program regulations. Below are the panel’s recommendations for program approval:</w:t>
      </w:r>
    </w:p>
    <w:p w:rsidR="292B1173" w:rsidRDefault="292B1173" w14:paraId="578A4B32" w14:textId="0CE65AF7">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7F46D3FF" w:rsidRDefault="292B1173" w14:paraId="4B5F47A9" w14:textId="3D9330BE">
      <w:pPr>
        <w:pStyle w:val="ListParagraph"/>
        <w:numPr>
          <w:ilvl w:val="0"/>
          <w:numId w:val="12"/>
        </w:numPr>
        <w:rPr>
          <w:noProof w:val="0"/>
          <w:color w:val="000000" w:themeColor="text1" w:themeTint="FF" w:themeShade="FF"/>
          <w:lang w:val="en-US"/>
        </w:rPr>
      </w:pPr>
      <w:r w:rsidRPr="7F46D3FF" w:rsidR="292B1173">
        <w:rPr>
          <w:noProof w:val="0"/>
          <w:color w:val="000000" w:themeColor="text1" w:themeTint="FF" w:themeShade="FF"/>
          <w:lang w:val="en-US"/>
        </w:rPr>
        <w:t>All candidates for the respective divisions’ Alternate Pathway to Licensure Program in partnership with iteachVIRGINA will:</w:t>
      </w:r>
    </w:p>
    <w:p w:rsidR="292B1173" w:rsidP="7F46D3FF" w:rsidRDefault="292B1173" w14:paraId="56D419A1" w14:textId="33925C24">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Be accepted into the iteachVIRGINIA program.</w:t>
      </w:r>
    </w:p>
    <w:p w:rsidR="292B1173" w:rsidP="7F46D3FF" w:rsidRDefault="292B1173" w14:paraId="317D516B" w14:textId="1823E9F7">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Have successfully passed the required content Praxis assessments required by the state of Virginia for their specific endorsement; and</w:t>
      </w:r>
    </w:p>
    <w:p w:rsidR="292B1173" w:rsidP="7F46D3FF" w:rsidRDefault="292B1173" w14:paraId="76585B17" w14:textId="4EFF42F9">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Have completed statutory requirements.</w:t>
      </w:r>
    </w:p>
    <w:p w:rsidR="292B1173" w:rsidRDefault="292B1173" w14:paraId="1375F688" w14:textId="1B500B3B">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7F46D3FF" w:rsidRDefault="292B1173" w14:paraId="0662AF5B" w14:textId="60DF5248">
      <w:pPr>
        <w:pStyle w:val="ListParagraph"/>
        <w:numPr>
          <w:ilvl w:val="0"/>
          <w:numId w:val="12"/>
        </w:numPr>
        <w:rPr>
          <w:noProof w:val="0"/>
          <w:color w:val="000000" w:themeColor="text1" w:themeTint="FF" w:themeShade="FF"/>
          <w:lang w:val="en-US"/>
        </w:rPr>
      </w:pPr>
      <w:r w:rsidRPr="7F46D3FF" w:rsidR="292B1173">
        <w:rPr>
          <w:noProof w:val="0"/>
          <w:color w:val="000000" w:themeColor="text1" w:themeTint="FF" w:themeShade="FF"/>
          <w:lang w:val="en-US"/>
        </w:rPr>
        <w:t>Having met the above conditions, the division may request a provisional teaching license on behalf of the applicant by submitting the division’s request indicating this is an applicant for an alternate route to licensure, individual’s application, official transcripts with degree conferral date, assessment reports, copy of the iteachVIRGINA acceptance, confirmation of statutory requirements being met, and application fee.</w:t>
      </w:r>
    </w:p>
    <w:p w:rsidR="292B1173" w:rsidRDefault="292B1173" w14:paraId="289C9F1E" w14:textId="362515A2">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7F46D3FF" w:rsidRDefault="292B1173" w14:paraId="616EF191" w14:textId="761129EB">
      <w:pPr>
        <w:pStyle w:val="ListParagraph"/>
        <w:numPr>
          <w:ilvl w:val="0"/>
          <w:numId w:val="12"/>
        </w:numPr>
        <w:rPr>
          <w:noProof w:val="0"/>
          <w:color w:val="000000" w:themeColor="text1" w:themeTint="FF" w:themeShade="FF"/>
          <w:lang w:val="en-US"/>
        </w:rPr>
      </w:pPr>
      <w:r w:rsidRPr="7F46D3FF" w:rsidR="292B1173">
        <w:rPr>
          <w:noProof w:val="0"/>
          <w:color w:val="000000" w:themeColor="text1" w:themeTint="FF" w:themeShade="FF"/>
          <w:lang w:val="en-US"/>
        </w:rPr>
        <w:t>For applicants pursuing an Early/Primary PreK-3 or Elementary Education PreK-6 endorsement,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292B1173" w:rsidP="7F46D3FF" w:rsidRDefault="292B1173" w14:paraId="5BCF207F" w14:textId="7A939F9A">
      <w:pPr>
        <w:pStyle w:val="ListParagraph"/>
        <w:numPr>
          <w:ilvl w:val="1"/>
          <w:numId w:val="12"/>
        </w:numPr>
        <w:rPr>
          <w:noProof w:val="0"/>
          <w:color w:val="000000" w:themeColor="text1" w:themeTint="FF" w:themeShade="FF"/>
          <w:lang w:val="en-US"/>
        </w:rPr>
      </w:pPr>
      <w:r w:rsidRPr="31E42715" w:rsidR="1807E72E">
        <w:rPr>
          <w:noProof w:val="0"/>
          <w:color w:val="000000" w:themeColor="text1" w:themeTint="FF" w:themeShade="FF"/>
          <w:lang w:val="en-US"/>
        </w:rPr>
        <w:t>methods in teaching elementary mathematics course (3 semester hours</w:t>
      </w:r>
      <w:proofErr w:type="gramStart"/>
      <w:r w:rsidRPr="31E42715" w:rsidR="1807E72E">
        <w:rPr>
          <w:noProof w:val="0"/>
          <w:color w:val="000000" w:themeColor="text1" w:themeTint="FF" w:themeShade="FF"/>
          <w:lang w:val="en-US"/>
        </w:rPr>
        <w:t>);</w:t>
      </w:r>
      <w:proofErr w:type="gramEnd"/>
    </w:p>
    <w:p w:rsidR="292B1173" w:rsidP="7F46D3FF" w:rsidRDefault="292B1173" w14:paraId="6A8FD90C" w14:textId="119D51D3">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methods in teaching elementary science course (3 semester hours);</w:t>
      </w:r>
    </w:p>
    <w:p w:rsidR="292B1173" w:rsidP="7F46D3FF" w:rsidRDefault="292B1173" w14:paraId="416FD1F3" w14:textId="46764A87">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methods in teaching elementary history and social sciences course (3 semester hours);</w:t>
      </w:r>
    </w:p>
    <w:p w:rsidR="292B1173" w:rsidP="7F46D3FF" w:rsidRDefault="292B1173" w14:paraId="183E6D26" w14:textId="7C1B5A24">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language acquisition (3 semester hours);</w:t>
      </w:r>
    </w:p>
    <w:p w:rsidR="292B1173" w:rsidP="7F46D3FF" w:rsidRDefault="292B1173" w14:paraId="7B2E7BF8" w14:textId="0C6D9CC1">
      <w:pPr>
        <w:pStyle w:val="ListParagraph"/>
        <w:numPr>
          <w:ilvl w:val="1"/>
          <w:numId w:val="12"/>
        </w:numPr>
        <w:rPr>
          <w:noProof w:val="0"/>
          <w:color w:val="000000" w:themeColor="text1" w:themeTint="FF" w:themeShade="FF"/>
          <w:lang w:val="en-US"/>
        </w:rPr>
      </w:pPr>
      <w:r w:rsidRPr="31E42715" w:rsidR="1807E72E">
        <w:rPr>
          <w:noProof w:val="0"/>
          <w:color w:val="000000" w:themeColor="text1" w:themeTint="FF" w:themeShade="FF"/>
          <w:lang w:val="en-US"/>
        </w:rPr>
        <w:t>reading and writing (3 semester hours</w:t>
      </w:r>
      <w:proofErr w:type="gramStart"/>
      <w:r w:rsidRPr="31E42715" w:rsidR="1807E72E">
        <w:rPr>
          <w:noProof w:val="0"/>
          <w:color w:val="000000" w:themeColor="text1" w:themeTint="FF" w:themeShade="FF"/>
          <w:lang w:val="en-US"/>
        </w:rPr>
        <w:t>);</w:t>
      </w:r>
      <w:proofErr w:type="gramEnd"/>
    </w:p>
    <w:p w:rsidR="292B1173" w:rsidP="7F46D3FF" w:rsidRDefault="292B1173" w14:paraId="3CDF8573" w14:textId="7DD71AA3">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and one year of full-time supervised classroom experience in the content, provided the teacher is assigned a mentor holding a valid license with an endorsement in the content area.</w:t>
      </w:r>
    </w:p>
    <w:p w:rsidR="292B1173" w:rsidP="7F46D3FF" w:rsidRDefault="292B1173" w14:paraId="4106C569" w14:textId="65B46D4A">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If not already taken, individuals will need to pass the VCLA and Praxis Reading assessment within the provisional license period.</w:t>
      </w:r>
    </w:p>
    <w:p w:rsidR="292B1173" w:rsidRDefault="292B1173" w14:paraId="5E5F128D" w14:textId="17C54996">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115E616A" w:rsidRDefault="292B1173" w14:paraId="4F40CDD8" w14:textId="2723580E">
      <w:pPr>
        <w:ind w:left="720"/>
        <w:rPr>
          <w:rFonts w:ascii="Times New Roman" w:hAnsi="Times New Roman" w:eastAsia="Times New Roman" w:cs="Times New Roman"/>
          <w:noProof w:val="0"/>
          <w:color w:val="000000" w:themeColor="text1" w:themeTint="FF" w:themeShade="FF"/>
          <w:sz w:val="24"/>
          <w:szCs w:val="24"/>
          <w:lang w:val="en-US"/>
        </w:rPr>
      </w:pPr>
      <w:r w:rsidRPr="31E42715" w:rsidR="1807E72E">
        <w:rPr>
          <w:rFonts w:ascii="Times New Roman" w:hAnsi="Times New Roman" w:eastAsia="Times New Roman" w:cs="Times New Roman"/>
          <w:noProof w:val="0"/>
          <w:color w:val="000000" w:themeColor="text1" w:themeTint="FF" w:themeShade="FF"/>
          <w:sz w:val="24"/>
          <w:szCs w:val="24"/>
          <w:lang w:val="en-US"/>
        </w:rPr>
        <w:t xml:space="preserve">(Note: The panel determined the competencies of the remaining methods courses could be satisfied with either undergraduate or graduate coursework offered through an institution of higher education or with combined support from the division’s school to which a provisional license holder was assigned, a strong mentorship program, and professional development offered by the division, institutions of higher education, or VDOE-approved </w:t>
      </w:r>
      <w:proofErr w:type="spellStart"/>
      <w:r w:rsidRPr="31E42715" w:rsidR="1807E72E">
        <w:rPr>
          <w:rFonts w:ascii="Times New Roman" w:hAnsi="Times New Roman" w:eastAsia="Times New Roman" w:cs="Times New Roman"/>
          <w:noProof w:val="0"/>
          <w:color w:val="000000" w:themeColor="text1" w:themeTint="FF" w:themeShade="FF"/>
          <w:sz w:val="24"/>
          <w:szCs w:val="24"/>
          <w:lang w:val="en-US"/>
        </w:rPr>
        <w:t>microcredential</w:t>
      </w:r>
      <w:proofErr w:type="spellEnd"/>
      <w:r w:rsidRPr="31E42715" w:rsidR="1807E72E">
        <w:rPr>
          <w:rFonts w:ascii="Times New Roman" w:hAnsi="Times New Roman" w:eastAsia="Times New Roman" w:cs="Times New Roman"/>
          <w:noProof w:val="0"/>
          <w:color w:val="000000" w:themeColor="text1" w:themeTint="FF" w:themeShade="FF"/>
          <w:sz w:val="24"/>
          <w:szCs w:val="24"/>
          <w:lang w:val="en-US"/>
        </w:rPr>
        <w:t>. Currently, only coursework offered by institutions of higher education will satisfy competencies for language acquisition and reading and writing. However, additional work is being completed in stakeholder groups managed by the VDOE to provide guidance on the new VLA competencies and additional options may be accepted in the future.)</w:t>
      </w:r>
    </w:p>
    <w:p w:rsidR="292B1173" w:rsidRDefault="292B1173" w14:paraId="2B6F372B" w14:textId="28C3D895">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7F46D3FF" w:rsidRDefault="292B1173" w14:paraId="58F1EAF5" w14:textId="4E6392FD">
      <w:pPr>
        <w:pStyle w:val="ListParagraph"/>
        <w:numPr>
          <w:ilvl w:val="0"/>
          <w:numId w:val="12"/>
        </w:numPr>
        <w:rPr>
          <w:noProof w:val="0"/>
          <w:color w:val="000000" w:themeColor="text1" w:themeTint="FF" w:themeShade="FF"/>
          <w:lang w:val="en-US"/>
        </w:rPr>
      </w:pPr>
      <w:r w:rsidRPr="7F46D3FF" w:rsidR="292B1173">
        <w:rPr>
          <w:noProof w:val="0"/>
          <w:color w:val="000000" w:themeColor="text1" w:themeTint="FF" w:themeShade="FF"/>
          <w:lang w:val="en-US"/>
        </w:rPr>
        <w:t>For applicants pursuing an endorsement in Middle Education,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292B1173" w:rsidP="7F46D3FF" w:rsidRDefault="292B1173" w14:paraId="00442CD0" w14:textId="46422C1F">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language acquisition and reading development (3 semester hours);</w:t>
      </w:r>
    </w:p>
    <w:p w:rsidR="292B1173" w:rsidP="7F46D3FF" w:rsidRDefault="292B1173" w14:paraId="40D2CE5B" w14:textId="1C8734FE">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literacy in the content areas: (3 semester hours);</w:t>
      </w:r>
    </w:p>
    <w:p w:rsidR="292B1173" w:rsidP="7F46D3FF" w:rsidRDefault="292B1173" w14:paraId="393C8116" w14:textId="3A5CC85B">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and one year of full-time supervised experience in the content, provided the teacher is assigned a mentor holding a valid license with an endorsement in the content area.</w:t>
      </w:r>
    </w:p>
    <w:p w:rsidR="292B1173" w:rsidP="7F46D3FF" w:rsidRDefault="292B1173" w14:paraId="514FD11F" w14:textId="0C87FAE4">
      <w:pPr>
        <w:pStyle w:val="ListParagraph"/>
        <w:numPr>
          <w:ilvl w:val="1"/>
          <w:numId w:val="12"/>
        </w:numPr>
        <w:rPr>
          <w:noProof w:val="0"/>
          <w:color w:val="000000" w:themeColor="text1" w:themeTint="FF" w:themeShade="FF"/>
          <w:lang w:val="en-US"/>
        </w:rPr>
      </w:pPr>
      <w:r w:rsidRPr="7F46D3FF" w:rsidR="292B1173">
        <w:rPr>
          <w:noProof w:val="0"/>
          <w:color w:val="000000" w:themeColor="text1" w:themeTint="FF" w:themeShade="FF"/>
          <w:lang w:val="en-US"/>
        </w:rPr>
        <w:t>If not already taken, individuals will need to pass the VCLA assessment within the provisional license period.</w:t>
      </w:r>
    </w:p>
    <w:p w:rsidR="292B1173" w:rsidRDefault="292B1173" w14:paraId="64C67E5B" w14:textId="4166CFCA">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115E616A" w:rsidRDefault="292B1173" w14:paraId="476EE76B" w14:textId="532BA7E0">
      <w:pPr>
        <w:ind w:left="720"/>
        <w:rPr>
          <w:rFonts w:ascii="Times New Roman" w:hAnsi="Times New Roman" w:eastAsia="Times New Roman" w:cs="Times New Roman"/>
          <w:noProof w:val="0"/>
          <w:color w:val="000000" w:themeColor="text1" w:themeTint="FF" w:themeShade="FF"/>
          <w:sz w:val="24"/>
          <w:szCs w:val="24"/>
          <w:lang w:val="en-US"/>
        </w:rPr>
      </w:pPr>
      <w:r w:rsidRPr="31E42715" w:rsidR="1807E72E">
        <w:rPr>
          <w:rFonts w:ascii="Times New Roman" w:hAnsi="Times New Roman" w:eastAsia="Times New Roman" w:cs="Times New Roman"/>
          <w:noProof w:val="0"/>
          <w:color w:val="000000" w:themeColor="text1" w:themeTint="FF" w:themeShade="FF"/>
          <w:sz w:val="24"/>
          <w:szCs w:val="24"/>
          <w:lang w:val="en-US"/>
        </w:rPr>
        <w:t xml:space="preserve">(Note: Currently, only coursework offered by institutions of higher education will satisfy competencies for language acquisition and reading development and literacy in the content areas. However, additional work is being completed by the VDOE to </w:t>
      </w:r>
      <w:r w:rsidRPr="31E42715" w:rsidR="7C09732D">
        <w:rPr>
          <w:rFonts w:ascii="Times New Roman" w:hAnsi="Times New Roman" w:eastAsia="Times New Roman" w:cs="Times New Roman"/>
          <w:noProof w:val="0"/>
          <w:color w:val="000000" w:themeColor="text1" w:themeTint="FF" w:themeShade="FF"/>
          <w:sz w:val="24"/>
          <w:szCs w:val="24"/>
          <w:lang w:val="en-US"/>
        </w:rPr>
        <w:t>explore and offer alternate options that align with</w:t>
      </w:r>
      <w:r w:rsidRPr="31E42715" w:rsidR="1807E72E">
        <w:rPr>
          <w:rFonts w:ascii="Times New Roman" w:hAnsi="Times New Roman" w:eastAsia="Times New Roman" w:cs="Times New Roman"/>
          <w:noProof w:val="0"/>
          <w:color w:val="000000" w:themeColor="text1" w:themeTint="FF" w:themeShade="FF"/>
          <w:sz w:val="24"/>
          <w:szCs w:val="24"/>
          <w:lang w:val="en-US"/>
        </w:rPr>
        <w:t xml:space="preserve"> </w:t>
      </w:r>
      <w:r w:rsidRPr="31E42715" w:rsidR="1807E72E">
        <w:rPr>
          <w:rFonts w:ascii="Times New Roman" w:hAnsi="Times New Roman" w:eastAsia="Times New Roman" w:cs="Times New Roman"/>
          <w:noProof w:val="0"/>
          <w:color w:val="000000" w:themeColor="text1" w:themeTint="FF" w:themeShade="FF"/>
          <w:sz w:val="24"/>
          <w:szCs w:val="24"/>
          <w:lang w:val="en-US"/>
        </w:rPr>
        <w:t>VLA competencies.)</w:t>
      </w:r>
    </w:p>
    <w:p w:rsidR="292B1173" w:rsidRDefault="292B1173" w14:paraId="1CF6513D" w14:textId="2062EE30">
      <w:r w:rsidRPr="7F46D3FF" w:rsidR="292B1173">
        <w:rPr>
          <w:rFonts w:ascii="Times New Roman" w:hAnsi="Times New Roman" w:eastAsia="Times New Roman" w:cs="Times New Roman"/>
          <w:noProof w:val="0"/>
          <w:color w:val="000000" w:themeColor="text1" w:themeTint="FF" w:themeShade="FF"/>
          <w:sz w:val="24"/>
          <w:szCs w:val="24"/>
          <w:lang w:val="en-US"/>
        </w:rPr>
        <w:t xml:space="preserve"> </w:t>
      </w:r>
    </w:p>
    <w:p w:rsidR="292B1173" w:rsidP="115E616A" w:rsidRDefault="292B1173" w14:paraId="0E6374DD" w14:textId="37BF7B2C">
      <w:pPr>
        <w:ind w:left="720"/>
      </w:pPr>
      <w:r w:rsidRPr="115E616A" w:rsidR="292B1173">
        <w:rPr>
          <w:rFonts w:ascii="Times New Roman" w:hAnsi="Times New Roman" w:eastAsia="Times New Roman" w:cs="Times New Roman"/>
          <w:noProof w:val="0"/>
          <w:color w:val="000000" w:themeColor="text1" w:themeTint="FF" w:themeShade="FF"/>
          <w:sz w:val="24"/>
          <w:szCs w:val="24"/>
          <w:lang w:val="en-US"/>
        </w:rPr>
        <w:t>Provisional license holders may be issued 10-year renewable licenses with endorsements in the respective areas when all licensure requirements have been satisfied.</w:t>
      </w:r>
    </w:p>
    <w:p w:rsidR="115E616A" w:rsidP="115E616A" w:rsidRDefault="115E616A" w14:paraId="50817C7B" w14:textId="2CFFB1CD">
      <w:pPr>
        <w:pStyle w:val="Normal"/>
        <w:rPr>
          <w:rFonts w:ascii="Times New Roman" w:hAnsi="Times New Roman" w:eastAsia="Times New Roman" w:cs="Times New Roman"/>
          <w:noProof w:val="0"/>
          <w:color w:val="000000" w:themeColor="text1" w:themeTint="FF" w:themeShade="FF"/>
          <w:sz w:val="24"/>
          <w:szCs w:val="24"/>
          <w:lang w:val="en-US"/>
        </w:rPr>
      </w:pPr>
    </w:p>
    <w:p w:rsidR="4D028F6E" w:rsidP="115E616A" w:rsidRDefault="4D028F6E" w14:paraId="292E6BF0" w14:textId="52AB29B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5E616A" w:rsidR="4D028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school division partnering with </w:t>
      </w:r>
      <w:proofErr w:type="spellStart"/>
      <w:r w:rsidRPr="115E616A" w:rsidR="4D028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iteach</w:t>
      </w:r>
      <w:proofErr w:type="spellEnd"/>
      <w:r w:rsidRPr="115E616A" w:rsidR="4D028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understands that the Board’s approval of this program is limited to their </w:t>
      </w:r>
      <w:r w:rsidRPr="115E616A" w:rsidR="5C77B8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respective</w:t>
      </w:r>
      <w:r w:rsidRPr="115E616A" w:rsidR="4D028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school division. Each division is committed to submitting annual reports as requested by the Department of Education. The approval period for this alternate route to licensure will end if the </w:t>
      </w:r>
      <w:r w:rsidRPr="115E616A" w:rsidR="096E40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local </w:t>
      </w:r>
      <w:r w:rsidRPr="115E616A" w:rsidR="4D028F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school board discontinues the sponsorship. The school board must notify the Board immediately in writing of a program’s discontinuance, including information on the individuals who are in the process of completing the program and the plan and timeline on how the teachers will complete the alternate education preparation program.</w:t>
      </w:r>
    </w:p>
    <w:p w:rsidR="115E616A" w:rsidP="115E616A" w:rsidRDefault="115E616A" w14:paraId="58A0319B" w14:textId="722A294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15E616A" w:rsidP="31E42715" w:rsidRDefault="115E616A" w14:paraId="58D83604" w14:textId="09E1B96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1E42715" w:rsidR="0ACBA1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School divisions that have submitted applications indicate an acute need for assistance in recruiting teacher candidates. </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Over the last t</w:t>
      </w:r>
      <w:r w:rsidRPr="31E42715" w:rsidR="5F2BDA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hree</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years school divisions across the </w:t>
      </w:r>
      <w:r w:rsidRPr="31E42715" w:rsidR="254493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w:t>
      </w:r>
      <w:r w:rsidRPr="31E42715" w:rsidR="020028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wealth</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have experienced a shortage </w:t>
      </w:r>
      <w:r w:rsidRPr="31E42715" w:rsidR="58C82E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qualified </w:t>
      </w:r>
      <w:r w:rsidRPr="31E42715" w:rsidR="6290ED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teachers and</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w:t>
      </w:r>
      <w:r w:rsidRPr="31E42715" w:rsidR="0CD3DC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exploring</w:t>
      </w:r>
      <w:r w:rsidRPr="31E42715" w:rsidR="20367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alternate routes to </w:t>
      </w:r>
      <w:r w:rsidRPr="31E42715" w:rsidR="0B2FC6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address the knowledge and skills needed to enter a classroom</w:t>
      </w:r>
      <w:r w:rsidRPr="31E42715" w:rsidR="0B8B07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Divisions who applied for partnership with </w:t>
      </w:r>
      <w:proofErr w:type="spellStart"/>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iteach</w:t>
      </w:r>
      <w:proofErr w:type="spellEnd"/>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report they have classified employees</w:t>
      </w:r>
      <w:r w:rsidRPr="31E42715" w:rsidR="5A4883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particularly paraprofessionals and </w:t>
      </w:r>
      <w:r w:rsidRPr="31E42715" w:rsidR="5A1FF6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long-term</w:t>
      </w:r>
      <w:r w:rsidRPr="31E42715" w:rsidR="5A4883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substitutes,</w:t>
      </w:r>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at least a </w:t>
      </w:r>
      <w:r w:rsidRPr="31E42715" w:rsidR="49F805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bachelor's</w:t>
      </w:r>
      <w:r w:rsidRPr="31E42715" w:rsidR="382E76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degree, interested in </w:t>
      </w:r>
      <w:r w:rsidRPr="31E42715" w:rsidR="04C7BC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teaching career, but cost, time, and </w:t>
      </w:r>
      <w:r w:rsidRPr="31E42715" w:rsidR="6D2050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scheduling</w:t>
      </w:r>
      <w:r w:rsidRPr="31E42715" w:rsidR="04C7BC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traditional programs keep them from pursuing </w:t>
      </w:r>
      <w:r w:rsidRPr="31E42715" w:rsidR="7D2DDF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career in the field</w:t>
      </w:r>
      <w:r w:rsidRPr="31E42715" w:rsidR="04C7BC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4BAE0D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addition, rural divisions indicate that the closest institution of higher education is an hour</w:t>
      </w:r>
      <w:r w:rsidRPr="31E42715" w:rsidR="47C83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more</w:t>
      </w:r>
      <w:r w:rsidRPr="31E42715" w:rsidR="4BAE0D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away, making it difficult for candidates to even participate in</w:t>
      </w:r>
      <w:r w:rsidRPr="31E42715" w:rsidR="147D41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-person with a flexible schedule. The larger school divisions applying for partnership with </w:t>
      </w:r>
      <w:proofErr w:type="spellStart"/>
      <w:r w:rsidRPr="31E42715" w:rsidR="147D41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iteach</w:t>
      </w:r>
      <w:proofErr w:type="spellEnd"/>
      <w:r w:rsidRPr="31E42715" w:rsidR="153A3C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65BACB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have </w:t>
      </w:r>
      <w:r w:rsidRPr="31E42715" w:rsidR="153A3C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indicat</w:t>
      </w:r>
      <w:r w:rsidRPr="31E42715" w:rsidR="4C324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w:t>
      </w:r>
      <w:r w:rsidRPr="31E42715" w:rsidR="07C176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significant increase in</w:t>
      </w:r>
      <w:r w:rsidRPr="31E42715" w:rsidR="6B9981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vacancies being filled with</w:t>
      </w:r>
      <w:r w:rsidRPr="31E42715" w:rsidR="07C176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provisionally licensed teachers</w:t>
      </w:r>
      <w:r w:rsidRPr="31E42715" w:rsidR="68FB5B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positions that simply remain vacant, with a </w:t>
      </w:r>
      <w:r w:rsidRPr="31E42715" w:rsidR="2A9F5C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long-term</w:t>
      </w:r>
      <w:r w:rsidRPr="31E42715" w:rsidR="68FB5B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substitute, throughout the year.</w:t>
      </w:r>
      <w:r w:rsidRPr="31E42715" w:rsidR="07C176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19ED80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Additional concerns are rising over the number of provisionally licensed teachers whose license are expiring, teachers who are leaving the field, and a growing number </w:t>
      </w:r>
      <w:r w:rsidRPr="31E42715" w:rsidR="22C0A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retirees. Allowing school divisions to pursue this alternate pathway to licensure </w:t>
      </w:r>
      <w:r w:rsidRPr="31E42715" w:rsidR="72B6AE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partner with </w:t>
      </w:r>
      <w:proofErr w:type="spellStart"/>
      <w:r w:rsidRPr="31E42715" w:rsidR="72B6AE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iteach</w:t>
      </w:r>
      <w:proofErr w:type="spellEnd"/>
      <w:r w:rsidRPr="31E42715" w:rsidR="72B6AE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22C0A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will enable </w:t>
      </w:r>
      <w:r w:rsidRPr="31E42715" w:rsidR="48FA8D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schools</w:t>
      </w:r>
      <w:r w:rsidRPr="31E42715" w:rsidR="04650B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E42715" w:rsidR="04650B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leverage local resources </w:t>
      </w:r>
      <w:r w:rsidRPr="31E42715" w:rsidR="251298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w:t>
      </w:r>
      <w:r w:rsidRPr="31E42715" w:rsidR="04650B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address teacher shortages and</w:t>
      </w:r>
      <w:r w:rsidRPr="31E42715" w:rsidR="32B7BD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move quickly to</w:t>
      </w:r>
      <w:r w:rsidRPr="31E42715" w:rsidR="04650B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fill teacher vacancies.</w:t>
      </w:r>
    </w:p>
    <w:p w:rsidR="31E42715" w:rsidP="31E42715" w:rsidRDefault="31E42715" w14:paraId="3A89773B" w14:textId="56FEE25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F5FE561" w:rsidP="31E42715" w:rsidRDefault="2F5FE561" w14:paraId="727F49EC" w14:textId="60FB058F">
      <w:pPr>
        <w:pStyle w:val="Normal"/>
        <w:rPr>
          <w:rFonts w:ascii="Times New Roman" w:hAnsi="Times New Roman" w:eastAsia="Times New Roman" w:cs="Times New Roman"/>
          <w:b w:val="0"/>
          <w:bCs w:val="0"/>
          <w:i w:val="0"/>
          <w:iCs w:val="0"/>
          <w:caps w:val="0"/>
          <w:smallCaps w:val="0"/>
          <w:noProof w:val="0"/>
          <w:sz w:val="24"/>
          <w:szCs w:val="24"/>
          <w:lang w:val="en-US"/>
        </w:rPr>
      </w:pPr>
      <w:r w:rsidRPr="31E42715" w:rsidR="3C8D15DA">
        <w:rPr>
          <w:rFonts w:ascii="Times New Roman" w:hAnsi="Times New Roman" w:eastAsia="Times New Roman" w:cs="Times New Roman"/>
          <w:b w:val="0"/>
          <w:bCs w:val="0"/>
          <w:i w:val="0"/>
          <w:iCs w:val="0"/>
          <w:caps w:val="0"/>
          <w:smallCaps w:val="0"/>
          <w:noProof w:val="0"/>
          <w:sz w:val="24"/>
          <w:szCs w:val="24"/>
          <w:lang w:val="en-US"/>
        </w:rPr>
        <w:t>A</w:t>
      </w:r>
      <w:r w:rsidRPr="31E42715" w:rsidR="47F959CF">
        <w:rPr>
          <w:rFonts w:ascii="Times New Roman" w:hAnsi="Times New Roman" w:eastAsia="Times New Roman" w:cs="Times New Roman"/>
          <w:b w:val="0"/>
          <w:bCs w:val="0"/>
          <w:i w:val="0"/>
          <w:iCs w:val="0"/>
          <w:caps w:val="0"/>
          <w:smallCaps w:val="0"/>
          <w:noProof w:val="0"/>
          <w:sz w:val="24"/>
          <w:szCs w:val="24"/>
          <w:lang w:val="en-US"/>
        </w:rPr>
        <w:t>dditionally, a</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s </w:t>
      </w:r>
      <w:r w:rsidRPr="31E42715" w:rsidR="57ED114C">
        <w:rPr>
          <w:rFonts w:ascii="Times New Roman" w:hAnsi="Times New Roman" w:eastAsia="Times New Roman" w:cs="Times New Roman"/>
          <w:b w:val="0"/>
          <w:bCs w:val="0"/>
          <w:i w:val="0"/>
          <w:iCs w:val="0"/>
          <w:caps w:val="0"/>
          <w:smallCaps w:val="0"/>
          <w:noProof w:val="0"/>
          <w:sz w:val="24"/>
          <w:szCs w:val="24"/>
          <w:lang w:val="en-US"/>
        </w:rPr>
        <w:t xml:space="preserve">school </w:t>
      </w:r>
      <w:r w:rsidRPr="31E42715" w:rsidR="3C8D15DA">
        <w:rPr>
          <w:rFonts w:ascii="Times New Roman" w:hAnsi="Times New Roman" w:eastAsia="Times New Roman" w:cs="Times New Roman"/>
          <w:b w:val="0"/>
          <w:bCs w:val="0"/>
          <w:i w:val="0"/>
          <w:iCs w:val="0"/>
          <w:caps w:val="0"/>
          <w:smallCaps w:val="0"/>
          <w:noProof w:val="0"/>
          <w:sz w:val="24"/>
          <w:szCs w:val="24"/>
          <w:lang w:val="en-US"/>
        </w:rPr>
        <w:t>divisions seek to increase their pool of teaching candidates, affordability of a licensure program</w:t>
      </w:r>
      <w:r w:rsidRPr="31E42715" w:rsidR="2889259B">
        <w:rPr>
          <w:rFonts w:ascii="Times New Roman" w:hAnsi="Times New Roman" w:eastAsia="Times New Roman" w:cs="Times New Roman"/>
          <w:b w:val="0"/>
          <w:bCs w:val="0"/>
          <w:i w:val="0"/>
          <w:iCs w:val="0"/>
          <w:caps w:val="0"/>
          <w:smallCaps w:val="0"/>
          <w:noProof w:val="0"/>
          <w:sz w:val="24"/>
          <w:szCs w:val="24"/>
          <w:lang w:val="en-US"/>
        </w:rPr>
        <w:t xml:space="preserve"> also</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 plays a key role. Many individuals who seek to switch careers have already allocated significant funds for foundational degrees, and expensive and </w:t>
      </w:r>
      <w:r w:rsidRPr="31E42715" w:rsidR="1C166BD1">
        <w:rPr>
          <w:rFonts w:ascii="Times New Roman" w:hAnsi="Times New Roman" w:eastAsia="Times New Roman" w:cs="Times New Roman"/>
          <w:b w:val="0"/>
          <w:bCs w:val="0"/>
          <w:i w:val="0"/>
          <w:iCs w:val="0"/>
          <w:caps w:val="0"/>
          <w:smallCaps w:val="0"/>
          <w:noProof w:val="0"/>
          <w:sz w:val="24"/>
          <w:szCs w:val="24"/>
          <w:lang w:val="en-US"/>
        </w:rPr>
        <w:t xml:space="preserve">time-consuming </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requirements may deter them from a </w:t>
      </w:r>
      <w:r w:rsidRPr="31E42715" w:rsidR="470856DB">
        <w:rPr>
          <w:rFonts w:ascii="Times New Roman" w:hAnsi="Times New Roman" w:eastAsia="Times New Roman" w:cs="Times New Roman"/>
          <w:b w:val="0"/>
          <w:bCs w:val="0"/>
          <w:i w:val="0"/>
          <w:iCs w:val="0"/>
          <w:caps w:val="0"/>
          <w:smallCaps w:val="0"/>
          <w:noProof w:val="0"/>
          <w:sz w:val="24"/>
          <w:szCs w:val="24"/>
          <w:lang w:val="en-US"/>
        </w:rPr>
        <w:t xml:space="preserve">teaching </w:t>
      </w:r>
      <w:r w:rsidRPr="31E42715" w:rsidR="3C8D15DA">
        <w:rPr>
          <w:rFonts w:ascii="Times New Roman" w:hAnsi="Times New Roman" w:eastAsia="Times New Roman" w:cs="Times New Roman"/>
          <w:b w:val="0"/>
          <w:bCs w:val="0"/>
          <w:i w:val="0"/>
          <w:iCs w:val="0"/>
          <w:caps w:val="0"/>
          <w:smallCaps w:val="0"/>
          <w:noProof w:val="0"/>
          <w:sz w:val="24"/>
          <w:szCs w:val="24"/>
          <w:lang w:val="en-US"/>
        </w:rPr>
        <w:t>career in which they have great interest and could contribute their skills. Career switchers come from a variety of life stages and are more likely than traditionally trained students to have family and community obligations</w:t>
      </w:r>
      <w:r w:rsidRPr="31E42715" w:rsidR="33F29965">
        <w:rPr>
          <w:rFonts w:ascii="Times New Roman" w:hAnsi="Times New Roman" w:eastAsia="Times New Roman" w:cs="Times New Roman"/>
          <w:b w:val="0"/>
          <w:bCs w:val="0"/>
          <w:i w:val="0"/>
          <w:iCs w:val="0"/>
          <w:caps w:val="0"/>
          <w:smallCaps w:val="0"/>
          <w:noProof w:val="0"/>
          <w:sz w:val="24"/>
          <w:szCs w:val="24"/>
          <w:lang w:val="en-US"/>
        </w:rPr>
        <w:t>,</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 in addition to </w:t>
      </w:r>
      <w:r w:rsidRPr="31E42715" w:rsidR="01370C8B">
        <w:rPr>
          <w:rFonts w:ascii="Times New Roman" w:hAnsi="Times New Roman" w:eastAsia="Times New Roman" w:cs="Times New Roman"/>
          <w:b w:val="0"/>
          <w:bCs w:val="0"/>
          <w:i w:val="0"/>
          <w:iCs w:val="0"/>
          <w:caps w:val="0"/>
          <w:smallCaps w:val="0"/>
          <w:noProof w:val="0"/>
          <w:sz w:val="24"/>
          <w:szCs w:val="24"/>
          <w:lang w:val="en-US"/>
        </w:rPr>
        <w:t xml:space="preserve">employment </w:t>
      </w:r>
      <w:r w:rsidRPr="31E42715" w:rsidR="318F1BDA">
        <w:rPr>
          <w:rFonts w:ascii="Times New Roman" w:hAnsi="Times New Roman" w:eastAsia="Times New Roman" w:cs="Times New Roman"/>
          <w:b w:val="0"/>
          <w:bCs w:val="0"/>
          <w:i w:val="0"/>
          <w:iCs w:val="0"/>
          <w:caps w:val="0"/>
          <w:smallCaps w:val="0"/>
          <w:noProof w:val="0"/>
          <w:sz w:val="24"/>
          <w:szCs w:val="24"/>
          <w:lang w:val="en-US"/>
        </w:rPr>
        <w:t>responsibilities</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 The </w:t>
      </w:r>
      <w:r w:rsidRPr="31E42715" w:rsidR="3C8D15DA">
        <w:rPr>
          <w:rFonts w:ascii="Times New Roman" w:hAnsi="Times New Roman" w:eastAsia="Times New Roman" w:cs="Times New Roman"/>
          <w:b w:val="0"/>
          <w:bCs w:val="0"/>
          <w:i w:val="0"/>
          <w:iCs w:val="0"/>
          <w:caps w:val="0"/>
          <w:smallCaps w:val="0"/>
          <w:noProof w:val="0"/>
          <w:sz w:val="24"/>
          <w:szCs w:val="24"/>
          <w:lang w:val="en-US"/>
        </w:rPr>
        <w:t>flexibility</w:t>
      </w:r>
      <w:r w:rsidRPr="31E42715" w:rsidR="0B3D2C2B">
        <w:rPr>
          <w:rFonts w:ascii="Times New Roman" w:hAnsi="Times New Roman" w:eastAsia="Times New Roman" w:cs="Times New Roman"/>
          <w:b w:val="0"/>
          <w:bCs w:val="0"/>
          <w:i w:val="0"/>
          <w:iCs w:val="0"/>
          <w:caps w:val="0"/>
          <w:smallCaps w:val="0"/>
          <w:noProof w:val="0"/>
          <w:sz w:val="24"/>
          <w:szCs w:val="24"/>
          <w:lang w:val="en-US"/>
        </w:rPr>
        <w:t xml:space="preserve"> </w:t>
      </w:r>
      <w:r w:rsidRPr="31E42715" w:rsidR="3C8D15DA">
        <w:rPr>
          <w:rFonts w:ascii="Times New Roman" w:hAnsi="Times New Roman" w:eastAsia="Times New Roman" w:cs="Times New Roman"/>
          <w:b w:val="0"/>
          <w:bCs w:val="0"/>
          <w:i w:val="0"/>
          <w:iCs w:val="0"/>
          <w:caps w:val="0"/>
          <w:smallCaps w:val="0"/>
          <w:noProof w:val="0"/>
          <w:sz w:val="24"/>
          <w:szCs w:val="24"/>
          <w:lang w:val="en-US"/>
        </w:rPr>
        <w:t>of online, asynchronous learning is an option that many career switchers find appealing</w:t>
      </w:r>
      <w:r w:rsidRPr="31E42715" w:rsidR="7FA62C3F">
        <w:rPr>
          <w:rFonts w:ascii="Times New Roman" w:hAnsi="Times New Roman" w:eastAsia="Times New Roman" w:cs="Times New Roman"/>
          <w:b w:val="0"/>
          <w:bCs w:val="0"/>
          <w:i w:val="0"/>
          <w:iCs w:val="0"/>
          <w:caps w:val="0"/>
          <w:smallCaps w:val="0"/>
          <w:noProof w:val="0"/>
          <w:sz w:val="24"/>
          <w:szCs w:val="24"/>
          <w:lang w:val="en-US"/>
        </w:rPr>
        <w:t>, and it is one that our institutions of higher education have implemented since before the pandemic.</w:t>
      </w:r>
      <w:r w:rsidRPr="31E42715" w:rsidR="3C8D15DA">
        <w:rPr>
          <w:rFonts w:ascii="Times New Roman" w:hAnsi="Times New Roman" w:eastAsia="Times New Roman" w:cs="Times New Roman"/>
          <w:b w:val="0"/>
          <w:bCs w:val="0"/>
          <w:i w:val="0"/>
          <w:iCs w:val="0"/>
          <w:caps w:val="0"/>
          <w:smallCaps w:val="0"/>
          <w:noProof w:val="0"/>
          <w:sz w:val="24"/>
          <w:szCs w:val="24"/>
          <w:lang w:val="en-US"/>
        </w:rPr>
        <w:t xml:space="preserve"> </w:t>
      </w:r>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The </w:t>
      </w:r>
      <w:proofErr w:type="spellStart"/>
      <w:r w:rsidRPr="31E42715" w:rsidR="2CD45088">
        <w:rPr>
          <w:rFonts w:ascii="Times New Roman" w:hAnsi="Times New Roman" w:eastAsia="Times New Roman" w:cs="Times New Roman"/>
          <w:b w:val="0"/>
          <w:bCs w:val="0"/>
          <w:i w:val="0"/>
          <w:iCs w:val="0"/>
          <w:caps w:val="0"/>
          <w:smallCaps w:val="0"/>
          <w:noProof w:val="0"/>
          <w:sz w:val="24"/>
          <w:szCs w:val="24"/>
          <w:lang w:val="en-US"/>
        </w:rPr>
        <w:t>iteach</w:t>
      </w:r>
      <w:proofErr w:type="spellEnd"/>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 program will allow for individuals to</w:t>
      </w:r>
      <w:r w:rsidRPr="31E42715" w:rsidR="2CD45088">
        <w:rPr>
          <w:rFonts w:ascii="Times New Roman" w:hAnsi="Times New Roman" w:eastAsia="Times New Roman" w:cs="Times New Roman"/>
          <w:b w:val="0"/>
          <w:bCs w:val="0"/>
          <w:i w:val="0"/>
          <w:iCs w:val="0"/>
          <w:caps w:val="0"/>
          <w:smallCaps w:val="0"/>
          <w:noProof w:val="0"/>
          <w:sz w:val="17"/>
          <w:szCs w:val="17"/>
          <w:lang w:val="en-US"/>
        </w:rPr>
        <w:t xml:space="preserve"> </w:t>
      </w:r>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complete </w:t>
      </w:r>
      <w:proofErr w:type="spellStart"/>
      <w:r w:rsidRPr="31E42715" w:rsidR="2CD45088">
        <w:rPr>
          <w:rFonts w:ascii="Times New Roman" w:hAnsi="Times New Roman" w:eastAsia="Times New Roman" w:cs="Times New Roman"/>
          <w:b w:val="0"/>
          <w:bCs w:val="0"/>
          <w:i w:val="0"/>
          <w:iCs w:val="0"/>
          <w:caps w:val="0"/>
          <w:smallCaps w:val="0"/>
          <w:noProof w:val="0"/>
          <w:sz w:val="24"/>
          <w:szCs w:val="24"/>
          <w:lang w:val="en-US"/>
        </w:rPr>
        <w:t>iteach</w:t>
      </w:r>
      <w:proofErr w:type="spellEnd"/>
      <w:r w:rsidRPr="31E42715" w:rsidR="13B43077">
        <w:rPr>
          <w:rFonts w:ascii="Times New Roman" w:hAnsi="Times New Roman" w:eastAsia="Times New Roman" w:cs="Times New Roman"/>
          <w:b w:val="0"/>
          <w:bCs w:val="0"/>
          <w:i w:val="0"/>
          <w:iCs w:val="0"/>
          <w:caps w:val="0"/>
          <w:smallCaps w:val="0"/>
          <w:noProof w:val="0"/>
          <w:sz w:val="24"/>
          <w:szCs w:val="24"/>
          <w:lang w:val="en-US"/>
        </w:rPr>
        <w:t xml:space="preserve"> </w:t>
      </w:r>
      <w:r w:rsidRPr="31E42715" w:rsidR="2CD45088">
        <w:rPr>
          <w:rFonts w:ascii="Times New Roman" w:hAnsi="Times New Roman" w:eastAsia="Times New Roman" w:cs="Times New Roman"/>
          <w:b w:val="0"/>
          <w:bCs w:val="0"/>
          <w:i w:val="0"/>
          <w:iCs w:val="0"/>
          <w:caps w:val="0"/>
          <w:smallCaps w:val="0"/>
          <w:noProof w:val="0"/>
          <w:sz w:val="24"/>
          <w:szCs w:val="24"/>
          <w:lang w:val="en-US"/>
        </w:rPr>
        <w:t>instructional coursework while currently employed</w:t>
      </w:r>
      <w:r w:rsidRPr="31E42715" w:rsidR="403CE0A4">
        <w:rPr>
          <w:rFonts w:ascii="Times New Roman" w:hAnsi="Times New Roman" w:eastAsia="Times New Roman" w:cs="Times New Roman"/>
          <w:b w:val="0"/>
          <w:bCs w:val="0"/>
          <w:i w:val="0"/>
          <w:iCs w:val="0"/>
          <w:caps w:val="0"/>
          <w:smallCaps w:val="0"/>
          <w:noProof w:val="0"/>
          <w:sz w:val="24"/>
          <w:szCs w:val="24"/>
          <w:lang w:val="en-US"/>
        </w:rPr>
        <w:t>,</w:t>
      </w:r>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 without a loss of salary or benefits, and the majority of</w:t>
      </w:r>
      <w:r w:rsidRPr="31E42715" w:rsidR="2DC086A3">
        <w:rPr>
          <w:rFonts w:ascii="Times New Roman" w:hAnsi="Times New Roman" w:eastAsia="Times New Roman" w:cs="Times New Roman"/>
          <w:b w:val="0"/>
          <w:bCs w:val="0"/>
          <w:i w:val="0"/>
          <w:iCs w:val="0"/>
          <w:caps w:val="0"/>
          <w:smallCaps w:val="0"/>
          <w:noProof w:val="0"/>
          <w:sz w:val="24"/>
          <w:szCs w:val="24"/>
          <w:lang w:val="en-US"/>
        </w:rPr>
        <w:t xml:space="preserve"> the</w:t>
      </w:r>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 </w:t>
      </w:r>
      <w:proofErr w:type="spellStart"/>
      <w:r w:rsidRPr="31E42715" w:rsidR="2CD45088">
        <w:rPr>
          <w:rFonts w:ascii="Times New Roman" w:hAnsi="Times New Roman" w:eastAsia="Times New Roman" w:cs="Times New Roman"/>
          <w:b w:val="0"/>
          <w:bCs w:val="0"/>
          <w:i w:val="0"/>
          <w:iCs w:val="0"/>
          <w:caps w:val="0"/>
          <w:smallCaps w:val="0"/>
          <w:noProof w:val="0"/>
          <w:sz w:val="24"/>
          <w:szCs w:val="24"/>
          <w:lang w:val="en-US"/>
        </w:rPr>
        <w:t>iteach</w:t>
      </w:r>
      <w:proofErr w:type="spellEnd"/>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 program fees are paid after</w:t>
      </w:r>
      <w:r w:rsidRPr="31E42715" w:rsidR="7D877B3B">
        <w:rPr>
          <w:rFonts w:ascii="Times New Roman" w:hAnsi="Times New Roman" w:eastAsia="Times New Roman" w:cs="Times New Roman"/>
          <w:b w:val="0"/>
          <w:bCs w:val="0"/>
          <w:i w:val="0"/>
          <w:iCs w:val="0"/>
          <w:caps w:val="0"/>
          <w:smallCaps w:val="0"/>
          <w:noProof w:val="0"/>
          <w:sz w:val="24"/>
          <w:szCs w:val="24"/>
          <w:lang w:val="en-US"/>
        </w:rPr>
        <w:t xml:space="preserve"> </w:t>
      </w:r>
      <w:r w:rsidRPr="31E42715" w:rsidR="2CD45088">
        <w:rPr>
          <w:rFonts w:ascii="Times New Roman" w:hAnsi="Times New Roman" w:eastAsia="Times New Roman" w:cs="Times New Roman"/>
          <w:b w:val="0"/>
          <w:bCs w:val="0"/>
          <w:i w:val="0"/>
          <w:iCs w:val="0"/>
          <w:caps w:val="0"/>
          <w:smallCaps w:val="0"/>
          <w:noProof w:val="0"/>
          <w:sz w:val="24"/>
          <w:szCs w:val="24"/>
          <w:lang w:val="en-US"/>
        </w:rPr>
        <w:t>the candidate is hired</w:t>
      </w:r>
      <w:r w:rsidRPr="31E42715" w:rsidR="06878252">
        <w:rPr>
          <w:rFonts w:ascii="Times New Roman" w:hAnsi="Times New Roman" w:eastAsia="Times New Roman" w:cs="Times New Roman"/>
          <w:b w:val="0"/>
          <w:bCs w:val="0"/>
          <w:i w:val="0"/>
          <w:iCs w:val="0"/>
          <w:caps w:val="0"/>
          <w:smallCaps w:val="0"/>
          <w:noProof w:val="0"/>
          <w:sz w:val="24"/>
          <w:szCs w:val="24"/>
          <w:lang w:val="en-US"/>
        </w:rPr>
        <w:t>,</w:t>
      </w:r>
      <w:r w:rsidRPr="31E42715" w:rsidR="2CD45088">
        <w:rPr>
          <w:rFonts w:ascii="Times New Roman" w:hAnsi="Times New Roman" w:eastAsia="Times New Roman" w:cs="Times New Roman"/>
          <w:b w:val="0"/>
          <w:bCs w:val="0"/>
          <w:i w:val="0"/>
          <w:iCs w:val="0"/>
          <w:caps w:val="0"/>
          <w:smallCaps w:val="0"/>
          <w:noProof w:val="0"/>
          <w:sz w:val="24"/>
          <w:szCs w:val="24"/>
          <w:lang w:val="en-US"/>
        </w:rPr>
        <w:t xml:space="preserve"> and over the course of the first year in the classroom.</w:t>
      </w:r>
      <w:r w:rsidRPr="31E42715" w:rsidR="296DC120">
        <w:rPr>
          <w:rFonts w:ascii="Times New Roman" w:hAnsi="Times New Roman" w:eastAsia="Times New Roman" w:cs="Times New Roman"/>
          <w:b w:val="0"/>
          <w:bCs w:val="0"/>
          <w:i w:val="0"/>
          <w:iCs w:val="0"/>
          <w:caps w:val="0"/>
          <w:smallCaps w:val="0"/>
          <w:noProof w:val="0"/>
          <w:sz w:val="24"/>
          <w:szCs w:val="24"/>
          <w:lang w:val="en-US"/>
        </w:rPr>
        <w:t xml:space="preserve"> </w:t>
      </w:r>
      <w:r w:rsidRPr="31E42715" w:rsidR="43CF6BC2">
        <w:rPr>
          <w:rFonts w:ascii="Times New Roman" w:hAnsi="Times New Roman" w:eastAsia="Times New Roman" w:cs="Times New Roman"/>
          <w:b w:val="0"/>
          <w:bCs w:val="0"/>
          <w:i w:val="0"/>
          <w:iCs w:val="0"/>
          <w:caps w:val="0"/>
          <w:smallCaps w:val="0"/>
          <w:noProof w:val="0"/>
          <w:sz w:val="24"/>
          <w:szCs w:val="24"/>
          <w:lang w:val="en-US"/>
        </w:rPr>
        <w:t>C</w:t>
      </w:r>
      <w:r w:rsidRPr="31E42715" w:rsidR="1A70A2C7">
        <w:rPr>
          <w:rFonts w:ascii="Times New Roman" w:hAnsi="Times New Roman" w:eastAsia="Times New Roman" w:cs="Times New Roman"/>
          <w:b w:val="0"/>
          <w:bCs w:val="0"/>
          <w:i w:val="0"/>
          <w:iCs w:val="0"/>
          <w:caps w:val="0"/>
          <w:smallCaps w:val="0"/>
          <w:noProof w:val="0"/>
          <w:sz w:val="24"/>
          <w:szCs w:val="24"/>
          <w:lang w:val="en-US"/>
        </w:rPr>
        <w:t xml:space="preserve">andidates in the </w:t>
      </w:r>
      <w:proofErr w:type="spellStart"/>
      <w:r w:rsidRPr="31E42715" w:rsidR="1A70A2C7">
        <w:rPr>
          <w:rFonts w:ascii="Times New Roman" w:hAnsi="Times New Roman" w:eastAsia="Times New Roman" w:cs="Times New Roman"/>
          <w:b w:val="0"/>
          <w:bCs w:val="0"/>
          <w:i w:val="0"/>
          <w:iCs w:val="0"/>
          <w:caps w:val="0"/>
          <w:smallCaps w:val="0"/>
          <w:noProof w:val="0"/>
          <w:sz w:val="24"/>
          <w:szCs w:val="24"/>
          <w:lang w:val="en-US"/>
        </w:rPr>
        <w:t>iteach</w:t>
      </w:r>
      <w:proofErr w:type="spellEnd"/>
      <w:r w:rsidRPr="31E42715" w:rsidR="1A70A2C7">
        <w:rPr>
          <w:rFonts w:ascii="Times New Roman" w:hAnsi="Times New Roman" w:eastAsia="Times New Roman" w:cs="Times New Roman"/>
          <w:b w:val="0"/>
          <w:bCs w:val="0"/>
          <w:i w:val="0"/>
          <w:iCs w:val="0"/>
          <w:caps w:val="0"/>
          <w:smallCaps w:val="0"/>
          <w:noProof w:val="0"/>
          <w:sz w:val="24"/>
          <w:szCs w:val="24"/>
          <w:lang w:val="en-US"/>
        </w:rPr>
        <w:t xml:space="preserve"> program do not qualify for federal financial assistance; therefore, candidates pay a minimal amount of the program fees upfront. They pay an initial upfront fee of $250 and defer the remainder of program costs, $2,800, interest-free until they are hired as teachers, at which time their monthly payment plan begins for the balance of program fees. The total cost of the program is $3050. If the candidate does not complete the program </w:t>
      </w:r>
      <w:r w:rsidRPr="31E42715" w:rsidR="3A3D04B9">
        <w:rPr>
          <w:rFonts w:ascii="Times New Roman" w:hAnsi="Times New Roman" w:eastAsia="Times New Roman" w:cs="Times New Roman"/>
          <w:b w:val="0"/>
          <w:bCs w:val="0"/>
          <w:i w:val="0"/>
          <w:iCs w:val="0"/>
          <w:caps w:val="0"/>
          <w:smallCaps w:val="0"/>
          <w:noProof w:val="0"/>
          <w:sz w:val="24"/>
          <w:szCs w:val="24"/>
          <w:lang w:val="en-US"/>
        </w:rPr>
        <w:t xml:space="preserve">to </w:t>
      </w:r>
      <w:r w:rsidRPr="31E42715" w:rsidR="1A70A2C7">
        <w:rPr>
          <w:rFonts w:ascii="Times New Roman" w:hAnsi="Times New Roman" w:eastAsia="Times New Roman" w:cs="Times New Roman"/>
          <w:b w:val="0"/>
          <w:bCs w:val="0"/>
          <w:i w:val="0"/>
          <w:iCs w:val="0"/>
          <w:caps w:val="0"/>
          <w:smallCaps w:val="0"/>
          <w:noProof w:val="0"/>
          <w:sz w:val="24"/>
          <w:szCs w:val="24"/>
          <w:lang w:val="en-US"/>
        </w:rPr>
        <w:t>certification, or the candidate does not obtain a field experience placement, no additional fees are due</w:t>
      </w:r>
      <w:r w:rsidRPr="31E42715" w:rsidR="71CED7A2">
        <w:rPr>
          <w:rFonts w:ascii="Times New Roman" w:hAnsi="Times New Roman" w:eastAsia="Times New Roman" w:cs="Times New Roman"/>
          <w:b w:val="0"/>
          <w:bCs w:val="0"/>
          <w:i w:val="0"/>
          <w:iCs w:val="0"/>
          <w:caps w:val="0"/>
          <w:smallCaps w:val="0"/>
          <w:noProof w:val="0"/>
          <w:sz w:val="24"/>
          <w:szCs w:val="24"/>
          <w:lang w:val="en-US"/>
        </w:rPr>
        <w:t>.</w:t>
      </w:r>
    </w:p>
    <w:p w:rsidR="115E616A" w:rsidP="115E616A" w:rsidRDefault="115E616A" w14:paraId="742E028F" w14:textId="60E86521">
      <w:pPr>
        <w:pStyle w:val="Normal"/>
        <w:rPr>
          <w:rFonts w:ascii="Times New Roman" w:hAnsi="Times New Roman" w:eastAsia="Times New Roman" w:cs="Times New Roman"/>
          <w:b w:val="0"/>
          <w:bCs w:val="0"/>
          <w:i w:val="0"/>
          <w:iCs w:val="0"/>
          <w:caps w:val="0"/>
          <w:smallCaps w:val="0"/>
          <w:noProof w:val="0"/>
          <w:sz w:val="24"/>
          <w:szCs w:val="24"/>
          <w:lang w:val="en-US"/>
        </w:rPr>
      </w:pPr>
    </w:p>
    <w:p w:rsidR="7DBB420F" w:rsidP="115E616A" w:rsidRDefault="7DBB420F" w14:paraId="065480C8" w14:textId="318BFC5C">
      <w:pPr>
        <w:pStyle w:val="Normal"/>
        <w:rPr>
          <w:rFonts w:ascii="Times New Roman" w:hAnsi="Times New Roman" w:eastAsia="Times New Roman" w:cs="Times New Roman"/>
          <w:b w:val="0"/>
          <w:bCs w:val="0"/>
          <w:i w:val="0"/>
          <w:iCs w:val="0"/>
          <w:caps w:val="0"/>
          <w:smallCaps w:val="0"/>
          <w:noProof w:val="0"/>
          <w:sz w:val="24"/>
          <w:szCs w:val="24"/>
          <w:lang w:val="en-US"/>
        </w:rPr>
      </w:pPr>
      <w:r w:rsidRPr="115E616A" w:rsidR="7DBB420F">
        <w:rPr>
          <w:rFonts w:ascii="Times New Roman" w:hAnsi="Times New Roman" w:eastAsia="Times New Roman" w:cs="Times New Roman"/>
          <w:b w:val="0"/>
          <w:bCs w:val="0"/>
          <w:i w:val="0"/>
          <w:iCs w:val="0"/>
          <w:caps w:val="0"/>
          <w:smallCaps w:val="0"/>
          <w:noProof w:val="0"/>
          <w:sz w:val="24"/>
          <w:szCs w:val="24"/>
          <w:lang w:val="en-US"/>
        </w:rPr>
        <w:t xml:space="preserve">There are currently 11 states that offer the </w:t>
      </w:r>
      <w:proofErr w:type="spellStart"/>
      <w:r w:rsidRPr="115E616A" w:rsidR="7DBB420F">
        <w:rPr>
          <w:rFonts w:ascii="Times New Roman" w:hAnsi="Times New Roman" w:eastAsia="Times New Roman" w:cs="Times New Roman"/>
          <w:b w:val="0"/>
          <w:bCs w:val="0"/>
          <w:i w:val="0"/>
          <w:iCs w:val="0"/>
          <w:caps w:val="0"/>
          <w:smallCaps w:val="0"/>
          <w:noProof w:val="0"/>
          <w:sz w:val="24"/>
          <w:szCs w:val="24"/>
          <w:lang w:val="en-US"/>
        </w:rPr>
        <w:t>iteach</w:t>
      </w:r>
      <w:proofErr w:type="spellEnd"/>
      <w:r w:rsidRPr="115E616A" w:rsidR="7DBB420F">
        <w:rPr>
          <w:rFonts w:ascii="Times New Roman" w:hAnsi="Times New Roman" w:eastAsia="Times New Roman" w:cs="Times New Roman"/>
          <w:b w:val="0"/>
          <w:bCs w:val="0"/>
          <w:i w:val="0"/>
          <w:iCs w:val="0"/>
          <w:caps w:val="0"/>
          <w:smallCaps w:val="0"/>
          <w:noProof w:val="0"/>
          <w:sz w:val="24"/>
          <w:szCs w:val="24"/>
          <w:lang w:val="en-US"/>
        </w:rPr>
        <w:t xml:space="preserve"> program as an alternate route to license either statewide or to specific school divisions/districts</w:t>
      </w:r>
      <w:r w:rsidRPr="115E616A" w:rsidR="5FD97B5F">
        <w:rPr>
          <w:rFonts w:ascii="Times New Roman" w:hAnsi="Times New Roman" w:eastAsia="Times New Roman" w:cs="Times New Roman"/>
          <w:b w:val="0"/>
          <w:bCs w:val="0"/>
          <w:i w:val="0"/>
          <w:iCs w:val="0"/>
          <w:caps w:val="0"/>
          <w:smallCaps w:val="0"/>
          <w:noProof w:val="0"/>
          <w:sz w:val="24"/>
          <w:szCs w:val="24"/>
          <w:lang w:val="en-US"/>
        </w:rPr>
        <w:t xml:space="preserve"> in their state</w:t>
      </w:r>
      <w:r w:rsidRPr="115E616A" w:rsidR="7DBB420F">
        <w:rPr>
          <w:rFonts w:ascii="Times New Roman" w:hAnsi="Times New Roman" w:eastAsia="Times New Roman" w:cs="Times New Roman"/>
          <w:b w:val="0"/>
          <w:bCs w:val="0"/>
          <w:i w:val="0"/>
          <w:iCs w:val="0"/>
          <w:caps w:val="0"/>
          <w:smallCaps w:val="0"/>
          <w:noProof w:val="0"/>
          <w:sz w:val="24"/>
          <w:szCs w:val="24"/>
          <w:lang w:val="en-US"/>
        </w:rPr>
        <w:t xml:space="preserve">. </w:t>
      </w:r>
    </w:p>
    <w:p w:rsidR="292B1173" w:rsidP="31E42715" w:rsidRDefault="292B1173" w14:paraId="6D131048" w14:textId="731D3AD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92B1173" w:rsidP="7F46D3FF" w:rsidRDefault="292B1173" w14:paraId="5F7055B7" w14:textId="21A023C3">
      <w:pPr>
        <w:pStyle w:val="Heading2"/>
      </w:pPr>
      <w:r w:rsidRPr="7F46D3FF" w:rsidR="292B1173">
        <w:rPr>
          <w:rFonts w:ascii="Times New Roman" w:hAnsi="Times New Roman" w:eastAsia="Times New Roman" w:cs="Times New Roman"/>
          <w:noProof w:val="0"/>
          <w:sz w:val="24"/>
          <w:szCs w:val="24"/>
          <w:lang w:val="en"/>
        </w:rPr>
        <w:t xml:space="preserve">Timetable for Further Review/Action: </w:t>
      </w:r>
    </w:p>
    <w:p w:rsidR="292B1173" w:rsidP="7F46D3FF" w:rsidRDefault="292B1173" w14:paraId="5AD816D5" w14:textId="3F16352A">
      <w:pPr>
        <w:spacing w:line="276" w:lineRule="auto"/>
      </w:pPr>
      <w:r w:rsidRPr="7F46D3FF" w:rsidR="292B1173">
        <w:rPr>
          <w:rFonts w:ascii="Times New Roman" w:hAnsi="Times New Roman" w:eastAsia="Times New Roman" w:cs="Times New Roman"/>
          <w:noProof w:val="0"/>
          <w:color w:val="000000" w:themeColor="text1" w:themeTint="FF" w:themeShade="FF"/>
          <w:sz w:val="24"/>
          <w:szCs w:val="24"/>
          <w:lang w:val="en"/>
        </w:rPr>
        <w:t>It is anticipated that this item will come before the Board for final review on June 15, 2023. Following Board approval, each division will work with the Office of Licensure and School Leadership to submit applications for those individuals who complete this Board approved alternate route to licensure.</w:t>
      </w:r>
    </w:p>
    <w:p w:rsidR="292B1173" w:rsidP="7F46D3FF" w:rsidRDefault="292B1173" w14:paraId="7CDD596F" w14:textId="78C58F3A">
      <w:pPr>
        <w:spacing w:line="276" w:lineRule="auto"/>
      </w:pPr>
      <w:r w:rsidRPr="7F46D3FF" w:rsidR="292B1173">
        <w:rPr>
          <w:rFonts w:ascii="Times New Roman" w:hAnsi="Times New Roman" w:eastAsia="Times New Roman" w:cs="Times New Roman"/>
          <w:noProof w:val="0"/>
          <w:sz w:val="24"/>
          <w:szCs w:val="24"/>
          <w:lang w:val="en"/>
        </w:rPr>
        <w:t xml:space="preserve"> </w:t>
      </w:r>
    </w:p>
    <w:p w:rsidR="292B1173" w:rsidP="7F46D3FF" w:rsidRDefault="292B1173" w14:paraId="4CAF1AC3" w14:textId="709A1E43">
      <w:pPr>
        <w:pStyle w:val="Heading2"/>
      </w:pPr>
      <w:r w:rsidRPr="7F46D3FF" w:rsidR="292B1173">
        <w:rPr>
          <w:rFonts w:ascii="Times New Roman" w:hAnsi="Times New Roman" w:eastAsia="Times New Roman" w:cs="Times New Roman"/>
          <w:noProof w:val="0"/>
          <w:sz w:val="24"/>
          <w:szCs w:val="24"/>
          <w:lang w:val="en"/>
        </w:rPr>
        <w:t xml:space="preserve">Impact on Fiscal and Human Resources: </w:t>
      </w:r>
    </w:p>
    <w:p w:rsidR="292B1173" w:rsidRDefault="292B1173" w14:paraId="625CF1F6" w14:textId="422F7B86">
      <w:r w:rsidRPr="7F46D3FF" w:rsidR="292B1173">
        <w:rPr>
          <w:rFonts w:ascii="Times New Roman" w:hAnsi="Times New Roman" w:eastAsia="Times New Roman" w:cs="Times New Roman"/>
          <w:noProof w:val="0"/>
          <w:color w:val="000000" w:themeColor="text1" w:themeTint="FF" w:themeShade="FF"/>
          <w:sz w:val="24"/>
          <w:szCs w:val="24"/>
          <w:lang w:val="en"/>
        </w:rPr>
        <w:t xml:space="preserve">The administrative requirements for approving provisional licenses via this alternate route will be absorbed within existing resources at the Department of Education. The cost of the administration of the approved division alternate routes to licensure will be absorbed by each individual division in accordance with the respective Memorandums of Understanding iteach has with each division. </w:t>
      </w:r>
    </w:p>
    <w:p w:rsidR="7F46D3FF" w:rsidP="7F46D3FF" w:rsidRDefault="7F46D3FF" w14:paraId="1CD9EBC6" w14:textId="006F3250">
      <w:pPr>
        <w:rPr>
          <w:rFonts w:ascii="Times New Roman" w:hAnsi="Times New Roman" w:eastAsia="Times New Roman" w:cs="Times New Roman"/>
          <w:noProof w:val="0"/>
          <w:color w:val="666666"/>
          <w:sz w:val="30"/>
          <w:szCs w:val="30"/>
          <w:lang w:val="en"/>
        </w:rPr>
      </w:pPr>
    </w:p>
    <w:p w:rsidR="7F46D3FF" w:rsidP="7F46D3FF" w:rsidRDefault="7F46D3FF" w14:paraId="5758F0C8" w14:textId="54C77280">
      <w:pPr>
        <w:pStyle w:val="paragraph"/>
        <w:spacing w:before="0" w:beforeAutospacing="off" w:after="0" w:afterAutospacing="off"/>
        <w:rPr>
          <w:rStyle w:val="eop"/>
        </w:rPr>
        <w:sectPr w:rsidR="001904FA">
          <w:headerReference w:type="default" r:id="rId14"/>
          <w:footerReference w:type="default" r:id="rId15"/>
          <w:headerReference w:type="first" r:id="rId16"/>
          <w:footerReference w:type="first" r:id="rId17"/>
          <w:pgSz w:w="12240" w:h="15840" w:orient="portrait"/>
          <w:pgMar w:top="1440" w:right="1440" w:bottom="1440" w:left="1440" w:header="720" w:footer="720" w:gutter="0"/>
          <w:pgNumType w:start="1"/>
          <w:cols w:space="720"/>
          <w:titlePg/>
        </w:sectPr>
      </w:pPr>
    </w:p>
    <w:p w:rsidR="001904FA" w:rsidRDefault="001904FA" w14:paraId="1DB5E3AC" w14:textId="77777777">
      <w:pPr>
        <w:ind w:left="1440"/>
        <w:sectPr w:rsidR="001904FA" w:rsidSect="001904FA">
          <w:type w:val="continuous"/>
          <w:pgSz w:w="12240" w:h="15840" w:orient="portrait"/>
          <w:pgMar w:top="1440" w:right="1440" w:bottom="1440" w:left="1440" w:header="720" w:footer="720" w:gutter="0"/>
          <w:pgNumType w:start="1"/>
          <w:cols w:space="720" w:num="2"/>
          <w:titlePg/>
        </w:sectPr>
      </w:pPr>
    </w:p>
    <w:p w:rsidR="7F46D3FF" w:rsidRDefault="7F46D3FF" w14:paraId="21572B9B" w14:textId="3F36BCE4"/>
    <w:sectPr w:rsidR="00AD0966" w:rsidSect="001904FA">
      <w:type w:val="continuous"/>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826" w:rsidRDefault="00925826" w14:paraId="0717B5E1" w14:textId="77777777">
      <w:pPr>
        <w:spacing w:line="240" w:lineRule="auto"/>
      </w:pPr>
      <w:r>
        <w:separator/>
      </w:r>
    </w:p>
  </w:endnote>
  <w:endnote w:type="continuationSeparator" w:id="0">
    <w:p w:rsidR="00925826" w:rsidRDefault="00925826" w14:paraId="79BF066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d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79525BE1"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529661F7"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826" w:rsidRDefault="00925826" w14:paraId="6B5DE730" w14:textId="77777777">
      <w:pPr>
        <w:spacing w:line="240" w:lineRule="auto"/>
      </w:pPr>
      <w:r>
        <w:separator/>
      </w:r>
    </w:p>
  </w:footnote>
  <w:footnote w:type="continuationSeparator" w:id="0">
    <w:p w:rsidR="00925826" w:rsidRDefault="00925826" w14:paraId="6851A4F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30563E4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B9C7AC8" w14:textId="77777777">
    <w:pPr>
      <w:pStyle w:val="Heading1"/>
    </w:pPr>
    <w:bookmarkStart w:name="_1y4a0gsejnud" w:colFirst="0" w:colLast="0" w:id="11"/>
    <w:bookmarkEnd w:id="11"/>
    <w:r>
      <w:rPr>
        <w:noProof/>
        <w:lang w:val="en-US"/>
      </w:rPr>
      <w:drawing>
        <wp:anchor distT="114300" distB="114300" distL="114300" distR="114300" simplePos="0" relativeHeight="251658240" behindDoc="0" locked="0" layoutInCell="1" hidden="0" allowOverlap="1" wp14:anchorId="6CCD658B" wp14:editId="1EBD7BBC">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intelligence2.xml><?xml version="1.0" encoding="utf-8"?>
<int2:intelligence xmlns:int2="http://schemas.microsoft.com/office/intelligence/2020/intelligence">
  <int2:observations>
    <int2:bookmark int2:bookmarkName="_Int_Y1JJYYsy" int2:invalidationBookmarkName="" int2:hashCode="M5H66VsDKjPgG+" int2:id="byZIYgK8">
      <int2:state int2:type="WordDesignerDefaultAnnotation" int2:value="Rejected"/>
    </int2:bookmark>
    <int2:bookmark int2:bookmarkName="_Int_OlVYFGDx" int2:invalidationBookmarkName="" int2:hashCode="FEvADlrcXiVt/P" int2:id="uEV3cwm7">
      <int2:state int2:type="WordDesignerDefaultAnnotation" int2:value="Rejected"/>
    </int2:bookmark>
    <int2:bookmark int2:bookmarkName="_Int_OlVYFGDx" int2:invalidationBookmarkName="" int2:hashCode="DIekk26eAW8jiB" int2:id="dhDnjzxN">
      <int2:state int2:type="WordDesignerDefaultAnnotation" int2:value="Rejected"/>
    </int2:bookmark>
    <int2:bookmark int2:bookmarkName="_Int_fouWVbhi" int2:invalidationBookmarkName="" int2:hashCode="1hIgm2gXL1f+BB" int2:id="UurymLUA">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bd77b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8a9f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87b8b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5A7F9F"/>
    <w:multiLevelType w:val="multilevel"/>
    <w:tmpl w:val="A98832B0"/>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CF5AB6"/>
    <w:multiLevelType w:val="multilevel"/>
    <w:tmpl w:val="7B2EFE0E"/>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8"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
    <w:abstractNumId w:val="11"/>
  </w:num>
  <w:num w:numId="11">
    <w:abstractNumId w:val="10"/>
  </w:num>
  <w:num w:numId="10">
    <w:abstractNumId w:val="9"/>
  </w:num>
  <w:num w:numId="1">
    <w:abstractNumId w:val="6"/>
  </w:num>
  <w:num w:numId="2">
    <w:abstractNumId w:val="2"/>
  </w:num>
  <w:num w:numId="3">
    <w:abstractNumId w:val="4"/>
  </w:num>
  <w:num w:numId="4">
    <w:abstractNumId w:val="0"/>
  </w:num>
  <w:num w:numId="5">
    <w:abstractNumId w:val="3"/>
  </w:num>
  <w:num w:numId="6">
    <w:abstractNumId w:val="1"/>
  </w:num>
  <w:num w:numId="7">
    <w:abstractNumId w:val="8"/>
  </w:num>
  <w:num w:numId="8">
    <w:abstractNumId w:val="5"/>
  </w:num>
  <w:num w:numId="9">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83C9B"/>
    <w:rsid w:val="001904FA"/>
    <w:rsid w:val="001E412D"/>
    <w:rsid w:val="001EB30B"/>
    <w:rsid w:val="00233F64"/>
    <w:rsid w:val="00354D40"/>
    <w:rsid w:val="00574EE6"/>
    <w:rsid w:val="005C4914"/>
    <w:rsid w:val="006C78B7"/>
    <w:rsid w:val="008047EE"/>
    <w:rsid w:val="00925826"/>
    <w:rsid w:val="00957D8B"/>
    <w:rsid w:val="00AD0966"/>
    <w:rsid w:val="00DA6148"/>
    <w:rsid w:val="00E15BFE"/>
    <w:rsid w:val="00F462E8"/>
    <w:rsid w:val="01370C8B"/>
    <w:rsid w:val="0158A042"/>
    <w:rsid w:val="01C2EBE7"/>
    <w:rsid w:val="01D96DCA"/>
    <w:rsid w:val="0200280D"/>
    <w:rsid w:val="02B3550C"/>
    <w:rsid w:val="032916EE"/>
    <w:rsid w:val="03FC207B"/>
    <w:rsid w:val="04650B28"/>
    <w:rsid w:val="049A7AF6"/>
    <w:rsid w:val="04C73EA5"/>
    <w:rsid w:val="04C7BC6E"/>
    <w:rsid w:val="051197AC"/>
    <w:rsid w:val="0597F0DC"/>
    <w:rsid w:val="05CF8D0E"/>
    <w:rsid w:val="05EBF5D4"/>
    <w:rsid w:val="06878252"/>
    <w:rsid w:val="070CB8E7"/>
    <w:rsid w:val="07BBD20C"/>
    <w:rsid w:val="07C17698"/>
    <w:rsid w:val="08290980"/>
    <w:rsid w:val="0936B0FD"/>
    <w:rsid w:val="0966014D"/>
    <w:rsid w:val="096E40C7"/>
    <w:rsid w:val="09B0F388"/>
    <w:rsid w:val="0ACBA18C"/>
    <w:rsid w:val="0B1D1660"/>
    <w:rsid w:val="0B2FC61B"/>
    <w:rsid w:val="0B3D2C2B"/>
    <w:rsid w:val="0B7EF8F7"/>
    <w:rsid w:val="0B8B07DD"/>
    <w:rsid w:val="0BC2A92F"/>
    <w:rsid w:val="0BEDFA18"/>
    <w:rsid w:val="0BF3BD1B"/>
    <w:rsid w:val="0C079BDA"/>
    <w:rsid w:val="0C8DC480"/>
    <w:rsid w:val="0CD3DC04"/>
    <w:rsid w:val="0D1CA991"/>
    <w:rsid w:val="0D35D1EE"/>
    <w:rsid w:val="0DCE5BF0"/>
    <w:rsid w:val="0ED1A24F"/>
    <w:rsid w:val="0EEC590F"/>
    <w:rsid w:val="0EF3506E"/>
    <w:rsid w:val="0F713BD5"/>
    <w:rsid w:val="0F8420B3"/>
    <w:rsid w:val="0FC5025A"/>
    <w:rsid w:val="0FDD094F"/>
    <w:rsid w:val="10379260"/>
    <w:rsid w:val="10BE63CF"/>
    <w:rsid w:val="115E616A"/>
    <w:rsid w:val="119D6978"/>
    <w:rsid w:val="11D05E5A"/>
    <w:rsid w:val="1239B762"/>
    <w:rsid w:val="12D96951"/>
    <w:rsid w:val="133939D9"/>
    <w:rsid w:val="13B43077"/>
    <w:rsid w:val="13E3749E"/>
    <w:rsid w:val="140E6BB3"/>
    <w:rsid w:val="145B0472"/>
    <w:rsid w:val="147C039C"/>
    <w:rsid w:val="147D4119"/>
    <w:rsid w:val="14FDD0AD"/>
    <w:rsid w:val="150426E4"/>
    <w:rsid w:val="153A3CE3"/>
    <w:rsid w:val="153FFBFC"/>
    <w:rsid w:val="156534B8"/>
    <w:rsid w:val="158479B2"/>
    <w:rsid w:val="164368DF"/>
    <w:rsid w:val="171CCFC5"/>
    <w:rsid w:val="1720D58F"/>
    <w:rsid w:val="1792A534"/>
    <w:rsid w:val="17F3829F"/>
    <w:rsid w:val="1807E72E"/>
    <w:rsid w:val="184E218F"/>
    <w:rsid w:val="18788495"/>
    <w:rsid w:val="188A26CD"/>
    <w:rsid w:val="18B8A026"/>
    <w:rsid w:val="19C04FFE"/>
    <w:rsid w:val="19C3D111"/>
    <w:rsid w:val="19ED80E1"/>
    <w:rsid w:val="1A70A2C7"/>
    <w:rsid w:val="1A7DAD37"/>
    <w:rsid w:val="1B4B7D00"/>
    <w:rsid w:val="1BF57DCA"/>
    <w:rsid w:val="1C054CFC"/>
    <w:rsid w:val="1C166BD1"/>
    <w:rsid w:val="1C26FD1D"/>
    <w:rsid w:val="1CA6C9DE"/>
    <w:rsid w:val="1D41A0B5"/>
    <w:rsid w:val="1DB7E1A5"/>
    <w:rsid w:val="1ED48099"/>
    <w:rsid w:val="1EF35C44"/>
    <w:rsid w:val="20367B57"/>
    <w:rsid w:val="2067BDDA"/>
    <w:rsid w:val="21455C47"/>
    <w:rsid w:val="21764975"/>
    <w:rsid w:val="22C0A4C8"/>
    <w:rsid w:val="22CD728E"/>
    <w:rsid w:val="24CA669B"/>
    <w:rsid w:val="2512988F"/>
    <w:rsid w:val="25449354"/>
    <w:rsid w:val="25D152CC"/>
    <w:rsid w:val="267D1A75"/>
    <w:rsid w:val="273D448A"/>
    <w:rsid w:val="276198FB"/>
    <w:rsid w:val="2786CFE1"/>
    <w:rsid w:val="2846F5C0"/>
    <w:rsid w:val="2869B70A"/>
    <w:rsid w:val="2889259B"/>
    <w:rsid w:val="28B12B5F"/>
    <w:rsid w:val="292B1173"/>
    <w:rsid w:val="296DC120"/>
    <w:rsid w:val="2A2A6639"/>
    <w:rsid w:val="2A5E80EF"/>
    <w:rsid w:val="2A9F5CF1"/>
    <w:rsid w:val="2AAC8084"/>
    <w:rsid w:val="2CC99762"/>
    <w:rsid w:val="2CD45088"/>
    <w:rsid w:val="2CFAF95F"/>
    <w:rsid w:val="2D62D231"/>
    <w:rsid w:val="2DC086A3"/>
    <w:rsid w:val="2E06D3C8"/>
    <w:rsid w:val="2EA0AF84"/>
    <w:rsid w:val="2EE20CA7"/>
    <w:rsid w:val="2F4F9733"/>
    <w:rsid w:val="2F5FE561"/>
    <w:rsid w:val="2FBCB588"/>
    <w:rsid w:val="3019132B"/>
    <w:rsid w:val="315C3BCF"/>
    <w:rsid w:val="318F1BDA"/>
    <w:rsid w:val="31953867"/>
    <w:rsid w:val="31E42715"/>
    <w:rsid w:val="32B7BD63"/>
    <w:rsid w:val="330ACA25"/>
    <w:rsid w:val="33104628"/>
    <w:rsid w:val="3363BCE0"/>
    <w:rsid w:val="3369DDD1"/>
    <w:rsid w:val="33A0D52D"/>
    <w:rsid w:val="33F29965"/>
    <w:rsid w:val="34239E0F"/>
    <w:rsid w:val="34293D33"/>
    <w:rsid w:val="34B25A19"/>
    <w:rsid w:val="34D185DE"/>
    <w:rsid w:val="35C037BE"/>
    <w:rsid w:val="35DCC305"/>
    <w:rsid w:val="36368B26"/>
    <w:rsid w:val="363C74CD"/>
    <w:rsid w:val="36EF9A17"/>
    <w:rsid w:val="371B8438"/>
    <w:rsid w:val="377E4725"/>
    <w:rsid w:val="37C17F00"/>
    <w:rsid w:val="37DC1039"/>
    <w:rsid w:val="382E7647"/>
    <w:rsid w:val="384741CD"/>
    <w:rsid w:val="39257A81"/>
    <w:rsid w:val="3977E09A"/>
    <w:rsid w:val="39ECD594"/>
    <w:rsid w:val="3A3D04B9"/>
    <w:rsid w:val="3A526799"/>
    <w:rsid w:val="3B13B0FB"/>
    <w:rsid w:val="3B860CCD"/>
    <w:rsid w:val="3B872A7B"/>
    <w:rsid w:val="3C0B4DA5"/>
    <w:rsid w:val="3C2A108B"/>
    <w:rsid w:val="3C391570"/>
    <w:rsid w:val="3C8914B7"/>
    <w:rsid w:val="3C8D15DA"/>
    <w:rsid w:val="3CCD552A"/>
    <w:rsid w:val="3CEDA2F0"/>
    <w:rsid w:val="3CEEADF6"/>
    <w:rsid w:val="3D97167F"/>
    <w:rsid w:val="3E3DA049"/>
    <w:rsid w:val="3E755AE2"/>
    <w:rsid w:val="3E801A6D"/>
    <w:rsid w:val="3ECB1434"/>
    <w:rsid w:val="3F2D1D81"/>
    <w:rsid w:val="3F390CB8"/>
    <w:rsid w:val="3FB3C042"/>
    <w:rsid w:val="3FC4D9B7"/>
    <w:rsid w:val="3FDD6D6C"/>
    <w:rsid w:val="403CE0A4"/>
    <w:rsid w:val="4063FB2C"/>
    <w:rsid w:val="406999DA"/>
    <w:rsid w:val="417BF252"/>
    <w:rsid w:val="41997D63"/>
    <w:rsid w:val="41C2FAD2"/>
    <w:rsid w:val="425CF698"/>
    <w:rsid w:val="4262D774"/>
    <w:rsid w:val="4268D659"/>
    <w:rsid w:val="42B7050B"/>
    <w:rsid w:val="4317C2B3"/>
    <w:rsid w:val="431A0D9C"/>
    <w:rsid w:val="43CF6BC2"/>
    <w:rsid w:val="43E8CA90"/>
    <w:rsid w:val="444CED05"/>
    <w:rsid w:val="446E0265"/>
    <w:rsid w:val="45849AF1"/>
    <w:rsid w:val="46806CC7"/>
    <w:rsid w:val="470856DB"/>
    <w:rsid w:val="474322F8"/>
    <w:rsid w:val="4780DDE1"/>
    <w:rsid w:val="4789395A"/>
    <w:rsid w:val="47C83CA7"/>
    <w:rsid w:val="47E0643D"/>
    <w:rsid w:val="47F959CF"/>
    <w:rsid w:val="48D454BE"/>
    <w:rsid w:val="48FA8DB5"/>
    <w:rsid w:val="49497317"/>
    <w:rsid w:val="494B8ECD"/>
    <w:rsid w:val="495F10CD"/>
    <w:rsid w:val="497F0FAD"/>
    <w:rsid w:val="49BCDB28"/>
    <w:rsid w:val="49F8050A"/>
    <w:rsid w:val="4A3CBD0A"/>
    <w:rsid w:val="4A64753F"/>
    <w:rsid w:val="4B09AC3B"/>
    <w:rsid w:val="4B202013"/>
    <w:rsid w:val="4B394870"/>
    <w:rsid w:val="4B6CF8F5"/>
    <w:rsid w:val="4BAE0D6E"/>
    <w:rsid w:val="4C030865"/>
    <w:rsid w:val="4C1D97B8"/>
    <w:rsid w:val="4C324E02"/>
    <w:rsid w:val="4CAB52F1"/>
    <w:rsid w:val="4CBBF074"/>
    <w:rsid w:val="4CCB679D"/>
    <w:rsid w:val="4CEBA963"/>
    <w:rsid w:val="4D028F6E"/>
    <w:rsid w:val="4D13A833"/>
    <w:rsid w:val="4DC2C87F"/>
    <w:rsid w:val="4DF298F0"/>
    <w:rsid w:val="4EABE7C9"/>
    <w:rsid w:val="50FD303E"/>
    <w:rsid w:val="512A39B2"/>
    <w:rsid w:val="515A0C0A"/>
    <w:rsid w:val="52614FD3"/>
    <w:rsid w:val="538A3EC2"/>
    <w:rsid w:val="539607A5"/>
    <w:rsid w:val="53A209BE"/>
    <w:rsid w:val="53BDD38F"/>
    <w:rsid w:val="53F06750"/>
    <w:rsid w:val="544DA2D4"/>
    <w:rsid w:val="54EFF116"/>
    <w:rsid w:val="555FE780"/>
    <w:rsid w:val="55991A05"/>
    <w:rsid w:val="56F306C0"/>
    <w:rsid w:val="574B9B76"/>
    <w:rsid w:val="577714DC"/>
    <w:rsid w:val="57827D29"/>
    <w:rsid w:val="57ED114C"/>
    <w:rsid w:val="58005382"/>
    <w:rsid w:val="583A4E78"/>
    <w:rsid w:val="5849F5B8"/>
    <w:rsid w:val="584D43C1"/>
    <w:rsid w:val="58C82E1F"/>
    <w:rsid w:val="5918C859"/>
    <w:rsid w:val="5990C248"/>
    <w:rsid w:val="5A1FF669"/>
    <w:rsid w:val="5A4718EA"/>
    <w:rsid w:val="5A4883A0"/>
    <w:rsid w:val="5B242690"/>
    <w:rsid w:val="5B48CA74"/>
    <w:rsid w:val="5B8E8CB5"/>
    <w:rsid w:val="5C12D263"/>
    <w:rsid w:val="5C77B8B9"/>
    <w:rsid w:val="5CF3E55D"/>
    <w:rsid w:val="5D0DBF9B"/>
    <w:rsid w:val="5D5B4F0C"/>
    <w:rsid w:val="5E6B4BF2"/>
    <w:rsid w:val="5E9ED050"/>
    <w:rsid w:val="5EA64676"/>
    <w:rsid w:val="5F2BDA7E"/>
    <w:rsid w:val="5FC3124D"/>
    <w:rsid w:val="5FD97B5F"/>
    <w:rsid w:val="5FE69A1F"/>
    <w:rsid w:val="60028105"/>
    <w:rsid w:val="6059E4E4"/>
    <w:rsid w:val="60AA2B90"/>
    <w:rsid w:val="60E1F7E3"/>
    <w:rsid w:val="613BD91F"/>
    <w:rsid w:val="6290ED0F"/>
    <w:rsid w:val="62A9A7DF"/>
    <w:rsid w:val="648571D5"/>
    <w:rsid w:val="649A952B"/>
    <w:rsid w:val="64DE9F05"/>
    <w:rsid w:val="64FD4067"/>
    <w:rsid w:val="6501B52F"/>
    <w:rsid w:val="653C3A18"/>
    <w:rsid w:val="65BACB4C"/>
    <w:rsid w:val="65D7DFD2"/>
    <w:rsid w:val="66691769"/>
    <w:rsid w:val="66E7B781"/>
    <w:rsid w:val="66F85D73"/>
    <w:rsid w:val="67F90F0E"/>
    <w:rsid w:val="6809821A"/>
    <w:rsid w:val="68FB5B59"/>
    <w:rsid w:val="69036620"/>
    <w:rsid w:val="6915611C"/>
    <w:rsid w:val="69209898"/>
    <w:rsid w:val="6AA69EF4"/>
    <w:rsid w:val="6B998123"/>
    <w:rsid w:val="6BBA2049"/>
    <w:rsid w:val="6D2050EC"/>
    <w:rsid w:val="6DC2D29E"/>
    <w:rsid w:val="6DD474D6"/>
    <w:rsid w:val="6DFE7DFB"/>
    <w:rsid w:val="6E130282"/>
    <w:rsid w:val="6E3ECBA7"/>
    <w:rsid w:val="6F704537"/>
    <w:rsid w:val="6F7BF780"/>
    <w:rsid w:val="6FD34D44"/>
    <w:rsid w:val="707EB3CF"/>
    <w:rsid w:val="710C1598"/>
    <w:rsid w:val="71CED7A2"/>
    <w:rsid w:val="71EB5B9F"/>
    <w:rsid w:val="7211F907"/>
    <w:rsid w:val="7220B6AD"/>
    <w:rsid w:val="722F6D80"/>
    <w:rsid w:val="72484BFB"/>
    <w:rsid w:val="729643C1"/>
    <w:rsid w:val="729E3147"/>
    <w:rsid w:val="72B6AE03"/>
    <w:rsid w:val="72D1EF1E"/>
    <w:rsid w:val="72F6FDB1"/>
    <w:rsid w:val="733A83D4"/>
    <w:rsid w:val="73D26038"/>
    <w:rsid w:val="73DB446C"/>
    <w:rsid w:val="74042158"/>
    <w:rsid w:val="74042158"/>
    <w:rsid w:val="743AC5D8"/>
    <w:rsid w:val="7483EDC8"/>
    <w:rsid w:val="750DBE0A"/>
    <w:rsid w:val="75122320"/>
    <w:rsid w:val="7525D715"/>
    <w:rsid w:val="75DFF918"/>
    <w:rsid w:val="75F06783"/>
    <w:rsid w:val="766E5C0B"/>
    <w:rsid w:val="768278F5"/>
    <w:rsid w:val="76A98E6B"/>
    <w:rsid w:val="778200DF"/>
    <w:rsid w:val="7849C3E2"/>
    <w:rsid w:val="785400B8"/>
    <w:rsid w:val="789BD903"/>
    <w:rsid w:val="78D7927B"/>
    <w:rsid w:val="79F94838"/>
    <w:rsid w:val="7A7362DC"/>
    <w:rsid w:val="7A7362DC"/>
    <w:rsid w:val="7C09732D"/>
    <w:rsid w:val="7C1A841C"/>
    <w:rsid w:val="7C8374B9"/>
    <w:rsid w:val="7C85FC6B"/>
    <w:rsid w:val="7C8E01CD"/>
    <w:rsid w:val="7CC05FCA"/>
    <w:rsid w:val="7CD5AA48"/>
    <w:rsid w:val="7D2DDF23"/>
    <w:rsid w:val="7D877B3B"/>
    <w:rsid w:val="7DBB420F"/>
    <w:rsid w:val="7E0B20A8"/>
    <w:rsid w:val="7E57A493"/>
    <w:rsid w:val="7EC76E1D"/>
    <w:rsid w:val="7EDFF16B"/>
    <w:rsid w:val="7F0E5C58"/>
    <w:rsid w:val="7F46D3FF"/>
    <w:rsid w:val="7F872A5F"/>
    <w:rsid w:val="7FA62C3F"/>
    <w:rsid w:val="7FED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69B3"/>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normaltextrun" w:customStyle="1">
    <w:name w:val="normaltextrun"/>
    <w:basedOn w:val="DefaultParagraphFont"/>
    <w:rsid w:val="001904FA"/>
  </w:style>
  <w:style w:type="character" w:styleId="tabchar" w:customStyle="1">
    <w:name w:val="tabchar"/>
    <w:basedOn w:val="DefaultParagraphFont"/>
    <w:rsid w:val="001904FA"/>
  </w:style>
  <w:style w:type="paragraph" w:styleId="paragraph" w:customStyle="1">
    <w:name w:val="paragraph"/>
    <w:basedOn w:val="Normal"/>
    <w:rsid w:val="001904FA"/>
    <w:pPr>
      <w:spacing w:before="100" w:beforeAutospacing="1" w:after="100" w:afterAutospacing="1" w:line="240" w:lineRule="auto"/>
    </w:pPr>
    <w:rPr>
      <w:lang w:val="en-US"/>
    </w:rPr>
  </w:style>
  <w:style w:type="character" w:styleId="eop" w:customStyle="1">
    <w:name w:val="eop"/>
    <w:basedOn w:val="DefaultParagraphFont"/>
    <w:rsid w:val="001904FA"/>
  </w:style>
  <w:style w:type="paragraph" w:styleId="NormalWeb">
    <w:name w:val="Normal (Web)"/>
    <w:basedOn w:val="Normal"/>
    <w:uiPriority w:val="99"/>
    <w:semiHidden/>
    <w:unhideWhenUsed/>
    <w:rsid w:val="008047EE"/>
  </w:style>
  <w:style w:type="table" w:styleId="TableGrid">
    <w:name w:val="Table Grid"/>
    <w:basedOn w:val="TableNormal"/>
    <w:uiPriority w:val="39"/>
    <w:rsid w:val="00233F64"/>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0818">
      <w:bodyDiv w:val="1"/>
      <w:marLeft w:val="0"/>
      <w:marRight w:val="0"/>
      <w:marTop w:val="0"/>
      <w:marBottom w:val="0"/>
      <w:divBdr>
        <w:top w:val="none" w:sz="0" w:space="0" w:color="auto"/>
        <w:left w:val="none" w:sz="0" w:space="0" w:color="auto"/>
        <w:bottom w:val="none" w:sz="0" w:space="0" w:color="auto"/>
        <w:right w:val="none" w:sz="0" w:space="0" w:color="auto"/>
      </w:divBdr>
      <w:divsChild>
        <w:div w:id="577831637">
          <w:marLeft w:val="0"/>
          <w:marRight w:val="0"/>
          <w:marTop w:val="0"/>
          <w:marBottom w:val="0"/>
          <w:divBdr>
            <w:top w:val="none" w:sz="0" w:space="0" w:color="auto"/>
            <w:left w:val="none" w:sz="0" w:space="0" w:color="auto"/>
            <w:bottom w:val="none" w:sz="0" w:space="0" w:color="auto"/>
            <w:right w:val="none" w:sz="0" w:space="0" w:color="auto"/>
          </w:divBdr>
        </w:div>
        <w:div w:id="544368965">
          <w:marLeft w:val="0"/>
          <w:marRight w:val="0"/>
          <w:marTop w:val="0"/>
          <w:marBottom w:val="0"/>
          <w:divBdr>
            <w:top w:val="none" w:sz="0" w:space="0" w:color="auto"/>
            <w:left w:val="none" w:sz="0" w:space="0" w:color="auto"/>
            <w:bottom w:val="none" w:sz="0" w:space="0" w:color="auto"/>
            <w:right w:val="none" w:sz="0" w:space="0" w:color="auto"/>
          </w:divBdr>
        </w:div>
      </w:divsChild>
    </w:div>
    <w:div w:id="1137331659">
      <w:bodyDiv w:val="1"/>
      <w:marLeft w:val="0"/>
      <w:marRight w:val="0"/>
      <w:marTop w:val="0"/>
      <w:marBottom w:val="0"/>
      <w:divBdr>
        <w:top w:val="none" w:sz="0" w:space="0" w:color="auto"/>
        <w:left w:val="none" w:sz="0" w:space="0" w:color="auto"/>
        <w:bottom w:val="none" w:sz="0" w:space="0" w:color="auto"/>
        <w:right w:val="none" w:sz="0" w:space="0" w:color="auto"/>
      </w:divBdr>
      <w:divsChild>
        <w:div w:id="2049379335">
          <w:marLeft w:val="0"/>
          <w:marRight w:val="0"/>
          <w:marTop w:val="0"/>
          <w:marBottom w:val="0"/>
          <w:divBdr>
            <w:top w:val="none" w:sz="0" w:space="0" w:color="auto"/>
            <w:left w:val="none" w:sz="0" w:space="0" w:color="auto"/>
            <w:bottom w:val="none" w:sz="0" w:space="0" w:color="auto"/>
            <w:right w:val="none" w:sz="0" w:space="0" w:color="auto"/>
          </w:divBdr>
          <w:divsChild>
            <w:div w:id="1779786373">
              <w:marLeft w:val="0"/>
              <w:marRight w:val="0"/>
              <w:marTop w:val="0"/>
              <w:marBottom w:val="0"/>
              <w:divBdr>
                <w:top w:val="none" w:sz="0" w:space="0" w:color="auto"/>
                <w:left w:val="none" w:sz="0" w:space="0" w:color="auto"/>
                <w:bottom w:val="none" w:sz="0" w:space="0" w:color="auto"/>
                <w:right w:val="none" w:sz="0" w:space="0" w:color="auto"/>
              </w:divBdr>
            </w:div>
            <w:div w:id="810560581">
              <w:marLeft w:val="0"/>
              <w:marRight w:val="0"/>
              <w:marTop w:val="0"/>
              <w:marBottom w:val="0"/>
              <w:divBdr>
                <w:top w:val="none" w:sz="0" w:space="0" w:color="auto"/>
                <w:left w:val="none" w:sz="0" w:space="0" w:color="auto"/>
                <w:bottom w:val="none" w:sz="0" w:space="0" w:color="auto"/>
                <w:right w:val="none" w:sz="0" w:space="0" w:color="auto"/>
              </w:divBdr>
            </w:div>
            <w:div w:id="1826239104">
              <w:marLeft w:val="0"/>
              <w:marRight w:val="0"/>
              <w:marTop w:val="0"/>
              <w:marBottom w:val="0"/>
              <w:divBdr>
                <w:top w:val="none" w:sz="0" w:space="0" w:color="auto"/>
                <w:left w:val="none" w:sz="0" w:space="0" w:color="auto"/>
                <w:bottom w:val="none" w:sz="0" w:space="0" w:color="auto"/>
                <w:right w:val="none" w:sz="0" w:space="0" w:color="auto"/>
              </w:divBdr>
            </w:div>
          </w:divsChild>
        </w:div>
        <w:div w:id="1037657860">
          <w:marLeft w:val="0"/>
          <w:marRight w:val="0"/>
          <w:marTop w:val="0"/>
          <w:marBottom w:val="0"/>
          <w:divBdr>
            <w:top w:val="none" w:sz="0" w:space="0" w:color="auto"/>
            <w:left w:val="none" w:sz="0" w:space="0" w:color="auto"/>
            <w:bottom w:val="none" w:sz="0" w:space="0" w:color="auto"/>
            <w:right w:val="none" w:sz="0" w:space="0" w:color="auto"/>
          </w:divBdr>
          <w:divsChild>
            <w:div w:id="151987981">
              <w:marLeft w:val="0"/>
              <w:marRight w:val="0"/>
              <w:marTop w:val="0"/>
              <w:marBottom w:val="0"/>
              <w:divBdr>
                <w:top w:val="none" w:sz="0" w:space="0" w:color="auto"/>
                <w:left w:val="none" w:sz="0" w:space="0" w:color="auto"/>
                <w:bottom w:val="none" w:sz="0" w:space="0" w:color="auto"/>
                <w:right w:val="none" w:sz="0" w:space="0" w:color="auto"/>
              </w:divBdr>
            </w:div>
          </w:divsChild>
        </w:div>
        <w:div w:id="891618974">
          <w:marLeft w:val="0"/>
          <w:marRight w:val="0"/>
          <w:marTop w:val="0"/>
          <w:marBottom w:val="0"/>
          <w:divBdr>
            <w:top w:val="none" w:sz="0" w:space="0" w:color="auto"/>
            <w:left w:val="none" w:sz="0" w:space="0" w:color="auto"/>
            <w:bottom w:val="none" w:sz="0" w:space="0" w:color="auto"/>
            <w:right w:val="none" w:sz="0" w:space="0" w:color="auto"/>
          </w:divBdr>
        </w:div>
        <w:div w:id="1551843596">
          <w:marLeft w:val="0"/>
          <w:marRight w:val="0"/>
          <w:marTop w:val="0"/>
          <w:marBottom w:val="0"/>
          <w:divBdr>
            <w:top w:val="none" w:sz="0" w:space="0" w:color="auto"/>
            <w:left w:val="none" w:sz="0" w:space="0" w:color="auto"/>
            <w:bottom w:val="none" w:sz="0" w:space="0" w:color="auto"/>
            <w:right w:val="none" w:sz="0" w:space="0" w:color="auto"/>
          </w:divBdr>
        </w:div>
        <w:div w:id="2065370267">
          <w:marLeft w:val="0"/>
          <w:marRight w:val="0"/>
          <w:marTop w:val="0"/>
          <w:marBottom w:val="0"/>
          <w:divBdr>
            <w:top w:val="none" w:sz="0" w:space="0" w:color="auto"/>
            <w:left w:val="none" w:sz="0" w:space="0" w:color="auto"/>
            <w:bottom w:val="none" w:sz="0" w:space="0" w:color="auto"/>
            <w:right w:val="none" w:sz="0" w:space="0" w:color="auto"/>
          </w:divBdr>
        </w:div>
        <w:div w:id="889616110">
          <w:marLeft w:val="0"/>
          <w:marRight w:val="0"/>
          <w:marTop w:val="0"/>
          <w:marBottom w:val="0"/>
          <w:divBdr>
            <w:top w:val="none" w:sz="0" w:space="0" w:color="auto"/>
            <w:left w:val="none" w:sz="0" w:space="0" w:color="auto"/>
            <w:bottom w:val="none" w:sz="0" w:space="0" w:color="auto"/>
            <w:right w:val="none" w:sz="0" w:space="0" w:color="auto"/>
          </w:divBdr>
        </w:div>
        <w:div w:id="922839744">
          <w:marLeft w:val="0"/>
          <w:marRight w:val="0"/>
          <w:marTop w:val="0"/>
          <w:marBottom w:val="0"/>
          <w:divBdr>
            <w:top w:val="none" w:sz="0" w:space="0" w:color="auto"/>
            <w:left w:val="none" w:sz="0" w:space="0" w:color="auto"/>
            <w:bottom w:val="none" w:sz="0" w:space="0" w:color="auto"/>
            <w:right w:val="none" w:sz="0" w:space="0" w:color="auto"/>
          </w:divBdr>
        </w:div>
        <w:div w:id="32510949">
          <w:marLeft w:val="0"/>
          <w:marRight w:val="0"/>
          <w:marTop w:val="0"/>
          <w:marBottom w:val="0"/>
          <w:divBdr>
            <w:top w:val="none" w:sz="0" w:space="0" w:color="auto"/>
            <w:left w:val="none" w:sz="0" w:space="0" w:color="auto"/>
            <w:bottom w:val="none" w:sz="0" w:space="0" w:color="auto"/>
            <w:right w:val="none" w:sz="0" w:space="0" w:color="auto"/>
          </w:divBdr>
        </w:div>
        <w:div w:id="868908049">
          <w:marLeft w:val="0"/>
          <w:marRight w:val="0"/>
          <w:marTop w:val="0"/>
          <w:marBottom w:val="0"/>
          <w:divBdr>
            <w:top w:val="none" w:sz="0" w:space="0" w:color="auto"/>
            <w:left w:val="none" w:sz="0" w:space="0" w:color="auto"/>
            <w:bottom w:val="none" w:sz="0" w:space="0" w:color="auto"/>
            <w:right w:val="none" w:sz="0" w:space="0" w:color="auto"/>
          </w:divBdr>
        </w:div>
        <w:div w:id="1093474570">
          <w:marLeft w:val="0"/>
          <w:marRight w:val="0"/>
          <w:marTop w:val="0"/>
          <w:marBottom w:val="0"/>
          <w:divBdr>
            <w:top w:val="none" w:sz="0" w:space="0" w:color="auto"/>
            <w:left w:val="none" w:sz="0" w:space="0" w:color="auto"/>
            <w:bottom w:val="none" w:sz="0" w:space="0" w:color="auto"/>
            <w:right w:val="none" w:sz="0" w:space="0" w:color="auto"/>
          </w:divBdr>
        </w:div>
        <w:div w:id="333655136">
          <w:marLeft w:val="0"/>
          <w:marRight w:val="0"/>
          <w:marTop w:val="0"/>
          <w:marBottom w:val="0"/>
          <w:divBdr>
            <w:top w:val="none" w:sz="0" w:space="0" w:color="auto"/>
            <w:left w:val="none" w:sz="0" w:space="0" w:color="auto"/>
            <w:bottom w:val="none" w:sz="0" w:space="0" w:color="auto"/>
            <w:right w:val="none" w:sz="0" w:space="0" w:color="auto"/>
          </w:divBdr>
        </w:div>
        <w:div w:id="2024431502">
          <w:marLeft w:val="0"/>
          <w:marRight w:val="0"/>
          <w:marTop w:val="0"/>
          <w:marBottom w:val="0"/>
          <w:divBdr>
            <w:top w:val="none" w:sz="0" w:space="0" w:color="auto"/>
            <w:left w:val="none" w:sz="0" w:space="0" w:color="auto"/>
            <w:bottom w:val="none" w:sz="0" w:space="0" w:color="auto"/>
            <w:right w:val="none" w:sz="0" w:space="0" w:color="auto"/>
          </w:divBdr>
        </w:div>
        <w:div w:id="1995523032">
          <w:marLeft w:val="0"/>
          <w:marRight w:val="0"/>
          <w:marTop w:val="0"/>
          <w:marBottom w:val="0"/>
          <w:divBdr>
            <w:top w:val="none" w:sz="0" w:space="0" w:color="auto"/>
            <w:left w:val="none" w:sz="0" w:space="0" w:color="auto"/>
            <w:bottom w:val="none" w:sz="0" w:space="0" w:color="auto"/>
            <w:right w:val="none" w:sz="0" w:space="0" w:color="auto"/>
          </w:divBdr>
        </w:div>
      </w:divsChild>
    </w:div>
    <w:div w:id="1678576728">
      <w:bodyDiv w:val="1"/>
      <w:marLeft w:val="0"/>
      <w:marRight w:val="0"/>
      <w:marTop w:val="0"/>
      <w:marBottom w:val="0"/>
      <w:divBdr>
        <w:top w:val="none" w:sz="0" w:space="0" w:color="auto"/>
        <w:left w:val="none" w:sz="0" w:space="0" w:color="auto"/>
        <w:bottom w:val="none" w:sz="0" w:space="0" w:color="auto"/>
        <w:right w:val="none" w:sz="0" w:space="0" w:color="auto"/>
      </w:divBdr>
    </w:div>
    <w:div w:id="2114934019">
      <w:bodyDiv w:val="1"/>
      <w:marLeft w:val="0"/>
      <w:marRight w:val="0"/>
      <w:marTop w:val="0"/>
      <w:marBottom w:val="0"/>
      <w:divBdr>
        <w:top w:val="none" w:sz="0" w:space="0" w:color="auto"/>
        <w:left w:val="none" w:sz="0" w:space="0" w:color="auto"/>
        <w:bottom w:val="none" w:sz="0" w:space="0" w:color="auto"/>
        <w:right w:val="none" w:sz="0" w:space="0" w:color="auto"/>
      </w:divBdr>
      <w:divsChild>
        <w:div w:id="1697148660">
          <w:marLeft w:val="0"/>
          <w:marRight w:val="0"/>
          <w:marTop w:val="0"/>
          <w:marBottom w:val="0"/>
          <w:divBdr>
            <w:top w:val="none" w:sz="0" w:space="0" w:color="auto"/>
            <w:left w:val="none" w:sz="0" w:space="0" w:color="auto"/>
            <w:bottom w:val="none" w:sz="0" w:space="0" w:color="auto"/>
            <w:right w:val="none" w:sz="0" w:space="0" w:color="auto"/>
          </w:divBdr>
        </w:div>
        <w:div w:id="585502901">
          <w:marLeft w:val="0"/>
          <w:marRight w:val="0"/>
          <w:marTop w:val="0"/>
          <w:marBottom w:val="0"/>
          <w:divBdr>
            <w:top w:val="none" w:sz="0" w:space="0" w:color="auto"/>
            <w:left w:val="none" w:sz="0" w:space="0" w:color="auto"/>
            <w:bottom w:val="none" w:sz="0" w:space="0" w:color="auto"/>
            <w:right w:val="none" w:sz="0" w:space="0" w:color="auto"/>
          </w:divBdr>
        </w:div>
        <w:div w:id="121003843">
          <w:marLeft w:val="0"/>
          <w:marRight w:val="0"/>
          <w:marTop w:val="0"/>
          <w:marBottom w:val="0"/>
          <w:divBdr>
            <w:top w:val="none" w:sz="0" w:space="0" w:color="auto"/>
            <w:left w:val="none" w:sz="0" w:space="0" w:color="auto"/>
            <w:bottom w:val="none" w:sz="0" w:space="0" w:color="auto"/>
            <w:right w:val="none" w:sz="0" w:space="0" w:color="auto"/>
          </w:divBdr>
        </w:div>
        <w:div w:id="929969058">
          <w:marLeft w:val="0"/>
          <w:marRight w:val="0"/>
          <w:marTop w:val="0"/>
          <w:marBottom w:val="0"/>
          <w:divBdr>
            <w:top w:val="none" w:sz="0" w:space="0" w:color="auto"/>
            <w:left w:val="none" w:sz="0" w:space="0" w:color="auto"/>
            <w:bottom w:val="none" w:sz="0" w:space="0" w:color="auto"/>
            <w:right w:val="none" w:sz="0" w:space="0" w:color="auto"/>
          </w:divBdr>
        </w:div>
        <w:div w:id="1852135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 Type="http://schemas.microsoft.com/office/2020/10/relationships/intelligence" Target="intelligence2.xml" Id="Rde6bea7280144daf" /><Relationship Type="http://schemas.microsoft.com/office/2011/relationships/people" Target="people.xml" Id="R23c30f50ef5e48c8" /><Relationship Type="http://schemas.microsoft.com/office/2011/relationships/commentsExtended" Target="commentsExtended.xml" Id="R9f827c25d64745f9" /><Relationship Type="http://schemas.microsoft.com/office/2016/09/relationships/commentsIds" Target="commentsIds.xml" Id="R947bf047c248429e" /><Relationship Type="http://schemas.openxmlformats.org/officeDocument/2006/relationships/hyperlink" Target="https://lis.virginia.gov/cgi-bin/legp604.exe?191+ful+CHAP0409" TargetMode="External" Id="Ra7143182b9ec42d6" /><Relationship Type="http://schemas.openxmlformats.org/officeDocument/2006/relationships/hyperlink" Target="https://law.lis.virginia.gov/admincode/title8/agency20/chapter23/" TargetMode="External" Id="Ra16324d299804cf9" /><Relationship Type="http://schemas.openxmlformats.org/officeDocument/2006/relationships/hyperlink" Target="http://law.lis.virginia.gov/vacode/22.1-298.1" TargetMode="External" Id="R5bdc5f16d7c34359" /><Relationship Type="http://schemas.openxmlformats.org/officeDocument/2006/relationships/hyperlink" Target="https://law.lis.virginia.gov/admincode/title8/agency20/chapter543/" TargetMode="External" Id="R5da743e7ee7b400d" /><Relationship Type="http://schemas.openxmlformats.org/officeDocument/2006/relationships/hyperlink" Target="https://law.lis.virginia.gov/admincode/title8/agency20/chapter543/section130/" TargetMode="External" Id="R00e8188c8bad4a45" /><Relationship Type="http://schemas.openxmlformats.org/officeDocument/2006/relationships/hyperlink" Target="https://law.lis.virginia.gov/admincode/title8/agency20/chapter543/section90/" TargetMode="External" Id="R5a0ab938663c4489" /><Relationship Type="http://schemas.openxmlformats.org/officeDocument/2006/relationships/hyperlink" Target="mailto:Joan.Johnson@doe.virginia.gov" TargetMode="External" Id="R9d03d7cfac7e48e2" /><Relationship Type="http://schemas.openxmlformats.org/officeDocument/2006/relationships/hyperlink" Target="mailto:Joan.Johnson@doe.virginia.gov" TargetMode="External" Id="R253e8892ae444bb1" /><Relationship Type="http://schemas.openxmlformats.org/officeDocument/2006/relationships/hyperlink" Target="https://lis.virginia.gov/cgi-bin/legp604.exe?191+ful+CHAP0409" TargetMode="External" Id="R87be2f4b03f84110" /><Relationship Type="http://schemas.openxmlformats.org/officeDocument/2006/relationships/hyperlink" Target="https://law.lis.virginia.gov/admincode/title8/agency20/chapter543/section120/" TargetMode="External" Id="Rae745960c1dc44b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Props1.xml><?xml version="1.0" encoding="utf-8"?>
<ds:datastoreItem xmlns:ds="http://schemas.openxmlformats.org/officeDocument/2006/customXml" ds:itemID="{9B0A1829-8018-4F01-ADF0-DADF063B83DF}"/>
</file>

<file path=customXml/itemProps2.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3.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4.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Chapman, Jim (DOE)</cp:lastModifiedBy>
  <cp:revision>11</cp:revision>
  <dcterms:created xsi:type="dcterms:W3CDTF">2023-03-04T15:49:00Z</dcterms:created>
  <dcterms:modified xsi:type="dcterms:W3CDTF">2023-04-14T19:47:28Z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