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D0966" w:rsidRDefault="001E412D" w14:paraId="55389714" w14:textId="18304DF8">
      <w:pPr>
        <w:pStyle w:val="Heading1"/>
        <w:ind w:left="2160" w:hanging="2160"/>
        <w:rPr>
          <w:rFonts w:ascii="Times New Roman" w:hAnsi="Times New Roman" w:eastAsia="Times New Roman" w:cs="Times New Roman"/>
        </w:rPr>
      </w:pPr>
      <w:bookmarkStart w:name="_v6h2tvc63wcj" w:id="0"/>
      <w:bookmarkEnd w:id="0"/>
      <w:r w:rsidRPr="3F12D4AB" w:rsidR="001E412D">
        <w:rPr>
          <w:rFonts w:ascii="Times New Roman" w:hAnsi="Times New Roman" w:eastAsia="Times New Roman" w:cs="Times New Roman"/>
        </w:rPr>
        <w:t>Agenda Item:</w:t>
      </w:r>
      <w:r w:rsidR="001E412D">
        <w:rPr/>
        <w:t xml:space="preserve"> </w:t>
      </w:r>
      <w:r>
        <w:tab/>
      </w:r>
      <w:r w:rsidRPr="3F12D4AB" w:rsidR="24266305">
        <w:rPr>
          <w:rFonts w:ascii="Times New Roman" w:hAnsi="Times New Roman" w:eastAsia="Times New Roman" w:cs="Times New Roman"/>
        </w:rPr>
        <w:t>E</w:t>
      </w:r>
    </w:p>
    <w:p w:rsidR="00AD0966" w:rsidRDefault="00AD0966" w14:paraId="7708C137" w14:textId="77777777">
      <w:pPr>
        <w:ind w:left="2160" w:hanging="2160"/>
        <w:rPr>
          <w:rFonts w:ascii="Cardo" w:hAnsi="Cardo" w:eastAsia="Cardo" w:cs="Cardo"/>
          <w:b/>
        </w:rPr>
      </w:pPr>
    </w:p>
    <w:p w:rsidR="00AD0966" w:rsidRDefault="001E412D" w14:paraId="25E94ADA" w14:textId="4639DE79">
      <w:pPr>
        <w:pStyle w:val="Heading2"/>
        <w:ind w:left="2160" w:hanging="2160"/>
      </w:pPr>
      <w:bookmarkStart w:name="_tehyq7yeo3rn" w:colFirst="0" w:colLast="0" w:id="1"/>
      <w:bookmarkEnd w:id="1"/>
      <w:r>
        <w:t>Date:</w:t>
      </w:r>
      <w:r w:rsidR="005719D3">
        <w:tab/>
      </w:r>
      <w:r w:rsidR="00F65FC3">
        <w:t>April</w:t>
      </w:r>
      <w:r w:rsidR="005719D3">
        <w:t xml:space="preserve"> </w:t>
      </w:r>
      <w:r w:rsidR="00B95000">
        <w:t>2</w:t>
      </w:r>
      <w:r w:rsidR="00F65FC3">
        <w:t>0</w:t>
      </w:r>
      <w:r w:rsidR="005719D3">
        <w:t>, 2023</w:t>
      </w:r>
      <w:r>
        <w:tab/>
      </w:r>
    </w:p>
    <w:p w:rsidR="00AD0966" w:rsidRDefault="00AD0966" w14:paraId="01E94805" w14:textId="77777777">
      <w:pPr>
        <w:ind w:left="2160" w:hanging="2160"/>
        <w:rPr>
          <w:rFonts w:ascii="Cardo" w:hAnsi="Cardo" w:eastAsia="Cardo" w:cs="Cardo"/>
          <w:b/>
        </w:rPr>
      </w:pPr>
    </w:p>
    <w:p w:rsidR="00AD0966" w:rsidRDefault="001E412D" w14:paraId="6D7C8B7B" w14:textId="2A8476D0">
      <w:pPr>
        <w:pStyle w:val="Heading2"/>
        <w:ind w:left="2160" w:hanging="2160"/>
      </w:pPr>
      <w:bookmarkStart w:name="_d0ckn4izyzin" w:colFirst="0" w:colLast="0" w:id="2"/>
      <w:bookmarkEnd w:id="2"/>
      <w:r>
        <w:t>Title:</w:t>
      </w:r>
      <w:r w:rsidR="005719D3">
        <w:tab/>
      </w:r>
      <w:r w:rsidR="00F65FC3">
        <w:t>Final</w:t>
      </w:r>
      <w:r w:rsidR="005719D3">
        <w:t xml:space="preserve"> Review of Applications for Alternative Accreditation </w:t>
      </w:r>
      <w:r w:rsidRPr="0032328C" w:rsidR="005719D3">
        <w:t>Plans</w:t>
      </w:r>
      <w:r w:rsidRPr="0032328C" w:rsidR="00317F6E">
        <w:t xml:space="preserve"> from Special Purpose Schools</w:t>
      </w:r>
    </w:p>
    <w:p w:rsidR="00AD0966" w:rsidRDefault="00AD0966" w14:paraId="5DFFD935" w14:textId="77777777">
      <w:pPr>
        <w:pStyle w:val="Heading2"/>
        <w:ind w:left="2160" w:hanging="2160"/>
      </w:pPr>
      <w:bookmarkStart w:name="_ckp6aa8djvis" w:colFirst="0" w:colLast="0" w:id="3"/>
      <w:bookmarkEnd w:id="3"/>
    </w:p>
    <w:p w:rsidR="00EB682E" w:rsidP="00EB682E" w:rsidRDefault="001E412D" w14:paraId="3CC3553F" w14:textId="7742ECB3">
      <w:pPr>
        <w:pStyle w:val="Heading2"/>
      </w:pPr>
      <w:bookmarkStart w:name="_k7s1zrg76o8l" w:colFirst="0" w:colLast="0" w:id="4"/>
      <w:bookmarkEnd w:id="4"/>
      <w:r>
        <w:t>Presenter</w:t>
      </w:r>
      <w:r w:rsidR="00EB682E">
        <w:t>s</w:t>
      </w:r>
      <w:r>
        <w:t xml:space="preserve">: </w:t>
      </w:r>
      <w:r w:rsidR="005719D3">
        <w:tab/>
      </w:r>
      <w:r w:rsidR="00EB682E">
        <w:tab/>
      </w:r>
      <w:r w:rsidR="00EB682E">
        <w:t>Amy Siepka, Director, Office of Accountability</w:t>
      </w:r>
    </w:p>
    <w:p w:rsidR="00EB682E" w:rsidP="00EB682E" w:rsidRDefault="00EB682E" w14:paraId="2CAA29C7" w14:textId="77777777">
      <w:pPr>
        <w:pStyle w:val="Heading2"/>
        <w:ind w:left="2160"/>
      </w:pPr>
      <w:r>
        <w:t>Shelley Loving-Ryder, Assistant Superintendent, Department of Student Assessment, Accountability &amp; ESEA Programs</w:t>
      </w:r>
    </w:p>
    <w:p w:rsidR="00AD0966" w:rsidRDefault="00AD0966" w14:paraId="3B3CA9D6" w14:textId="1711939C">
      <w:pPr>
        <w:pStyle w:val="Heading2"/>
        <w:ind w:left="2160" w:hanging="2160"/>
      </w:pPr>
    </w:p>
    <w:p w:rsidR="00AD0966" w:rsidRDefault="001E412D" w14:paraId="0449BD82" w14:textId="7A093985">
      <w:pPr>
        <w:pStyle w:val="Heading2"/>
        <w:ind w:left="2160" w:hanging="2160"/>
      </w:pPr>
      <w:bookmarkStart w:name="_6qxna5iyurd3" w:colFirst="0" w:colLast="0" w:id="5"/>
      <w:bookmarkStart w:name="_fsl9fl59q6tz" w:colFirst="0" w:colLast="0" w:id="6"/>
      <w:bookmarkEnd w:id="5"/>
      <w:bookmarkEnd w:id="6"/>
      <w:r>
        <w:t xml:space="preserve">Email: </w:t>
      </w:r>
      <w:r w:rsidR="005719D3">
        <w:tab/>
      </w:r>
      <w:r w:rsidR="005719D3">
        <w:t>amy.siepka@doe.virginia.gov</w:t>
      </w:r>
      <w:r>
        <w:tab/>
      </w:r>
      <w:r>
        <w:tab/>
      </w:r>
      <w:r>
        <w:t xml:space="preserve">Phone: </w:t>
      </w:r>
      <w:r w:rsidR="005719D3">
        <w:t>(804) 225-2102</w:t>
      </w:r>
    </w:p>
    <w:p w:rsidR="00AD0966" w:rsidRDefault="00AD0966" w14:paraId="1BF7D66E" w14:textId="77777777">
      <w:pPr>
        <w:rPr>
          <w:rFonts w:ascii="Cardo" w:hAnsi="Cardo" w:eastAsia="Cardo" w:cs="Cardo"/>
        </w:rPr>
      </w:pPr>
    </w:p>
    <w:p w:rsidR="00AD0966" w:rsidRDefault="001E412D" w14:paraId="0DEA0844" w14:textId="77777777">
      <w:pPr>
        <w:pStyle w:val="Heading2"/>
      </w:pPr>
      <w:bookmarkStart w:name="_augujpan37ee" w:colFirst="0" w:colLast="0" w:id="7"/>
      <w:bookmarkEnd w:id="7"/>
      <w:r>
        <w:t xml:space="preserve">Purpose of Presentation: </w:t>
      </w:r>
    </w:p>
    <w:p w:rsidR="00AD0966" w:rsidRDefault="005719D3" w14:paraId="3C9873F5" w14:textId="13FE706C">
      <w:r>
        <w:t>Action required by state or federal law or regulation</w:t>
      </w:r>
    </w:p>
    <w:p w:rsidR="005719D3" w:rsidRDefault="005719D3" w14:paraId="232B95B6" w14:textId="77777777">
      <w:pPr>
        <w:rPr>
          <w:rFonts w:ascii="Cardo" w:hAnsi="Cardo" w:eastAsia="Cardo" w:cs="Cardo"/>
        </w:rPr>
      </w:pPr>
    </w:p>
    <w:p w:rsidR="00AD0966" w:rsidRDefault="001E412D" w14:paraId="3FA543B0" w14:textId="77777777">
      <w:pPr>
        <w:pStyle w:val="Heading2"/>
        <w:spacing w:line="240" w:lineRule="auto"/>
      </w:pPr>
      <w:bookmarkStart w:name="_1ix2z9h4zl5e" w:colFirst="0" w:colLast="0" w:id="8"/>
      <w:bookmarkEnd w:id="8"/>
      <w:r>
        <w:t xml:space="preserve">Executive Summary: </w:t>
      </w:r>
    </w:p>
    <w:p w:rsidR="005719D3" w:rsidP="005719D3" w:rsidRDefault="00C32384" w14:paraId="63A351C0" w14:textId="2757F4E5">
      <w:bookmarkStart w:name="_824hejcgkig" w:colFirst="0" w:colLast="0" w:id="9"/>
      <w:bookmarkEnd w:id="9"/>
      <w:r>
        <w:t xml:space="preserve">Eleven </w:t>
      </w:r>
      <w:r w:rsidR="005719D3">
        <w:t xml:space="preserve">special purpose schools in Virginia are requesting approval of </w:t>
      </w:r>
      <w:r w:rsidR="00D55B8C">
        <w:t>a</w:t>
      </w:r>
      <w:r w:rsidR="005719D3">
        <w:t xml:space="preserve">lternative </w:t>
      </w:r>
      <w:r w:rsidR="00D55B8C">
        <w:t>a</w:t>
      </w:r>
      <w:r w:rsidR="005719D3">
        <w:t xml:space="preserve">ccreditation </w:t>
      </w:r>
      <w:r w:rsidR="00D55B8C">
        <w:t>p</w:t>
      </w:r>
      <w:r w:rsidR="005719D3">
        <w:t>lans from the Virginia Board of Education</w:t>
      </w:r>
      <w:r w:rsidR="00B95000">
        <w:t xml:space="preserve"> (Board)</w:t>
      </w:r>
      <w:r w:rsidR="00677185">
        <w:t xml:space="preserve"> for the 2023-2024 accountability year (based on 2022-2023 </w:t>
      </w:r>
      <w:r w:rsidR="00503AB3">
        <w:t xml:space="preserve">school year </w:t>
      </w:r>
      <w:r w:rsidR="00677185">
        <w:t>data)</w:t>
      </w:r>
      <w:r w:rsidR="005719D3">
        <w:t xml:space="preserve">. </w:t>
      </w:r>
      <w:r w:rsidR="00677185">
        <w:t xml:space="preserve">The schools submitting </w:t>
      </w:r>
      <w:r w:rsidRPr="0032328C" w:rsidR="00677185">
        <w:t>application</w:t>
      </w:r>
      <w:r w:rsidRPr="0032328C" w:rsidR="00674CD2">
        <w:t>s</w:t>
      </w:r>
      <w:r w:rsidR="00677185">
        <w:t xml:space="preserve"> are:</w:t>
      </w:r>
    </w:p>
    <w:p w:rsidR="00DC2FC6" w:rsidP="005719D3" w:rsidRDefault="00DC2FC6" w14:paraId="32F151F0" w14:textId="77777777"/>
    <w:p w:rsidR="005719D3" w:rsidP="005719D3" w:rsidRDefault="005719D3" w14:paraId="63E3CE87" w14:textId="538D193D">
      <w:pPr>
        <w:pStyle w:val="ListParagraph"/>
        <w:numPr>
          <w:ilvl w:val="0"/>
          <w:numId w:val="8"/>
        </w:numPr>
      </w:pPr>
      <w:r>
        <w:t xml:space="preserve">Arlington County Public Schools: Arlington Community High School. </w:t>
      </w:r>
    </w:p>
    <w:p w:rsidR="005719D3" w:rsidP="005719D3" w:rsidRDefault="005719D3" w14:paraId="2E0C728D" w14:textId="25ECAB48">
      <w:pPr>
        <w:pStyle w:val="ListParagraph"/>
        <w:numPr>
          <w:ilvl w:val="0"/>
          <w:numId w:val="8"/>
        </w:numPr>
      </w:pPr>
      <w:r>
        <w:t xml:space="preserve">Chesterfield County Public Schools: Carver College and Career </w:t>
      </w:r>
      <w:proofErr w:type="gramStart"/>
      <w:r>
        <w:t>Academy;</w:t>
      </w:r>
      <w:proofErr w:type="gramEnd"/>
      <w:r>
        <w:t xml:space="preserve"> </w:t>
      </w:r>
    </w:p>
    <w:p w:rsidR="00C32384" w:rsidP="005719D3" w:rsidRDefault="00C32384" w14:paraId="177E98FE" w14:textId="68DC07F1">
      <w:pPr>
        <w:pStyle w:val="ListParagraph"/>
        <w:numPr>
          <w:ilvl w:val="0"/>
          <w:numId w:val="8"/>
        </w:numPr>
      </w:pPr>
      <w:r>
        <w:t xml:space="preserve">Danville County Public Schools: R.I.S.E. </w:t>
      </w:r>
      <w:proofErr w:type="gramStart"/>
      <w:r>
        <w:t>Academy;</w:t>
      </w:r>
      <w:proofErr w:type="gramEnd"/>
    </w:p>
    <w:p w:rsidR="005719D3" w:rsidP="005719D3" w:rsidRDefault="005719D3" w14:paraId="657C80CC" w14:textId="5C7534FC">
      <w:pPr>
        <w:pStyle w:val="ListParagraph"/>
        <w:numPr>
          <w:ilvl w:val="0"/>
          <w:numId w:val="8"/>
        </w:numPr>
      </w:pPr>
      <w:r>
        <w:t>Fairfax County Public Schools</w:t>
      </w:r>
      <w:r w:rsidRPr="00DC2FC6">
        <w:t>: Kilmer Center School, Fairfax County Adult High School, Key Center School, Mountain View High School, and Bryant High School; and</w:t>
      </w:r>
      <w:r>
        <w:t xml:space="preserve"> </w:t>
      </w:r>
    </w:p>
    <w:p w:rsidR="00DC2FC6" w:rsidP="005719D3" w:rsidRDefault="005719D3" w14:paraId="2DBA31F0" w14:textId="77777777">
      <w:pPr>
        <w:pStyle w:val="ListParagraph"/>
        <w:numPr>
          <w:ilvl w:val="0"/>
          <w:numId w:val="8"/>
        </w:numPr>
      </w:pPr>
      <w:r>
        <w:t>Loudoun County Public Schools: William Obediah Robey High School.</w:t>
      </w:r>
    </w:p>
    <w:p w:rsidR="005719D3" w:rsidP="005719D3" w:rsidRDefault="00DC2FC6" w14:paraId="0627CECC" w14:textId="24236769">
      <w:pPr>
        <w:pStyle w:val="ListParagraph"/>
        <w:numPr>
          <w:ilvl w:val="0"/>
          <w:numId w:val="8"/>
        </w:numPr>
      </w:pPr>
      <w:r>
        <w:t>Richmond City Public Schools: Amelia Street School, and Richmond Alternative School</w:t>
      </w:r>
      <w:r w:rsidR="005719D3">
        <w:t xml:space="preserve"> </w:t>
      </w:r>
    </w:p>
    <w:p w:rsidR="005719D3" w:rsidP="005719D3" w:rsidRDefault="005719D3" w14:paraId="4FCF2268" w14:textId="77777777"/>
    <w:p w:rsidR="00AD0966" w:rsidP="005719D3" w:rsidRDefault="005719D3" w14:paraId="3D2355CF" w14:textId="20E715B7">
      <w:r w:rsidR="005719D3">
        <w:rPr/>
        <w:t xml:space="preserve">Such schools are allowed to request this flexibility under </w:t>
      </w:r>
      <w:hyperlink r:id="Re33125f2a2a84188">
        <w:r w:rsidRPr="3F12D4AB" w:rsidR="005719D3">
          <w:rPr>
            <w:rStyle w:val="Hyperlink"/>
          </w:rPr>
          <w:t>8</w:t>
        </w:r>
        <w:r w:rsidRPr="3F12D4AB" w:rsidR="49A656A7">
          <w:rPr>
            <w:rStyle w:val="Hyperlink"/>
          </w:rPr>
          <w:t>VAC20-131-420</w:t>
        </w:r>
      </w:hyperlink>
      <w:r w:rsidR="49A656A7">
        <w:rPr/>
        <w:t xml:space="preserve"> D</w:t>
      </w:r>
      <w:r w:rsidR="005719D3">
        <w:rPr/>
        <w:t xml:space="preserve"> of the </w:t>
      </w:r>
      <w:r w:rsidRPr="3F12D4AB" w:rsidR="005719D3">
        <w:rPr>
          <w:i w:val="1"/>
          <w:iCs w:val="1"/>
        </w:rPr>
        <w:t>Regulations Establishing Standards for Accrediting Public Schools in Virginia</w:t>
      </w:r>
      <w:r w:rsidR="000A2FF5">
        <w:rPr/>
        <w:t xml:space="preserve"> (SOA)</w:t>
      </w:r>
      <w:r w:rsidR="005719D3">
        <w:rPr/>
        <w:t>.</w:t>
      </w:r>
    </w:p>
    <w:p w:rsidR="005719D3" w:rsidP="005719D3" w:rsidRDefault="005719D3" w14:paraId="306760DC" w14:textId="08FB9405"/>
    <w:p w:rsidR="00677185" w:rsidP="005719D3" w:rsidRDefault="00677185" w14:paraId="66D41DF4" w14:textId="51ACA0C7">
      <w:r w:rsidR="00677185">
        <w:rPr/>
        <w:t xml:space="preserve">The plans </w:t>
      </w:r>
      <w:r w:rsidR="00D55B8C">
        <w:rPr/>
        <w:t xml:space="preserve">(Attachment A) </w:t>
      </w:r>
      <w:r w:rsidR="00677185">
        <w:rPr/>
        <w:t xml:space="preserve">adhere to </w:t>
      </w:r>
      <w:r w:rsidR="00D55B8C">
        <w:rPr/>
        <w:t>new</w:t>
      </w:r>
      <w:r w:rsidR="00677185">
        <w:rPr/>
        <w:t xml:space="preserve"> guidelines that were created by the </w:t>
      </w:r>
      <w:r w:rsidR="51A9959E">
        <w:rPr/>
        <w:t xml:space="preserve">Virginia Department of Education (VDOE) </w:t>
      </w:r>
      <w:r w:rsidR="00677185">
        <w:rPr/>
        <w:t xml:space="preserve">in 2022 </w:t>
      </w:r>
      <w:r w:rsidR="00D55B8C">
        <w:rPr/>
        <w:t>to</w:t>
      </w:r>
      <w:r w:rsidR="00677185">
        <w:rPr/>
        <w:t xml:space="preserve"> </w:t>
      </w:r>
      <w:r w:rsidR="00D55B8C">
        <w:rPr/>
        <w:t xml:space="preserve">align with the 2017 SOA. The guidelines </w:t>
      </w:r>
      <w:r w:rsidR="00677185">
        <w:rPr/>
        <w:t xml:space="preserve">allow </w:t>
      </w:r>
      <w:r w:rsidR="00D55B8C">
        <w:rPr/>
        <w:t xml:space="preserve">flexibilities when determining an accreditation status for these </w:t>
      </w:r>
      <w:r w:rsidR="00677185">
        <w:rPr/>
        <w:t>special purpose schools</w:t>
      </w:r>
      <w:r w:rsidR="00D55B8C">
        <w:rPr/>
        <w:t xml:space="preserve">, </w:t>
      </w:r>
      <w:r w:rsidR="00DC2FC6">
        <w:rPr/>
        <w:t>while</w:t>
      </w:r>
      <w:r w:rsidR="00677185">
        <w:rPr/>
        <w:t xml:space="preserve"> still maintaining an alignment to the </w:t>
      </w:r>
      <w:r w:rsidR="00D55B8C">
        <w:rPr/>
        <w:t xml:space="preserve">state’s </w:t>
      </w:r>
      <w:r w:rsidR="00677185">
        <w:rPr/>
        <w:t xml:space="preserve">accreditation model. The guidelines, which are </w:t>
      </w:r>
      <w:r w:rsidR="008654F0">
        <w:rPr/>
        <w:t>detailed</w:t>
      </w:r>
      <w:r w:rsidR="00677185">
        <w:rPr/>
        <w:t xml:space="preserve"> </w:t>
      </w:r>
      <w:r w:rsidR="008654F0">
        <w:rPr/>
        <w:t>in</w:t>
      </w:r>
      <w:r w:rsidR="00677185">
        <w:rPr/>
        <w:t xml:space="preserve"> Attachment B, include these </w:t>
      </w:r>
      <w:r w:rsidR="00DC2FC6">
        <w:rPr/>
        <w:t>guiding</w:t>
      </w:r>
      <w:r w:rsidR="00677185">
        <w:rPr/>
        <w:t xml:space="preserve"> principles:</w:t>
      </w:r>
    </w:p>
    <w:p w:rsidR="00677185" w:rsidP="00677185" w:rsidRDefault="00B95000" w14:paraId="087C81C4" w14:textId="77777777">
      <w:pPr>
        <w:pStyle w:val="ListParagraph"/>
        <w:numPr>
          <w:ilvl w:val="0"/>
          <w:numId w:val="9"/>
        </w:numPr>
      </w:pPr>
      <w:r>
        <w:t xml:space="preserve">Include all students to the greatest extent possible in the alternate model, rather than excluding students, to meet established criteria. Flexibilities are provided for students who are enrolled in school after compulsory attendance age and for students who are </w:t>
      </w:r>
      <w:proofErr w:type="gramStart"/>
      <w:r>
        <w:t>incarcerated;</w:t>
      </w:r>
      <w:proofErr w:type="gramEnd"/>
      <w:r>
        <w:t xml:space="preserve"> </w:t>
      </w:r>
    </w:p>
    <w:p w:rsidR="00677185" w:rsidP="00677185" w:rsidRDefault="00B95000" w14:paraId="5FDBB98E" w14:textId="71FDDF13">
      <w:pPr>
        <w:pStyle w:val="ListParagraph"/>
        <w:numPr>
          <w:ilvl w:val="0"/>
          <w:numId w:val="9"/>
        </w:numPr>
      </w:pPr>
      <w:r>
        <w:t xml:space="preserve">Keep the established </w:t>
      </w:r>
      <w:r w:rsidR="00205508">
        <w:t xml:space="preserve">performance </w:t>
      </w:r>
      <w:r>
        <w:t xml:space="preserve">benchmarks consistent with the state model (i.e., The Level 1 performance </w:t>
      </w:r>
      <w:r w:rsidR="00EB682E">
        <w:t xml:space="preserve">benchmarks </w:t>
      </w:r>
      <w:r>
        <w:t xml:space="preserve">for English </w:t>
      </w:r>
      <w:r w:rsidR="00205508">
        <w:t>is</w:t>
      </w:r>
      <w:r>
        <w:t xml:space="preserve"> 75%.</w:t>
      </w:r>
      <w:proofErr w:type="gramStart"/>
      <w:r>
        <w:t>);</w:t>
      </w:r>
      <w:proofErr w:type="gramEnd"/>
      <w:r>
        <w:t xml:space="preserve"> </w:t>
      </w:r>
    </w:p>
    <w:p w:rsidR="00677185" w:rsidP="00677185" w:rsidRDefault="00B95000" w14:paraId="0B59D010" w14:textId="5D9FEE3B">
      <w:pPr>
        <w:pStyle w:val="ListParagraph"/>
        <w:numPr>
          <w:ilvl w:val="0"/>
          <w:numId w:val="9"/>
        </w:numPr>
      </w:pPr>
      <w:r>
        <w:t xml:space="preserve">Maintain “sufficient improvement” as a </w:t>
      </w:r>
      <w:proofErr w:type="gramStart"/>
      <w:r>
        <w:t>criteria</w:t>
      </w:r>
      <w:proofErr w:type="gramEnd"/>
      <w:r>
        <w:t xml:space="preserve"> for </w:t>
      </w:r>
      <w:r w:rsidR="00BB15CA">
        <w:t xml:space="preserve">the </w:t>
      </w:r>
      <w:r>
        <w:t>determination of the Level 1 and Level 2 performance levels, but</w:t>
      </w:r>
      <w:r w:rsidR="00BB15CA">
        <w:t xml:space="preserve"> </w:t>
      </w:r>
      <w:r w:rsidRPr="00EB682E" w:rsidR="00BB15CA">
        <w:t>allow</w:t>
      </w:r>
      <w:r>
        <w:t xml:space="preserve"> modified sufficient improvement percentages </w:t>
      </w:r>
      <w:r w:rsidRPr="00EB682E" w:rsidR="00BB15CA">
        <w:t>to</w:t>
      </w:r>
      <w:r>
        <w:t xml:space="preserve"> be used (i.e., use 5% to demonstrate </w:t>
      </w:r>
      <w:r w:rsidR="00205508">
        <w:t xml:space="preserve">sufficient </w:t>
      </w:r>
      <w:r>
        <w:t xml:space="preserve">improvement rather than 10%); </w:t>
      </w:r>
    </w:p>
    <w:p w:rsidR="00677185" w:rsidP="00677185" w:rsidRDefault="00B95000" w14:paraId="5BDFAEBC" w14:textId="0B731365">
      <w:pPr>
        <w:pStyle w:val="ListParagraph"/>
        <w:numPr>
          <w:ilvl w:val="0"/>
          <w:numId w:val="9"/>
        </w:numPr>
      </w:pPr>
      <w:r>
        <w:t>Keep an established minimum pass rate when using the “sufficient improvement” criteria to earn a Level 2 performance rating in the achievement indicators, but</w:t>
      </w:r>
      <w:r w:rsidR="00BB15CA">
        <w:t xml:space="preserve"> </w:t>
      </w:r>
      <w:r w:rsidRPr="00EB682E" w:rsidR="00BB15CA">
        <w:t>allow</w:t>
      </w:r>
      <w:r w:rsidRPr="00EB682E">
        <w:t xml:space="preserve"> the rate </w:t>
      </w:r>
      <w:r w:rsidRPr="00EB682E" w:rsidR="00BB15CA">
        <w:t>to</w:t>
      </w:r>
      <w:r>
        <w:t xml:space="preserve"> be amended from the state rate of 50% (i.e., the minimum pass rate could be 45% rather than 50%</w:t>
      </w:r>
      <w:proofErr w:type="gramStart"/>
      <w:r>
        <w:t>);</w:t>
      </w:r>
      <w:proofErr w:type="gramEnd"/>
      <w:r>
        <w:t xml:space="preserve"> </w:t>
      </w:r>
    </w:p>
    <w:p w:rsidR="00677185" w:rsidP="00677185" w:rsidRDefault="00B95000" w14:paraId="6897B022" w14:textId="1412F696">
      <w:pPr>
        <w:pStyle w:val="ListParagraph"/>
        <w:numPr>
          <w:ilvl w:val="0"/>
          <w:numId w:val="9"/>
        </w:numPr>
      </w:pPr>
      <w:r>
        <w:t xml:space="preserve">Calculate the consecutive multi-year rate without excluding any years, but </w:t>
      </w:r>
      <w:r w:rsidR="00317F6E">
        <w:t xml:space="preserve">allow </w:t>
      </w:r>
      <w:r>
        <w:t xml:space="preserve">additional years </w:t>
      </w:r>
      <w:r w:rsidR="00317F6E">
        <w:t>to</w:t>
      </w:r>
      <w:r>
        <w:t xml:space="preserve"> be added (i.e., a cumulative 4-year rate could be used instead of the standard cumulative 3-year rate</w:t>
      </w:r>
      <w:proofErr w:type="gramStart"/>
      <w:r>
        <w:t>);</w:t>
      </w:r>
      <w:proofErr w:type="gramEnd"/>
      <w:r>
        <w:t xml:space="preserve"> </w:t>
      </w:r>
    </w:p>
    <w:p w:rsidRPr="00EB682E" w:rsidR="00677185" w:rsidP="00677185" w:rsidRDefault="00B95000" w14:paraId="5514F9F6" w14:textId="742B7DAD">
      <w:pPr>
        <w:pStyle w:val="ListParagraph"/>
        <w:numPr>
          <w:ilvl w:val="0"/>
          <w:numId w:val="9"/>
        </w:numPr>
      </w:pPr>
      <w:r>
        <w:t xml:space="preserve">Track chronic absenteeism per division policy, </w:t>
      </w:r>
      <w:r w:rsidRPr="00EB682E">
        <w:t xml:space="preserve">but </w:t>
      </w:r>
      <w:r w:rsidRPr="00EB682E" w:rsidR="00674CD2">
        <w:t xml:space="preserve">allow the use of </w:t>
      </w:r>
      <w:r w:rsidRPr="00EB682E">
        <w:t xml:space="preserve">“meaningful engagement” definitions </w:t>
      </w:r>
      <w:r w:rsidRPr="00EB682E" w:rsidR="00674CD2">
        <w:t xml:space="preserve">included in local policies </w:t>
      </w:r>
      <w:r w:rsidRPr="00EB682E">
        <w:t xml:space="preserve">to guide </w:t>
      </w:r>
      <w:r w:rsidRPr="00EB682E" w:rsidR="00674CD2">
        <w:t xml:space="preserve">the determination of </w:t>
      </w:r>
      <w:proofErr w:type="gramStart"/>
      <w:r w:rsidRPr="00EB682E">
        <w:t>absenteeism;</w:t>
      </w:r>
      <w:proofErr w:type="gramEnd"/>
      <w:r w:rsidRPr="00EB682E">
        <w:t xml:space="preserve"> </w:t>
      </w:r>
    </w:p>
    <w:p w:rsidR="00677185" w:rsidP="00677185" w:rsidRDefault="00B95000" w14:paraId="5FAD0A7A" w14:textId="345BA11C">
      <w:pPr>
        <w:pStyle w:val="ListParagraph"/>
        <w:numPr>
          <w:ilvl w:val="0"/>
          <w:numId w:val="9"/>
        </w:numPr>
      </w:pPr>
      <w:r>
        <w:t xml:space="preserve">Use statewide assessment results to calculate student achievement indicator rates. Passing scores and approved substitute tests are to be used in the results, as per the state guidelines. Flexibility to use test scores in the locally awarded verified credit </w:t>
      </w:r>
      <w:r w:rsidRPr="00EB682E">
        <w:t>range</w:t>
      </w:r>
      <w:r w:rsidRPr="00EB682E" w:rsidR="00674CD2">
        <w:t xml:space="preserve"> (scaled scores of 375-399)</w:t>
      </w:r>
      <w:r>
        <w:t xml:space="preserve"> in the achievement rate is permissible</w:t>
      </w:r>
      <w:r w:rsidR="000966A6">
        <w:t xml:space="preserve"> and can be weighted up to </w:t>
      </w:r>
      <w:proofErr w:type="gramStart"/>
      <w:r w:rsidR="000966A6">
        <w:t>75%</w:t>
      </w:r>
      <w:r>
        <w:t>;</w:t>
      </w:r>
      <w:proofErr w:type="gramEnd"/>
      <w:r>
        <w:t xml:space="preserve"> </w:t>
      </w:r>
    </w:p>
    <w:p w:rsidR="00677185" w:rsidP="00677185" w:rsidRDefault="00B95000" w14:paraId="36942648" w14:textId="09E33FFB">
      <w:pPr>
        <w:pStyle w:val="ListParagraph"/>
        <w:numPr>
          <w:ilvl w:val="0"/>
          <w:numId w:val="9"/>
        </w:numPr>
      </w:pPr>
      <w:bookmarkStart w:name="_Hlk128500260" w:id="10"/>
      <w:r>
        <w:t xml:space="preserve">Calculate </w:t>
      </w:r>
      <w:r w:rsidR="00674CD2">
        <w:t>the College Career and Civic Readiness Indicator (</w:t>
      </w:r>
      <w:r>
        <w:t>CCCRI</w:t>
      </w:r>
      <w:r w:rsidR="00674CD2">
        <w:t xml:space="preserve">) </w:t>
      </w:r>
      <w:r>
        <w:t>consistent with state</w:t>
      </w:r>
      <w:r w:rsidR="00674CD2">
        <w:t xml:space="preserve"> </w:t>
      </w:r>
      <w:r w:rsidRPr="00EB682E" w:rsidR="000966A6">
        <w:t>rules but</w:t>
      </w:r>
      <w:r w:rsidRPr="00EB682E">
        <w:t xml:space="preserve"> </w:t>
      </w:r>
      <w:r w:rsidRPr="00EB682E" w:rsidR="00674CD2">
        <w:t>allow</w:t>
      </w:r>
      <w:r w:rsidRPr="00EB682E">
        <w:t xml:space="preserve"> flexibility to </w:t>
      </w:r>
      <w:r w:rsidRPr="00EB682E" w:rsidR="00674CD2">
        <w:t>use</w:t>
      </w:r>
      <w:r w:rsidR="00674CD2">
        <w:t xml:space="preserve"> </w:t>
      </w:r>
      <w:r>
        <w:t xml:space="preserve">broader definitions for the criteria. For example, definitions of work-based learning and service-learning can be expanded to match their population’s current life experiences; and </w:t>
      </w:r>
    </w:p>
    <w:bookmarkEnd w:id="10"/>
    <w:p w:rsidR="00677185" w:rsidP="00677185" w:rsidRDefault="00B95000" w14:paraId="0A1BACA6" w14:textId="30951DBA">
      <w:pPr>
        <w:pStyle w:val="ListParagraph"/>
        <w:numPr>
          <w:ilvl w:val="0"/>
          <w:numId w:val="9"/>
        </w:numPr>
      </w:pPr>
      <w:r>
        <w:t>Optionally</w:t>
      </w:r>
      <w:r w:rsidRPr="00EB682E">
        <w:t xml:space="preserve">, </w:t>
      </w:r>
      <w:r w:rsidRPr="00EB682E" w:rsidR="00674CD2">
        <w:t>allow the</w:t>
      </w:r>
      <w:r w:rsidRPr="00EB682E">
        <w:t xml:space="preserve"> inclu</w:t>
      </w:r>
      <w:r w:rsidRPr="00EB682E" w:rsidR="00674CD2">
        <w:t>sion of</w:t>
      </w:r>
      <w:r w:rsidRPr="00EB682E">
        <w:t xml:space="preserve"> other indicators, in</w:t>
      </w:r>
      <w:r>
        <w:t xml:space="preserve"> addition to the state’s established indicators, if the measure showcases high quality educational programs, demonstrates the school is raising student achievement, and is preparing students for real-life, authentic experiences. </w:t>
      </w:r>
    </w:p>
    <w:p w:rsidR="00677185" w:rsidP="005719D3" w:rsidRDefault="00677185" w14:paraId="3C288B0A" w14:textId="77777777"/>
    <w:p w:rsidR="005719D3" w:rsidP="005719D3" w:rsidRDefault="00B95000" w14:paraId="366A2ADB" w14:textId="0916815A">
      <w:r>
        <w:t xml:space="preserve">Alternative </w:t>
      </w:r>
      <w:r w:rsidR="00EF1ECA">
        <w:t>a</w:t>
      </w:r>
      <w:r>
        <w:t xml:space="preserve">ccreditation </w:t>
      </w:r>
      <w:r w:rsidR="00EF1ECA">
        <w:t>p</w:t>
      </w:r>
      <w:r>
        <w:t>lan submission, approval, and implementation includes</w:t>
      </w:r>
      <w:r w:rsidR="00503AB3">
        <w:t xml:space="preserve"> </w:t>
      </w:r>
      <w:r>
        <w:t>communication between VDOE staff and school leaders regarding the process, timeline, and established guidelines</w:t>
      </w:r>
      <w:r w:rsidR="00DC2FC6">
        <w:t>;</w:t>
      </w:r>
      <w:r>
        <w:t xml:space="preserve"> individualized assistance to answer school-specific questions</w:t>
      </w:r>
      <w:r w:rsidR="00DC2FC6">
        <w:t>;</w:t>
      </w:r>
      <w:r>
        <w:t xml:space="preserve"> </w:t>
      </w:r>
      <w:r w:rsidR="00677185">
        <w:t xml:space="preserve">a </w:t>
      </w:r>
      <w:r w:rsidR="00DC2FC6">
        <w:t xml:space="preserve">review of the applications by a multi-office </w:t>
      </w:r>
      <w:r w:rsidR="00677185">
        <w:t>VDOE working committee for alignment to the guidelines</w:t>
      </w:r>
      <w:r w:rsidR="00DC2FC6">
        <w:t>;</w:t>
      </w:r>
      <w:r w:rsidR="00503AB3">
        <w:t xml:space="preserve"> </w:t>
      </w:r>
      <w:r w:rsidR="00DC2FC6">
        <w:t xml:space="preserve">a presentation of the </w:t>
      </w:r>
      <w:r>
        <w:t>proposed plans to the Board for review and approval</w:t>
      </w:r>
      <w:r w:rsidRPr="00EB682E" w:rsidR="00DC2FC6">
        <w:t>;</w:t>
      </w:r>
      <w:r w:rsidRPr="00EB682E" w:rsidR="00503AB3">
        <w:t xml:space="preserve"> </w:t>
      </w:r>
      <w:r w:rsidRPr="00EB682E">
        <w:t>verif</w:t>
      </w:r>
      <w:r w:rsidRPr="00EB682E" w:rsidR="00674CD2">
        <w:t>ication of</w:t>
      </w:r>
      <w:r w:rsidR="00674CD2">
        <w:t xml:space="preserve"> </w:t>
      </w:r>
      <w:r>
        <w:t xml:space="preserve"> the </w:t>
      </w:r>
      <w:r>
        <w:lastRenderedPageBreak/>
        <w:t xml:space="preserve">accuracy of alternative calculations that are used for accreditation, and </w:t>
      </w:r>
      <w:r w:rsidRPr="00EB682E">
        <w:t>verif</w:t>
      </w:r>
      <w:r w:rsidRPr="00EB682E" w:rsidR="00674CD2">
        <w:t>ication</w:t>
      </w:r>
      <w:r w:rsidRPr="00EB682E">
        <w:t xml:space="preserve"> that the </w:t>
      </w:r>
      <w:r w:rsidRPr="00EB682E" w:rsidR="00DC2FC6">
        <w:t xml:space="preserve">assigned </w:t>
      </w:r>
      <w:r w:rsidRPr="00EB682E">
        <w:t>accreditation status of the school is accurate, based on the state measures and/or alternat</w:t>
      </w:r>
      <w:r w:rsidRPr="00EB682E" w:rsidR="00181811">
        <w:t>ive</w:t>
      </w:r>
      <w:r w:rsidRPr="00EB682E">
        <w:t xml:space="preserve"> measures</w:t>
      </w:r>
      <w:r>
        <w:t xml:space="preserve">. </w:t>
      </w:r>
      <w:r w:rsidR="00677185">
        <w:t xml:space="preserve">Attachment </w:t>
      </w:r>
      <w:r w:rsidR="008654F0">
        <w:t>B</w:t>
      </w:r>
      <w:r>
        <w:t xml:space="preserve"> details the process for the submission, approval, and implementation of an </w:t>
      </w:r>
      <w:r w:rsidR="00EF1ECA">
        <w:t>a</w:t>
      </w:r>
      <w:r>
        <w:t xml:space="preserve">lternative </w:t>
      </w:r>
      <w:r w:rsidR="00EF1ECA">
        <w:t>a</w:t>
      </w:r>
      <w:r>
        <w:t xml:space="preserve">ccreditation </w:t>
      </w:r>
      <w:r w:rsidR="00EF1ECA">
        <w:t>p</w:t>
      </w:r>
      <w:r>
        <w:t>lan</w:t>
      </w:r>
      <w:r w:rsidR="00677185">
        <w:t>.</w:t>
      </w:r>
    </w:p>
    <w:p w:rsidR="002C5DFA" w:rsidP="005719D3" w:rsidRDefault="002C5DFA" w14:paraId="3ABEA26B" w14:textId="3E69A914"/>
    <w:p w:rsidR="002C5DFA" w:rsidP="002C5DFA" w:rsidRDefault="002C5DFA" w14:paraId="64E5B66B" w14:textId="6058BC11">
      <w:r w:rsidR="002C5DFA">
        <w:rPr/>
        <w:t>Because the Board may be acting on items related to the</w:t>
      </w:r>
      <w:r w:rsidR="00181811">
        <w:rPr/>
        <w:t xml:space="preserve"> current</w:t>
      </w:r>
      <w:r w:rsidR="002C5DFA">
        <w:rPr/>
        <w:t xml:space="preserve"> accreditation model as it is implemented for the 2023-2024 accountability year, </w:t>
      </w:r>
      <w:r w:rsidR="573CE925">
        <w:rPr/>
        <w:t>VDOE</w:t>
      </w:r>
      <w:r w:rsidR="002C5DFA">
        <w:rPr/>
        <w:t xml:space="preserve"> </w:t>
      </w:r>
      <w:r w:rsidR="00EF1ECA">
        <w:rPr/>
        <w:t xml:space="preserve">has an additional request as it </w:t>
      </w:r>
      <w:r w:rsidR="00181811">
        <w:rPr/>
        <w:t>works with school divisions</w:t>
      </w:r>
      <w:r w:rsidR="00181811">
        <w:rPr/>
        <w:t xml:space="preserve"> to </w:t>
      </w:r>
      <w:r w:rsidR="00EF1ECA">
        <w:rPr/>
        <w:t>implement Board approved alternative accreditation plans</w:t>
      </w:r>
      <w:r w:rsidR="00181811">
        <w:rPr/>
        <w:t xml:space="preserve">. </w:t>
      </w:r>
      <w:r w:rsidR="00EF1ECA">
        <w:rPr/>
        <w:t>S</w:t>
      </w:r>
      <w:r w:rsidR="002C5DFA">
        <w:rPr/>
        <w:t>hould</w:t>
      </w:r>
      <w:r w:rsidR="002C5DFA">
        <w:rPr/>
        <w:t xml:space="preserve"> any Board actions taken throughout the remainder of 2023 impact the accreditation model for the 2023-2024 accreditation year, </w:t>
      </w:r>
      <w:r w:rsidR="407F6A9C">
        <w:rPr/>
        <w:t>VDOE</w:t>
      </w:r>
      <w:r w:rsidR="002C5DFA">
        <w:rPr/>
        <w:t xml:space="preserve"> requests that the Board allow staff to </w:t>
      </w:r>
      <w:r w:rsidR="00EF1ECA">
        <w:rPr/>
        <w:t xml:space="preserve">exercise professional judgment and </w:t>
      </w:r>
      <w:r w:rsidR="002C5DFA">
        <w:rPr/>
        <w:t xml:space="preserve">permit related flexibilities in the </w:t>
      </w:r>
      <w:r w:rsidR="00EF1ECA">
        <w:rPr/>
        <w:t xml:space="preserve">approved </w:t>
      </w:r>
      <w:r w:rsidR="002C5DFA">
        <w:rPr/>
        <w:t>alternative accreditation plans as appropriate.</w:t>
      </w:r>
    </w:p>
    <w:p w:rsidR="005719D3" w:rsidRDefault="005719D3" w14:paraId="084EC858" w14:textId="77777777">
      <w:pPr>
        <w:pStyle w:val="Heading2"/>
        <w:spacing w:line="240" w:lineRule="auto"/>
      </w:pPr>
    </w:p>
    <w:p w:rsidR="00AD0966" w:rsidRDefault="001E412D" w14:paraId="0F9FCBA8" w14:textId="236F8505">
      <w:pPr>
        <w:pStyle w:val="Heading2"/>
        <w:spacing w:line="240" w:lineRule="auto"/>
      </w:pPr>
      <w:r>
        <w:t xml:space="preserve">Action Requested: </w:t>
      </w:r>
    </w:p>
    <w:p w:rsidR="00F65FC3" w:rsidP="00F65FC3" w:rsidRDefault="00F65FC3" w14:paraId="2D5D2294" w14:textId="77777777">
      <w:sdt>
        <w:sdtPr>
          <w:id w:val="277720735"/>
          <w:placeholder>
            <w:docPart w:val="FAED9F2D010747869864C1A30BB4F8EE"/>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Content>
          <w:r>
            <w:t>Final review: Action requested at this meeting.</w:t>
          </w:r>
        </w:sdtContent>
      </w:sdt>
    </w:p>
    <w:p w:rsidR="00B95000" w:rsidRDefault="00B95000" w14:paraId="3023CE90" w14:textId="77777777">
      <w:pPr>
        <w:spacing w:line="240" w:lineRule="auto"/>
        <w:rPr>
          <w:rFonts w:ascii="Cardo" w:hAnsi="Cardo" w:eastAsia="Cardo" w:cs="Cardo"/>
        </w:rPr>
      </w:pPr>
    </w:p>
    <w:p w:rsidR="005B1F14" w:rsidRDefault="005B1F14" w14:paraId="080AE486" w14:textId="77777777">
      <w:pPr>
        <w:pStyle w:val="Heading2"/>
        <w:spacing w:line="240" w:lineRule="auto"/>
      </w:pPr>
      <w:r>
        <w:t xml:space="preserve">Rationale: </w:t>
      </w:r>
    </w:p>
    <w:p w:rsidRPr="005B1F14" w:rsidR="005B1F14" w:rsidRDefault="005B1F14" w14:paraId="4A2500DC" w14:textId="783842EC">
      <w:pPr>
        <w:pStyle w:val="Heading2"/>
        <w:spacing w:line="240" w:lineRule="auto"/>
        <w:rPr>
          <w:b w:val="0"/>
          <w:bCs/>
        </w:rPr>
      </w:pPr>
      <w:r w:rsidRPr="005B1F14">
        <w:rPr>
          <w:b w:val="0"/>
          <w:bCs/>
        </w:rPr>
        <w:t xml:space="preserve">Approval of the alternative accreditation plans at this meeting will allow for the timely notification of the special purpose schools </w:t>
      </w:r>
      <w:r>
        <w:rPr>
          <w:b w:val="0"/>
          <w:bCs/>
        </w:rPr>
        <w:t>that submitted the applications.</w:t>
      </w:r>
    </w:p>
    <w:p w:rsidRPr="005B1F14" w:rsidR="005B1F14" w:rsidP="005B1F14" w:rsidRDefault="005B1F14" w14:paraId="10B98991" w14:textId="77777777">
      <w:pPr>
        <w:rPr>
          <w:bCs/>
        </w:rPr>
      </w:pPr>
    </w:p>
    <w:p w:rsidR="00AD0966" w:rsidRDefault="001E412D" w14:paraId="7907DE3C" w14:textId="24ED9976">
      <w:pPr>
        <w:pStyle w:val="Heading2"/>
        <w:spacing w:line="240" w:lineRule="auto"/>
      </w:pPr>
      <w:r>
        <w:t xml:space="preserve">Superintendent’s Recommendation </w:t>
      </w:r>
    </w:p>
    <w:p w:rsidR="00AD0966" w:rsidRDefault="00B95000" w14:paraId="2DDCE53B" w14:textId="7F0A4FB7">
      <w:pPr>
        <w:spacing w:line="240" w:lineRule="auto"/>
      </w:pPr>
      <w:r w:rsidR="00B95000">
        <w:rPr/>
        <w:t xml:space="preserve">The Superintendent of Public Instruction recommends that the Board </w:t>
      </w:r>
      <w:r w:rsidR="005B1F14">
        <w:rPr/>
        <w:t xml:space="preserve">approve the </w:t>
      </w:r>
      <w:r w:rsidR="00EF1ECA">
        <w:rPr/>
        <w:t>applications for a</w:t>
      </w:r>
      <w:r w:rsidR="00B95000">
        <w:rPr/>
        <w:t xml:space="preserve">lternative </w:t>
      </w:r>
      <w:r w:rsidR="00EF1ECA">
        <w:rPr/>
        <w:t>a</w:t>
      </w:r>
      <w:r w:rsidR="00B95000">
        <w:rPr/>
        <w:t xml:space="preserve">ccreditation </w:t>
      </w:r>
      <w:r w:rsidR="00EF1ECA">
        <w:rPr/>
        <w:t>p</w:t>
      </w:r>
      <w:r w:rsidR="00B95000">
        <w:rPr/>
        <w:t xml:space="preserve">lans from </w:t>
      </w:r>
      <w:r w:rsidR="00C32384">
        <w:rPr/>
        <w:t>eleven</w:t>
      </w:r>
      <w:r w:rsidR="00B95000">
        <w:rPr/>
        <w:t xml:space="preserve"> special purpose schools.</w:t>
      </w:r>
    </w:p>
    <w:p w:rsidR="00B95000" w:rsidRDefault="00B95000" w14:paraId="64651A3D" w14:textId="77777777">
      <w:pPr>
        <w:spacing w:line="240" w:lineRule="auto"/>
        <w:rPr>
          <w:rFonts w:ascii="Cardo" w:hAnsi="Cardo" w:eastAsia="Cardo" w:cs="Cardo"/>
        </w:rPr>
      </w:pPr>
    </w:p>
    <w:p w:rsidR="00AD0966" w:rsidRDefault="001E412D" w14:paraId="35394FC5" w14:textId="77777777">
      <w:pPr>
        <w:pStyle w:val="Heading2"/>
      </w:pPr>
      <w:bookmarkStart w:name="_c8sc8xwenrnu" w:colFirst="0" w:colLast="0" w:id="11"/>
      <w:bookmarkStart w:name="_w5qk3aw7qqio" w:colFirst="0" w:colLast="0" w:id="12"/>
      <w:bookmarkEnd w:id="11"/>
      <w:bookmarkEnd w:id="12"/>
      <w:r>
        <w:t xml:space="preserve">Previous Review or Action: </w:t>
      </w:r>
    </w:p>
    <w:p w:rsidR="00AD0966" w:rsidRDefault="005B1F14" w14:paraId="4E5FEC48" w14:textId="216C3EB0">
      <w:pPr>
        <w:numPr>
          <w:ilvl w:val="0"/>
          <w:numId w:val="1"/>
        </w:numPr>
      </w:pPr>
      <w:r>
        <w:t>First review at the March 23, 2023, meeting</w:t>
      </w:r>
      <w:r w:rsidR="001E412D">
        <w:t xml:space="preserve">. </w:t>
      </w:r>
    </w:p>
    <w:p w:rsidR="00AD0966" w:rsidRDefault="00AD0966" w14:paraId="2F0FA826" w14:textId="77777777"/>
    <w:p w:rsidR="00AD0966" w:rsidRDefault="001E412D" w14:paraId="3CE25E52" w14:textId="77777777">
      <w:pPr>
        <w:pStyle w:val="Heading2"/>
      </w:pPr>
      <w:bookmarkStart w:name="_4l4a85n09u6" w:colFirst="0" w:colLast="0" w:id="13"/>
      <w:bookmarkEnd w:id="13"/>
      <w:r>
        <w:t xml:space="preserve">Background Information and Statutory Authority:  </w:t>
      </w:r>
    </w:p>
    <w:p w:rsidR="00DC2FC6" w:rsidP="3F12D4AB" w:rsidRDefault="00C32384" w14:paraId="2B3FD2DC" w14:textId="327EAD1D">
      <w:pPr>
        <w:pStyle w:val="Normal"/>
      </w:pPr>
      <w:r w:rsidR="00C32384">
        <w:rPr/>
        <w:t>Eleven</w:t>
      </w:r>
      <w:r w:rsidR="00B95000">
        <w:rPr/>
        <w:t xml:space="preserve"> special purpose schools in Virginia are requesting approval of </w:t>
      </w:r>
      <w:r w:rsidR="00EF1ECA">
        <w:rPr/>
        <w:t>a</w:t>
      </w:r>
      <w:r w:rsidR="00B95000">
        <w:rPr/>
        <w:t xml:space="preserve">lternative </w:t>
      </w:r>
      <w:r w:rsidR="00EF1ECA">
        <w:rPr/>
        <w:t>a</w:t>
      </w:r>
      <w:r w:rsidR="00B95000">
        <w:rPr/>
        <w:t xml:space="preserve">ccreditation </w:t>
      </w:r>
      <w:r w:rsidR="00EF1ECA">
        <w:rPr/>
        <w:t>p</w:t>
      </w:r>
      <w:r w:rsidR="00B95000">
        <w:rPr/>
        <w:t xml:space="preserve">lans from the Board of Education. Such schools are allowed to request this flexibility under </w:t>
      </w:r>
      <w:hyperlink r:id="R8680749885e649a3">
        <w:r w:rsidRPr="3F12D4AB" w:rsidR="30FC0837">
          <w:rPr>
            <w:rStyle w:val="Hyperlink"/>
          </w:rPr>
          <w:t>8VAC20-131-420</w:t>
        </w:r>
      </w:hyperlink>
      <w:r w:rsidR="30FC0837">
        <w:rPr/>
        <w:t xml:space="preserve"> D</w:t>
      </w:r>
      <w:r w:rsidR="00B95000">
        <w:rPr/>
        <w:t xml:space="preserve"> of the </w:t>
      </w:r>
      <w:r w:rsidR="19BFCA1D">
        <w:rPr/>
        <w:t>SOA</w:t>
      </w:r>
      <w:r w:rsidR="00B95000">
        <w:rPr/>
        <w:t xml:space="preserve"> states, which states: </w:t>
      </w:r>
    </w:p>
    <w:p w:rsidR="00DC2FC6" w:rsidP="00677185" w:rsidRDefault="00DC2FC6" w14:paraId="07402D6F" w14:textId="77777777"/>
    <w:p w:rsidR="000A2FF5" w:rsidP="00DC2FC6" w:rsidRDefault="00B95000" w14:paraId="7F25C68D" w14:textId="0FD01B16">
      <w:pPr>
        <w:ind w:left="720"/>
      </w:pPr>
      <w:r>
        <w:t xml:space="preserve">D. Alternative accreditation plans. Subject to the provisions of subsection B of this section, the governing school board of special purpose schools such as those provided for in § 22.1-26 of the Code of Virginia, Governor's schools, special education schools, alternative schools, or career and technical schools that serve as the student's school of principal enrollment may seek approval of an alternative accreditation plan from the board. Schools offering alternative education programs, schools with a graduation cohort of 50 or fewer students as defined by the graduation rate formula adopted by the board may request that the board approve an alternative accreditation plan to meet the graduation and completion index benchmark. Special purpose schools with alternative </w:t>
      </w:r>
      <w:r>
        <w:lastRenderedPageBreak/>
        <w:t xml:space="preserve">accreditation plans shall be evaluated on standards appropriate to the programs offered in the school and approved by the board prior to August 1 of the school year for which approval is requested. Any student graduating from a special purpose school with a Standard Diploma or an Advanced Studies Diploma must meet the requirements prescribed in </w:t>
      </w:r>
      <w:hyperlink w:history="1" r:id="rId13">
        <w:r w:rsidRPr="000A2FF5">
          <w:rPr>
            <w:rStyle w:val="Hyperlink"/>
          </w:rPr>
          <w:t>8VAC20-131-50</w:t>
        </w:r>
      </w:hyperlink>
      <w:r>
        <w:t xml:space="preserve"> or </w:t>
      </w:r>
      <w:hyperlink w:history="1" r:id="rId14">
        <w:r w:rsidRPr="000A2FF5">
          <w:rPr>
            <w:rStyle w:val="Hyperlink"/>
          </w:rPr>
          <w:t>8VAC20-131-51</w:t>
        </w:r>
      </w:hyperlink>
      <w:r>
        <w:t xml:space="preserve">. </w:t>
      </w:r>
    </w:p>
    <w:p w:rsidR="000A2FF5" w:rsidP="00DC2FC6" w:rsidRDefault="000A2FF5" w14:paraId="762BFDC7" w14:textId="77777777">
      <w:pPr>
        <w:ind w:left="720"/>
      </w:pPr>
    </w:p>
    <w:p w:rsidR="000A2FF5" w:rsidP="00DC2FC6" w:rsidRDefault="00B95000" w14:paraId="03AC5CCE" w14:textId="77777777">
      <w:pPr>
        <w:ind w:left="720"/>
      </w:pPr>
      <w:r>
        <w:t xml:space="preserve">As set forth in the </w:t>
      </w:r>
      <w:hyperlink w:history="1" r:id="rId15">
        <w:r w:rsidRPr="000A2FF5">
          <w:rPr>
            <w:rStyle w:val="Hyperlink"/>
          </w:rPr>
          <w:t>Standards of Quality</w:t>
        </w:r>
      </w:hyperlink>
      <w:r>
        <w:t xml:space="preserve"> and according to department procedures, any school board may request the board for release from state regulations or, on behalf of one or more of its schools, for approval of an Individual School Accreditation Plan for the evaluation of the performance of one or more of its schools as authorized for schools enumerated in this subsection, based on special circumstances. </w:t>
      </w:r>
    </w:p>
    <w:p w:rsidR="000A2FF5" w:rsidP="00DC2FC6" w:rsidRDefault="000A2FF5" w14:paraId="0ACEEB69" w14:textId="77777777">
      <w:pPr>
        <w:ind w:left="720"/>
      </w:pPr>
    </w:p>
    <w:p w:rsidR="000A2FF5" w:rsidP="000A2FF5" w:rsidRDefault="00B95000" w14:paraId="09684B13" w14:textId="3E5AA512">
      <w:r w:rsidR="00B95000">
        <w:rPr/>
        <w:t xml:space="preserve">In January 2020, </w:t>
      </w:r>
      <w:r w:rsidR="000A2FF5">
        <w:rPr/>
        <w:t>b</w:t>
      </w:r>
      <w:r w:rsidR="00B95000">
        <w:rPr/>
        <w:t xml:space="preserve">ased on the Board’s request, a working committee of </w:t>
      </w:r>
      <w:r w:rsidR="3AB0233B">
        <w:rPr/>
        <w:t xml:space="preserve">VDOE </w:t>
      </w:r>
      <w:r w:rsidR="00B95000">
        <w:rPr/>
        <w:t>staff members from the Offices of Student Assessment, Data Services, Research, Instructional Services, Career, Technical and Adult Education, and School Quality conve</w:t>
      </w:r>
      <w:r w:rsidR="000A2FF5">
        <w:rPr/>
        <w:t>n</w:t>
      </w:r>
      <w:r w:rsidR="00B95000">
        <w:rPr/>
        <w:t xml:space="preserve">ed to outline new guidelines for </w:t>
      </w:r>
      <w:r w:rsidR="000A2FF5">
        <w:rPr/>
        <w:t>alternative accreditation plan</w:t>
      </w:r>
      <w:r w:rsidR="00503AB3">
        <w:rPr/>
        <w:t>s</w:t>
      </w:r>
      <w:r w:rsidR="000A2FF5">
        <w:rPr/>
        <w:t xml:space="preserve"> that aligned with the 2017 SOA</w:t>
      </w:r>
      <w:r w:rsidR="008654F0">
        <w:rPr/>
        <w:t xml:space="preserve"> (Attachment B). </w:t>
      </w:r>
      <w:r w:rsidR="00B95000">
        <w:rPr/>
        <w:t xml:space="preserve">At the </w:t>
      </w:r>
      <w:hyperlink r:id="Rf7479746908a4306">
        <w:r w:rsidRPr="3F12D4AB" w:rsidR="00B95000">
          <w:rPr>
            <w:rStyle w:val="Hyperlink"/>
          </w:rPr>
          <w:t>November 2021 Board work session</w:t>
        </w:r>
      </w:hyperlink>
      <w:r w:rsidR="00B95000">
        <w:rPr/>
        <w:t xml:space="preserve">, VDOE staff discussed a realignment of the </w:t>
      </w:r>
      <w:r w:rsidR="000A2FF5">
        <w:rPr/>
        <w:t>a</w:t>
      </w:r>
      <w:r w:rsidR="00B95000">
        <w:rPr/>
        <w:t xml:space="preserve">lternative </w:t>
      </w:r>
      <w:r w:rsidR="000A2FF5">
        <w:rPr/>
        <w:t>a</w:t>
      </w:r>
      <w:r w:rsidR="00B95000">
        <w:rPr/>
        <w:t xml:space="preserve">ccreditation </w:t>
      </w:r>
      <w:r w:rsidR="00503AB3">
        <w:rPr/>
        <w:t>plans and</w:t>
      </w:r>
      <w:r w:rsidR="00B95000">
        <w:rPr/>
        <w:t xml:space="preserve"> sought the Board’s guidance to ensure that the realignment efforts met their expectations. </w:t>
      </w:r>
    </w:p>
    <w:p w:rsidR="000A2FF5" w:rsidP="000A2FF5" w:rsidRDefault="000A2FF5" w14:paraId="1820FF03" w14:textId="77777777"/>
    <w:p w:rsidR="004F7D0B" w:rsidP="000A2FF5" w:rsidRDefault="005B1F14" w14:paraId="20195834" w14:textId="3290F1DD">
      <w:hyperlink w:history="1" r:id="rId17">
        <w:r w:rsidRPr="008654F0" w:rsidR="000A2FF5">
          <w:rPr>
            <w:rStyle w:val="Hyperlink"/>
          </w:rPr>
          <w:t>In April 2022</w:t>
        </w:r>
      </w:hyperlink>
      <w:r w:rsidR="000A2FF5">
        <w:t xml:space="preserve"> the Board approved the first alternative accreditation plans that aligned with the new guidelines</w:t>
      </w:r>
      <w:r w:rsidR="0026491B">
        <w:t xml:space="preserve"> for the 2022-2023 accreditation year</w:t>
      </w:r>
      <w:r w:rsidR="000A2FF5">
        <w:t xml:space="preserve">. </w:t>
      </w:r>
      <w:r w:rsidR="00484D87">
        <w:t>In October 2022</w:t>
      </w:r>
      <w:r w:rsidR="000A2FF5">
        <w:t xml:space="preserve">, </w:t>
      </w:r>
      <w:hyperlink w:history="1" r:id="rId18">
        <w:r w:rsidRPr="000A2FF5" w:rsidR="00B95000">
          <w:rPr>
            <w:rStyle w:val="Hyperlink"/>
          </w:rPr>
          <w:t>Superintendent’s Memorandum #</w:t>
        </w:r>
        <w:r w:rsidRPr="000A2FF5" w:rsidR="000A2FF5">
          <w:rPr>
            <w:rStyle w:val="Hyperlink"/>
          </w:rPr>
          <w:t>252-22</w:t>
        </w:r>
      </w:hyperlink>
      <w:r w:rsidR="00B95000">
        <w:t xml:space="preserve"> was sent to school divisions with information regarding the application and timeline for the </w:t>
      </w:r>
      <w:r w:rsidR="00503AB3">
        <w:t>a</w:t>
      </w:r>
      <w:r w:rsidR="00B95000">
        <w:t xml:space="preserve">lternative </w:t>
      </w:r>
      <w:r w:rsidR="00503AB3">
        <w:t>a</w:t>
      </w:r>
      <w:r w:rsidR="00B95000">
        <w:t xml:space="preserve">ccreditation </w:t>
      </w:r>
      <w:r w:rsidR="00503AB3">
        <w:t>p</w:t>
      </w:r>
      <w:r w:rsidR="00B95000">
        <w:t>lan proposals for the 20</w:t>
      </w:r>
      <w:r w:rsidR="00484D87">
        <w:t>23</w:t>
      </w:r>
      <w:r w:rsidR="00B95000">
        <w:t>-202</w:t>
      </w:r>
      <w:r w:rsidR="00484D87">
        <w:t>4</w:t>
      </w:r>
      <w:r w:rsidR="00B95000">
        <w:t xml:space="preserve"> accreditation year. </w:t>
      </w:r>
      <w:r w:rsidR="00D55B8C">
        <w:t>I</w:t>
      </w:r>
      <w:r w:rsidR="00484D87">
        <w:t xml:space="preserve">n November 2022, </w:t>
      </w:r>
      <w:r w:rsidR="00B95000">
        <w:t>Office of Accountability</w:t>
      </w:r>
      <w:r w:rsidR="00D55B8C">
        <w:t xml:space="preserve"> staff </w:t>
      </w:r>
      <w:r w:rsidR="00B95000">
        <w:t xml:space="preserve">held a meeting with all school leaders who submitted a proposal to discuss the guidance. One or more meetings with individual schools then took place to answer questions and ensure that the plan captured the unique needs and attributes of each school. The schools then submitted a draft plan. </w:t>
      </w:r>
      <w:r w:rsidR="008654F0">
        <w:t xml:space="preserve">A multi-office internal VDOE committee reviewed the plans to ensure that they met the guidelines. </w:t>
      </w:r>
      <w:r w:rsidR="00B95000">
        <w:t>Feedback on clarity, completeness, and alignment with the guidance was provided</w:t>
      </w:r>
      <w:r w:rsidR="00484D87">
        <w:t xml:space="preserve"> if necessary.</w:t>
      </w:r>
      <w:r w:rsidR="00B95000">
        <w:t xml:space="preserve"> Schools then submitted a final plan to be brought before the Board. </w:t>
      </w:r>
    </w:p>
    <w:p w:rsidR="004F7D0B" w:rsidP="000A2FF5" w:rsidRDefault="004F7D0B" w14:paraId="0FF350BE" w14:textId="77777777"/>
    <w:p w:rsidR="00AD0966" w:rsidP="000A2FF5" w:rsidRDefault="00B95000" w14:paraId="03A3FBFF" w14:textId="07598295">
      <w:r>
        <w:t xml:space="preserve">The </w:t>
      </w:r>
      <w:r w:rsidR="00EF1ECA">
        <w:t>a</w:t>
      </w:r>
      <w:r>
        <w:t xml:space="preserve">lternative </w:t>
      </w:r>
      <w:r w:rsidR="00EF1ECA">
        <w:t>a</w:t>
      </w:r>
      <w:r>
        <w:t xml:space="preserve">ccreditation </w:t>
      </w:r>
      <w:r w:rsidR="00EF1ECA">
        <w:t>p</w:t>
      </w:r>
      <w:r>
        <w:t xml:space="preserve">lans are included as </w:t>
      </w:r>
      <w:r w:rsidR="00484D87">
        <w:t>Attachment A</w:t>
      </w:r>
      <w:r>
        <w:t>.</w:t>
      </w:r>
      <w:r w:rsidR="008654F0">
        <w:t xml:space="preserve"> A detailed outline of the submission, approval, and implementation process, along with the guidelines for plan development are included as Attachment B.</w:t>
      </w:r>
    </w:p>
    <w:p w:rsidR="00503AB3" w:rsidP="000A2FF5" w:rsidRDefault="00503AB3" w14:paraId="41598C51" w14:textId="2368D55F"/>
    <w:p w:rsidR="00AD0966" w:rsidRDefault="001E412D" w14:paraId="45072926" w14:textId="6F30DFF8">
      <w:pPr>
        <w:pStyle w:val="Heading2"/>
      </w:pPr>
      <w:r>
        <w:t xml:space="preserve">Timetable for Further Review/Action: </w:t>
      </w:r>
    </w:p>
    <w:p w:rsidR="00AD0966" w:rsidRDefault="00B95000" w14:paraId="3EC26388" w14:textId="0CEB4165">
      <w:r>
        <w:t>Following Board approval, schools will be notified of the Board’s decision.</w:t>
      </w:r>
    </w:p>
    <w:p w:rsidR="00AD0966" w:rsidRDefault="00AD0966" w14:paraId="4271323F" w14:textId="77777777"/>
    <w:p w:rsidR="00AD0966" w:rsidRDefault="001E412D" w14:paraId="0BA16C90" w14:textId="77777777">
      <w:pPr>
        <w:pStyle w:val="Heading2"/>
      </w:pPr>
      <w:bookmarkStart w:name="_b3843xqorbi9" w:colFirst="0" w:colLast="0" w:id="14"/>
      <w:bookmarkEnd w:id="14"/>
      <w:r>
        <w:lastRenderedPageBreak/>
        <w:t xml:space="preserve">Impact on Fiscal and Human Resources: </w:t>
      </w:r>
    </w:p>
    <w:p w:rsidR="00AD0966" w:rsidRDefault="00B95000" w14:paraId="6F916ED4" w14:textId="56FE3D46">
      <w:pPr>
        <w:spacing w:line="240" w:lineRule="auto"/>
      </w:pPr>
      <w:r>
        <w:t>There is no impact of the action on VDOE resources (fiscal or staff), and the impact on local school divisions’ resources is indeterminate.</w:t>
      </w:r>
    </w:p>
    <w:p w:rsidR="00AD0966" w:rsidRDefault="00AD0966" w14:paraId="3955AD22" w14:textId="77777777">
      <w:pPr>
        <w:pStyle w:val="Subtitle"/>
        <w:rPr>
          <w:rFonts w:ascii="Cardo" w:hAnsi="Cardo" w:eastAsia="Cardo" w:cs="Cardo"/>
        </w:rPr>
      </w:pPr>
      <w:bookmarkStart w:name="_dge9fgx5ke9n" w:colFirst="0" w:colLast="0" w:id="15"/>
      <w:bookmarkEnd w:id="15"/>
    </w:p>
    <w:sectPr w:rsidR="00AD0966">
      <w:headerReference w:type="default" r:id="rId19"/>
      <w:footerReference w:type="default" r:id="rId20"/>
      <w:headerReference w:type="first" r:id="rId21"/>
      <w:footerReference w:type="first" r:id="rId22"/>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21B0" w:rsidRDefault="001E412D" w14:paraId="3AD1FCAE" w14:textId="77777777">
      <w:pPr>
        <w:spacing w:line="240" w:lineRule="auto"/>
      </w:pPr>
      <w:r>
        <w:separator/>
      </w:r>
    </w:p>
  </w:endnote>
  <w:endnote w:type="continuationSeparator" w:id="0">
    <w:p w:rsidR="00F421B0" w:rsidRDefault="001E412D" w14:paraId="759CE3C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74D3429D" w14:textId="77777777">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6386C006"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21B0" w:rsidRDefault="001E412D" w14:paraId="26DFBD68" w14:textId="77777777">
      <w:pPr>
        <w:spacing w:line="240" w:lineRule="auto"/>
      </w:pPr>
      <w:r>
        <w:separator/>
      </w:r>
    </w:p>
  </w:footnote>
  <w:footnote w:type="continuationSeparator" w:id="0">
    <w:p w:rsidR="00F421B0" w:rsidRDefault="001E412D" w14:paraId="60812776"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AD0966" w14:paraId="0CE4FE6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54036736" w14:textId="77777777">
    <w:pPr>
      <w:pStyle w:val="Heading1"/>
    </w:pPr>
    <w:bookmarkStart w:name="_1y4a0gsejnud" w:colFirst="0" w:colLast="0" w:id="16"/>
    <w:bookmarkEnd w:id="16"/>
    <w:r>
      <w:rPr>
        <w:noProof/>
        <w:lang w:val="en-US"/>
      </w:rPr>
      <w:drawing>
        <wp:anchor distT="114300" distB="114300" distL="114300" distR="114300" simplePos="0" relativeHeight="251658240" behindDoc="0" locked="0" layoutInCell="1" hidden="0" allowOverlap="1" wp14:anchorId="76D60B11" wp14:editId="0C7392B9">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2C0443"/>
    <w:multiLevelType w:val="hybridMultilevel"/>
    <w:tmpl w:val="46128A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696C66"/>
    <w:multiLevelType w:val="hybridMultilevel"/>
    <w:tmpl w:val="FAF08F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1721735">
    <w:abstractNumId w:val="6"/>
  </w:num>
  <w:num w:numId="2" w16cid:durableId="187987839">
    <w:abstractNumId w:val="2"/>
  </w:num>
  <w:num w:numId="3" w16cid:durableId="928731757">
    <w:abstractNumId w:val="5"/>
  </w:num>
  <w:num w:numId="4" w16cid:durableId="278487536">
    <w:abstractNumId w:val="0"/>
  </w:num>
  <w:num w:numId="5" w16cid:durableId="378406812">
    <w:abstractNumId w:val="4"/>
  </w:num>
  <w:num w:numId="6" w16cid:durableId="1549805178">
    <w:abstractNumId w:val="1"/>
  </w:num>
  <w:num w:numId="7" w16cid:durableId="1317370259">
    <w:abstractNumId w:val="8"/>
  </w:num>
  <w:num w:numId="8" w16cid:durableId="1232078539">
    <w:abstractNumId w:val="3"/>
  </w:num>
  <w:num w:numId="9" w16cid:durableId="68586621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966A6"/>
    <w:rsid w:val="000A2FF5"/>
    <w:rsid w:val="00181811"/>
    <w:rsid w:val="001E283C"/>
    <w:rsid w:val="001E412D"/>
    <w:rsid w:val="00205508"/>
    <w:rsid w:val="0026491B"/>
    <w:rsid w:val="002C5DFA"/>
    <w:rsid w:val="00317F6E"/>
    <w:rsid w:val="0032328C"/>
    <w:rsid w:val="00484D87"/>
    <w:rsid w:val="004F3349"/>
    <w:rsid w:val="004F7D0B"/>
    <w:rsid w:val="00503AB3"/>
    <w:rsid w:val="005719D3"/>
    <w:rsid w:val="005B1F14"/>
    <w:rsid w:val="006229F1"/>
    <w:rsid w:val="00674CD2"/>
    <w:rsid w:val="00677185"/>
    <w:rsid w:val="0083230F"/>
    <w:rsid w:val="008654F0"/>
    <w:rsid w:val="00AD0966"/>
    <w:rsid w:val="00B95000"/>
    <w:rsid w:val="00BB15CA"/>
    <w:rsid w:val="00C32384"/>
    <w:rsid w:val="00CB4E97"/>
    <w:rsid w:val="00D55B8C"/>
    <w:rsid w:val="00DC2FC6"/>
    <w:rsid w:val="00EB682E"/>
    <w:rsid w:val="00EF1ECA"/>
    <w:rsid w:val="00F421B0"/>
    <w:rsid w:val="00F65FC3"/>
    <w:rsid w:val="19BFCA1D"/>
    <w:rsid w:val="24266305"/>
    <w:rsid w:val="30FC0837"/>
    <w:rsid w:val="3A18D438"/>
    <w:rsid w:val="3AB0233B"/>
    <w:rsid w:val="3F12D4AB"/>
    <w:rsid w:val="4001596B"/>
    <w:rsid w:val="407F6A9C"/>
    <w:rsid w:val="49A656A7"/>
    <w:rsid w:val="51A9959E"/>
    <w:rsid w:val="554B567F"/>
    <w:rsid w:val="56E726E0"/>
    <w:rsid w:val="573CE925"/>
    <w:rsid w:val="77D4E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0232"/>
  <w15:docId w15:val="{6640CCDF-DC05-4138-BD65-5606BB32DD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link w:val="Heading2Char"/>
    <w:uiPriority w:val="9"/>
    <w:qFormat/>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character" w:styleId="Hyperlink">
    <w:name w:val="Hyperlink"/>
    <w:basedOn w:val="DefaultParagraphFont"/>
    <w:uiPriority w:val="99"/>
    <w:unhideWhenUsed/>
    <w:rsid w:val="005719D3"/>
    <w:rPr>
      <w:color w:val="0000FF" w:themeColor="hyperlink"/>
      <w:u w:val="single"/>
    </w:rPr>
  </w:style>
  <w:style w:type="character" w:styleId="UnresolvedMention">
    <w:name w:val="Unresolved Mention"/>
    <w:basedOn w:val="DefaultParagraphFont"/>
    <w:uiPriority w:val="99"/>
    <w:semiHidden/>
    <w:unhideWhenUsed/>
    <w:rsid w:val="005719D3"/>
    <w:rPr>
      <w:color w:val="605E5C"/>
      <w:shd w:val="clear" w:color="auto" w:fill="E1DFDD"/>
    </w:rPr>
  </w:style>
  <w:style w:type="paragraph" w:styleId="ListParagraph">
    <w:name w:val="List Paragraph"/>
    <w:basedOn w:val="Normal"/>
    <w:uiPriority w:val="34"/>
    <w:qFormat/>
    <w:rsid w:val="005719D3"/>
    <w:pPr>
      <w:ind w:left="720"/>
      <w:contextualSpacing/>
    </w:pPr>
  </w:style>
  <w:style w:type="character" w:styleId="Heading2Char" w:customStyle="1">
    <w:name w:val="Heading 2 Char"/>
    <w:basedOn w:val="DefaultParagraphFont"/>
    <w:link w:val="Heading2"/>
    <w:uiPriority w:val="9"/>
    <w:rsid w:val="00EB682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law.lis.virginia.gov/admincode/title8/agency20/chapter131/section50/" TargetMode="External" Id="rId13" /><Relationship Type="http://schemas.openxmlformats.org/officeDocument/2006/relationships/hyperlink" Target="https://www.doe.virginia.gov/home/showpublisheddocument/19517/638083622475730000" TargetMode="Externa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https://www.doe.virginia.gov/home/showpublisheddocument/35538/638054967349900000"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glossaryDocument" Target="glossary/document.xml" Id="rId24" /><Relationship Type="http://schemas.openxmlformats.org/officeDocument/2006/relationships/numbering" Target="numbering.xml" Id="rId5" /><Relationship Type="http://schemas.openxmlformats.org/officeDocument/2006/relationships/hyperlink" Target="https://law.lis.virginia.gov/vacode/title22.1/chapter13.2/section22.1-253.13:3/"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law.lis.virginia.gov/admincode/title8/agency20/chapter131/section51/" TargetMode="External" Id="rId14" /><Relationship Type="http://schemas.openxmlformats.org/officeDocument/2006/relationships/footer" Target="footer2.xml" Id="rId22" /><Relationship Type="http://schemas.openxmlformats.org/officeDocument/2006/relationships/hyperlink" Target="https://law.lis.virginia.gov/admincode/title8/agency20/chapter131/section420/" TargetMode="External" Id="Re33125f2a2a84188" /><Relationship Type="http://schemas.openxmlformats.org/officeDocument/2006/relationships/hyperlink" Target="https://law.lis.virginia.gov/admincode/title8/agency20/chapter131/section420/" TargetMode="External" Id="R8680749885e649a3" /><Relationship Type="http://schemas.openxmlformats.org/officeDocument/2006/relationships/hyperlink" Target="https://www.doe.virginia.gov/home/showpublisheddocument/36559/638059377540300000" TargetMode="External" Id="Rf7479746908a4306"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ED9F2D010747869864C1A30BB4F8EE"/>
        <w:category>
          <w:name w:val="General"/>
          <w:gallery w:val="placeholder"/>
        </w:category>
        <w:types>
          <w:type w:val="bbPlcHdr"/>
        </w:types>
        <w:behaviors>
          <w:behavior w:val="content"/>
        </w:behaviors>
        <w:guid w:val="{4DA9E8E5-9467-4EA3-A8BE-33D99CDF88E4}"/>
      </w:docPartPr>
      <w:docPartBody>
        <w:p w:rsidR="00000000" w:rsidRDefault="000D04C9" w:rsidP="000D04C9">
          <w:pPr>
            <w:pStyle w:val="FAED9F2D010747869864C1A30BB4F8EE"/>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C9"/>
    <w:rsid w:val="000D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4C9"/>
    <w:rPr>
      <w:color w:val="808080"/>
    </w:rPr>
  </w:style>
  <w:style w:type="paragraph" w:customStyle="1" w:styleId="FAED9F2D010747869864C1A30BB4F8EE">
    <w:name w:val="FAED9F2D010747869864C1A30BB4F8EE"/>
    <w:rsid w:val="000D0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Armstrong, Tatanishia (DOE)</DisplayName>
        <AccountId>136</AccountId>
        <AccountType/>
      </UserInfo>
      <UserInfo>
        <DisplayName>Chapman, Jim (DOE)</DisplayName>
        <AccountId>15</AccountId>
        <AccountType/>
      </UserInfo>
      <UserInfo>
        <DisplayName>Perez, Megan (DOE)</DisplayName>
        <AccountId>20</AccountId>
        <AccountType/>
      </UserInfo>
      <UserInfo>
        <DisplayName>Haymes, Patricia (DOE)</DisplayName>
        <AccountId>59</AccountId>
        <AccountType/>
      </UserInfo>
      <UserInfo>
        <DisplayName>Williams, Susan (DOE)</DisplayName>
        <AccountId>54</AccountId>
        <AccountType/>
      </UserInfo>
      <UserInfo>
        <DisplayName>Curwood, Sandra (DOE)</DisplayName>
        <AccountId>82</AccountId>
        <AccountType/>
      </UserInfo>
      <UserInfo>
        <DisplayName>Susbury, Sarah (DOE)</DisplayName>
        <AccountId>47</AccountId>
        <AccountType/>
      </UserInfo>
      <UserInfo>
        <DisplayName>Sodat, Lynn (DOE)</DisplayName>
        <AccountId>66</AccountId>
        <AccountType/>
      </UserInfo>
      <UserInfo>
        <DisplayName>Jones, Monique (DOE)</DisplayName>
        <AccountId>116</AccountId>
        <AccountType/>
      </UserInfo>
      <UserInfo>
        <DisplayName>Harris, Christine (DOE)</DisplayName>
        <AccountId>48</AccountId>
        <AccountType/>
      </UserInfo>
      <UserInfo>
        <DisplayName>Coleman, Tracie (DOE)</DisplayName>
        <AccountId>62</AccountId>
        <AccountType/>
      </UserInfo>
      <UserInfo>
        <DisplayName>Ramnarain, Arravind (DOE)</DisplayName>
        <AccountId>64</AccountId>
        <AccountType/>
      </UserInfo>
      <UserInfo>
        <DisplayName>Dickey, Kent (DOE)</DisplayName>
        <AccountId>30</AccountId>
        <AccountType/>
      </UserInfo>
      <UserInfo>
        <DisplayName>Millward, Hank (DOE)</DisplayName>
        <AccountId>61</AccountId>
        <AccountType/>
      </UserInfo>
      <UserInfo>
        <DisplayName>Phenicie, Jeff (DOE)</DisplayName>
        <AccountId>145</AccountId>
        <AccountType/>
      </UserInfo>
      <UserInfo>
        <DisplayName>Lanza, Edward (DOE)</DisplayName>
        <AccountId>65</AccountId>
        <AccountType/>
      </UserInfo>
      <UserInfo>
        <DisplayName>Loving-ryder, Shelley (DOE)</DisplayName>
        <AccountId>26</AccountId>
        <AccountType/>
      </UserInfo>
      <UserInfo>
        <DisplayName>Broyles, Thomas (DOE)</DisplayName>
        <AccountId>53</AccountId>
        <AccountType/>
      </UserInfo>
      <UserInfo>
        <DisplayName>Torbert, Johnelle (DOE)</DisplayName>
        <AccountId>140</AccountId>
        <AccountType/>
      </UserInfo>
      <UserInfo>
        <DisplayName>Clemmons, Maggie (DOE)</DisplayName>
        <AccountId>37</AccountId>
        <AccountType/>
      </UserInfo>
      <UserInfo>
        <DisplayName>Saimre, Maribel (DOE)</DisplayName>
        <AccountId>146</AccountId>
        <AccountType/>
      </UserInfo>
      <UserInfo>
        <DisplayName>Sale, Leslie (DOE)</DisplayName>
        <AccountId>45</AccountId>
        <AccountType/>
      </UserInfo>
      <UserInfo>
        <DisplayName>Carroll, Erin (DOE)</DisplayName>
        <AccountId>67</AccountId>
        <AccountType/>
      </UserInfo>
      <UserInfo>
        <DisplayName>Pyle, Charles (DOE)</DisplayName>
        <AccountId>25</AccountId>
        <AccountType/>
      </UserInfo>
      <UserInfo>
        <DisplayName>Myers, Dave (DOE)</DisplayName>
        <AccountId>32</AccountId>
        <AccountType/>
      </UserInfo>
      <UserInfo>
        <DisplayName>Hollins, Samantha (DOE)</DisplayName>
        <AccountId>28</AccountId>
        <AccountType/>
      </UserInfo>
      <UserInfo>
        <DisplayName>Richardson, Tamilah (DOE)</DisplayName>
        <AccountId>72</AccountId>
        <AccountType/>
      </UserInfo>
      <UserInfo>
        <DisplayName>Burnett, Zenia (DOE)</DisplayName>
        <AccountId>58</AccountId>
        <AccountType/>
      </UserInfo>
      <UserInfo>
        <DisplayName>Carnohan, Diane (DOE)</DisplayName>
        <AccountId>16</AccountId>
        <AccountType/>
      </UserInfo>
      <UserInfo>
        <DisplayName>Jeffries, Taundwa (DOE)</DisplayName>
        <AccountId>73</AccountId>
        <AccountType/>
      </UserInfo>
      <UserInfo>
        <DisplayName>Ortiz, Aurelia (DOE)</DisplayName>
        <AccountId>56</AccountId>
        <AccountType/>
      </UserInfo>
      <UserInfo>
        <DisplayName>Cormal, Paul (DOE)</DisplayName>
        <AccountId>55</AccountId>
        <AccountType/>
      </UserInfo>
      <UserInfo>
        <DisplayName>Ullrich, Rebecca (DOE)</DisplayName>
        <AccountId>69</AccountId>
        <AccountType/>
      </UserInfo>
      <UserInfo>
        <DisplayName>Albon, Brendon (DOE)</DisplayName>
        <AccountId>36</AccountId>
        <AccountType/>
      </UserInfo>
      <UserInfo>
        <DisplayName>Williams, Jeff (DOE)</DisplayName>
        <AccountId>71</AccountId>
        <AccountType/>
      </UserInfo>
      <UserInfo>
        <DisplayName>Conway, Jenna (DOE)</DisplayName>
        <AccountId>35</AccountId>
        <AccountType/>
      </UserInfo>
      <UserInfo>
        <DisplayName>Johnson, Joan (DOE)</DisplayName>
        <AccountId>31</AccountId>
        <AccountType/>
      </UserInfo>
      <UserInfo>
        <DisplayName>Moore, Megan (DOE)</DisplayName>
        <AccountId>57</AccountId>
        <AccountType/>
      </UserInfo>
      <UserInfo>
        <DisplayName>Lawson, Carol Ann (DOE)</DisplayName>
        <AccountId>51</AccountId>
        <AccountType/>
      </UserInfo>
      <UserInfo>
        <DisplayName>Siepka, Amy (DOE)</DisplayName>
        <AccountId>46</AccountId>
        <AccountType/>
      </UserInfo>
      <UserInfo>
        <DisplayName>Merritt, Adria (DOE)</DisplayName>
        <AccountId>52</AccountId>
        <AccountType/>
      </UserInfo>
      <UserInfo>
        <DisplayName>Sherrill, Annette (DOE)</DisplayName>
        <AccountId>50</AccountId>
        <AccountType/>
      </UserInfo>
      <UserInfo>
        <DisplayName>Schultz, Elizabeth (DOE)</DisplayName>
        <AccountId>33</AccountId>
        <AccountType/>
      </UserInfo>
      <UserInfo>
        <DisplayName>Balow, Jillian (DOE)</DisplayName>
        <AccountId>44</AccountId>
        <AccountType/>
      </UserInfo>
      <UserInfo>
        <DisplayName>Richey, Kimberly (DOE)</DisplayName>
        <AccountId>34</AccountId>
        <AccountType/>
      </UserInfo>
      <UserInfo>
        <DisplayName>Compton, Michael (DOE)</DisplayName>
        <AccountId>147</AccountId>
        <AccountType/>
      </UserInfo>
      <UserInfo>
        <DisplayName>Little, Karin (DOE)</DisplayName>
        <AccountId>68</AccountId>
        <AccountType/>
      </UserInfo>
      <UserInfo>
        <DisplayName>Schneider, Angela (DOE)</DisplayName>
        <AccountId>49</AccountId>
        <AccountType/>
      </UserInfo>
      <UserInfo>
        <DisplayName>Quist, Karen (DOE)</DisplayName>
        <AccountId>148</AccountId>
        <AccountType/>
      </UserInfo>
      <UserInfo>
        <DisplayName>Velazquez, Melissa (DOE)</DisplayName>
        <AccountId>29</AccountId>
        <AccountType/>
      </UserInfo>
      <UserInfo>
        <DisplayName>Ramsey, Sandra (DOE)</DisplayName>
        <AccountId>149</AccountId>
        <AccountType/>
      </UserInfo>
      <UserInfo>
        <DisplayName>Hayes, Geraldine (DOE)</DisplayName>
        <AccountId>150</AccountId>
        <AccountType/>
      </UserInfo>
      <UserInfo>
        <DisplayName>Brown-conklin, Angela (DOE)</DisplayName>
        <AccountId>151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BA022-0745-4223-9F6F-44A0B7B8BB83}">
  <ds:schemaRefs>
    <ds:schemaRef ds:uri="http://schemas.microsoft.com/office/2006/metadata/properties"/>
    <ds:schemaRef ds:uri="http://schemas.microsoft.com/office/infopath/2007/PartnerControls"/>
    <ds:schemaRef ds:uri="4c2c5aab-b472-4b8f-a7fa-721e1e86a722"/>
  </ds:schemaRefs>
</ds:datastoreItem>
</file>

<file path=customXml/itemProps2.xml><?xml version="1.0" encoding="utf-8"?>
<ds:datastoreItem xmlns:ds="http://schemas.openxmlformats.org/officeDocument/2006/customXml" ds:itemID="{B3E3BC20-CED5-45A7-A93D-D8A3B67105C9}">
  <ds:schemaRefs>
    <ds:schemaRef ds:uri="http://schemas.microsoft.com/sharepoint/v3/contenttype/forms"/>
  </ds:schemaRefs>
</ds:datastoreItem>
</file>

<file path=customXml/itemProps3.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4.xml><?xml version="1.0" encoding="utf-8"?>
<ds:datastoreItem xmlns:ds="http://schemas.openxmlformats.org/officeDocument/2006/customXml" ds:itemID="{00A671BF-6571-4E7E-B9AB-0E0D55CBBB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Webb, Emily (DOE)</dc:creator>
  <lastModifiedBy>Chapman, Jim (DOE)</lastModifiedBy>
  <revision>4</revision>
  <dcterms:created xsi:type="dcterms:W3CDTF">2023-03-28T00:17:00.0000000Z</dcterms:created>
  <dcterms:modified xsi:type="dcterms:W3CDTF">2023-04-13T11:58:02.4909367Z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