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A5AB0" w:rsidP="11C4A27B" w:rsidRDefault="006A5AB0" w14:paraId="6C71DC6D" w14:textId="22549974">
      <w:pPr>
        <w:pStyle w:val="Heading1"/>
        <w:ind w:left="2160" w:hanging="2160"/>
        <w:rPr>
          <w:rFonts w:ascii="Times New Roman" w:hAnsi="Times New Roman" w:eastAsia="Times New Roman" w:cs="Times New Roman"/>
        </w:rPr>
      </w:pPr>
      <w:bookmarkStart w:name="_v6h2tvc63wcj" w:id="0"/>
      <w:bookmarkEnd w:id="0"/>
      <w:r w:rsidRPr="11C4A27B" w:rsidR="006A5AB0">
        <w:rPr>
          <w:rFonts w:ascii="Times New Roman" w:hAnsi="Times New Roman" w:eastAsia="Times New Roman" w:cs="Times New Roman"/>
        </w:rPr>
        <w:t>Agenda Item:</w:t>
      </w:r>
      <w:r w:rsidRPr="11C4A27B" w:rsidR="006A5AB0">
        <w:rPr>
          <w:rFonts w:ascii="Times New Roman" w:hAnsi="Times New Roman" w:cs="Times New Roman"/>
        </w:rPr>
        <w:t xml:space="preserve"> </w:t>
      </w:r>
      <w:r>
        <w:tab/>
      </w:r>
      <w:r w:rsidRPr="11C4A27B" w:rsidR="4AED6A48">
        <w:rPr>
          <w:rFonts w:ascii="Times New Roman" w:hAnsi="Times New Roman" w:eastAsia="Times New Roman" w:cs="Times New Roman"/>
        </w:rPr>
        <w:t>D</w:t>
      </w:r>
    </w:p>
    <w:p w:rsidRPr="00AF6D93" w:rsidR="00572CB2" w:rsidRDefault="00572CB2" w14:paraId="1277EAB6" w14:textId="77777777">
      <w:pPr>
        <w:ind w:left="2160" w:hanging="2160"/>
        <w:rPr>
          <w:b/>
        </w:rPr>
      </w:pPr>
    </w:p>
    <w:p w:rsidRPr="00AF6D93" w:rsidR="00572CB2" w:rsidRDefault="006A5AB0" w14:paraId="1D7411C6" w14:textId="04CE9FC8">
      <w:pPr>
        <w:pStyle w:val="Heading2"/>
        <w:ind w:left="2160" w:hanging="2160"/>
      </w:pPr>
      <w:bookmarkStart w:name="_tehyq7yeo3rn" w:colFirst="0" w:colLast="0" w:id="1"/>
      <w:bookmarkEnd w:id="1"/>
      <w:r w:rsidRPr="00AF6D93">
        <w:t xml:space="preserve">Date: </w:t>
      </w:r>
      <w:r w:rsidRPr="00AF6D93">
        <w:tab/>
      </w:r>
      <w:r w:rsidRPr="00AF6D93" w:rsidR="001C56D1">
        <w:t>February 2, 2023</w:t>
      </w:r>
    </w:p>
    <w:p w:rsidRPr="00AF6D93" w:rsidR="00572CB2" w:rsidRDefault="00572CB2" w14:paraId="08DAA19D" w14:textId="77777777">
      <w:pPr>
        <w:ind w:left="2160" w:hanging="2160"/>
        <w:rPr>
          <w:rFonts w:eastAsia="Cardo"/>
          <w:b/>
        </w:rPr>
      </w:pPr>
    </w:p>
    <w:p w:rsidRPr="00AF6D93" w:rsidR="00572CB2" w:rsidRDefault="006A5AB0" w14:paraId="4676BEDB" w14:textId="209E9433">
      <w:pPr>
        <w:pStyle w:val="Heading2"/>
        <w:ind w:left="2160" w:hanging="2160"/>
      </w:pPr>
      <w:bookmarkStart w:name="_d0ckn4izyzin" w:colFirst="0" w:colLast="0" w:id="2"/>
      <w:bookmarkEnd w:id="2"/>
      <w:r w:rsidRPr="00AF6D93">
        <w:t>Title:</w:t>
      </w:r>
      <w:r w:rsidRPr="00AF6D93">
        <w:tab/>
      </w:r>
      <w:r w:rsidR="00AC0BFA">
        <w:t xml:space="preserve">First </w:t>
      </w:r>
      <w:r w:rsidR="00595D42">
        <w:t xml:space="preserve">and Final </w:t>
      </w:r>
      <w:r w:rsidRPr="00AF6D93" w:rsidR="006A0B0D">
        <w:t xml:space="preserve">Review of Proposed </w:t>
      </w:r>
      <w:bookmarkStart w:name="_Hlk124177700" w:id="3"/>
      <w:r w:rsidRPr="00AF6D93" w:rsidR="006A0B0D">
        <w:t xml:space="preserve">Amendments to the Procedure for </w:t>
      </w:r>
      <w:r w:rsidR="00AC0BFA">
        <w:t>D</w:t>
      </w:r>
      <w:r w:rsidRPr="00AF6D93" w:rsidR="006A0B0D">
        <w:t>ismissals to Comport with Legislation from the 2020 General Assembly</w:t>
      </w:r>
      <w:r w:rsidRPr="00AF6D93" w:rsidR="005D7005">
        <w:t xml:space="preserve"> </w:t>
      </w:r>
      <w:bookmarkEnd w:id="3"/>
      <w:r w:rsidRPr="00AF6D93" w:rsidR="005D7005">
        <w:t>(Fast</w:t>
      </w:r>
      <w:r w:rsidR="00AC0BFA">
        <w:t>-</w:t>
      </w:r>
      <w:r w:rsidRPr="00AF6D93" w:rsidR="005D7005">
        <w:t>Track)</w:t>
      </w:r>
    </w:p>
    <w:p w:rsidRPr="00AF6D93" w:rsidR="00572CB2" w:rsidRDefault="00572CB2" w14:paraId="5484A196" w14:textId="77777777">
      <w:pPr>
        <w:pStyle w:val="Heading2"/>
        <w:ind w:left="2160" w:hanging="2160"/>
      </w:pPr>
      <w:bookmarkStart w:name="_ckp6aa8djvis" w:colFirst="0" w:colLast="0" w:id="4"/>
      <w:bookmarkEnd w:id="4"/>
    </w:p>
    <w:p w:rsidRPr="00AF6D93" w:rsidR="00572CB2" w:rsidRDefault="006A5AB0" w14:paraId="7F37E303" w14:textId="66A9080C">
      <w:pPr>
        <w:pStyle w:val="Heading2"/>
        <w:ind w:left="2160" w:hanging="2160"/>
      </w:pPr>
      <w:bookmarkStart w:name="_k7s1zrg76o8l" w:id="5"/>
      <w:bookmarkEnd w:id="5"/>
      <w:r w:rsidR="006A5AB0">
        <w:rPr/>
        <w:t xml:space="preserve">Presenter: </w:t>
      </w:r>
      <w:r>
        <w:tab/>
      </w:r>
      <w:r w:rsidR="06A687DA">
        <w:rPr/>
        <w:t xml:space="preserve">Dr. </w:t>
      </w:r>
      <w:r w:rsidR="006A5AB0">
        <w:rPr/>
        <w:t xml:space="preserve">Joan </w:t>
      </w:r>
      <w:r w:rsidR="17427606">
        <w:rPr/>
        <w:t>B</w:t>
      </w:r>
      <w:r w:rsidR="006A5AB0">
        <w:rPr/>
        <w:t>. Johnson, Assistant Superintendent of Teacher Education and Licensure</w:t>
      </w:r>
    </w:p>
    <w:p w:rsidRPr="00AF6D93" w:rsidR="00572CB2" w:rsidRDefault="00572CB2" w14:paraId="1E0CDD08" w14:textId="77777777">
      <w:pPr>
        <w:pStyle w:val="Heading2"/>
        <w:ind w:left="2160" w:hanging="2160"/>
      </w:pPr>
      <w:bookmarkStart w:name="_6qxna5iyurd3" w:colFirst="0" w:colLast="0" w:id="6"/>
      <w:bookmarkEnd w:id="6"/>
    </w:p>
    <w:p w:rsidRPr="00AF6D93" w:rsidR="00572CB2" w:rsidRDefault="006A5AB0" w14:paraId="6E8847F5" w14:textId="77777777">
      <w:pPr>
        <w:pStyle w:val="Heading2"/>
        <w:ind w:left="2160" w:hanging="2160"/>
      </w:pPr>
      <w:bookmarkStart w:name="_fsl9fl59q6tz" w:colFirst="0" w:colLast="0" w:id="7"/>
      <w:bookmarkEnd w:id="7"/>
      <w:r w:rsidRPr="00AF6D93">
        <w:t xml:space="preserve">Email: </w:t>
      </w:r>
      <w:r w:rsidRPr="00AF6D93">
        <w:tab/>
      </w:r>
      <w:hyperlink r:id="rId7">
        <w:r w:rsidRPr="00AF6D93">
          <w:rPr>
            <w:color w:val="1155CC"/>
            <w:u w:val="single"/>
          </w:rPr>
          <w:t>Joan.Johnson@doe.v</w:t>
        </w:r>
      </w:hyperlink>
      <w:hyperlink r:id="rId8">
        <w:r w:rsidRPr="00AF6D93">
          <w:rPr>
            <w:color w:val="1155CC"/>
            <w:u w:val="single"/>
          </w:rPr>
          <w:t>irginia.gov</w:t>
        </w:r>
      </w:hyperlink>
      <w:r w:rsidRPr="00AF6D93">
        <w:t xml:space="preserve"> </w:t>
      </w:r>
      <w:r w:rsidRPr="00AF6D93">
        <w:tab/>
      </w:r>
      <w:r w:rsidRPr="00AF6D93">
        <w:tab/>
      </w:r>
      <w:r w:rsidRPr="00AF6D93">
        <w:t>Phone: 804-371-2522</w:t>
      </w:r>
    </w:p>
    <w:p w:rsidRPr="00AF6D93" w:rsidR="00572CB2" w:rsidRDefault="00572CB2" w14:paraId="7D3D69DA" w14:textId="77777777">
      <w:pPr>
        <w:rPr>
          <w:rFonts w:eastAsia="Cardo"/>
        </w:rPr>
      </w:pPr>
    </w:p>
    <w:p w:rsidRPr="00AF6D93" w:rsidR="00572CB2" w:rsidRDefault="006A5AB0" w14:paraId="3812C71B" w14:textId="77777777">
      <w:pPr>
        <w:pStyle w:val="Heading2"/>
      </w:pPr>
      <w:bookmarkStart w:name="_augujpan37ee" w:colFirst="0" w:colLast="0" w:id="8"/>
      <w:bookmarkEnd w:id="8"/>
      <w:r w:rsidRPr="00AF6D93">
        <w:t xml:space="preserve">Purpose of Presentation: </w:t>
      </w:r>
    </w:p>
    <w:p w:rsidRPr="00AF6D93" w:rsidR="00572CB2" w:rsidRDefault="00C5103B" w14:paraId="436D3AD7" w14:textId="15676085">
      <w:r>
        <w:t>Action required by state or federal law or regulation</w:t>
      </w:r>
      <w:r w:rsidRPr="00AF6D93" w:rsidR="006A5AB0">
        <w:t xml:space="preserve">. </w:t>
      </w:r>
    </w:p>
    <w:p w:rsidRPr="00AF6D93" w:rsidR="00572CB2" w:rsidRDefault="00572CB2" w14:paraId="50771063" w14:textId="77777777">
      <w:pPr>
        <w:rPr>
          <w:rFonts w:eastAsia="Cardo"/>
        </w:rPr>
      </w:pPr>
    </w:p>
    <w:p w:rsidRPr="00AF6D93" w:rsidR="00572CB2" w:rsidRDefault="006A5AB0" w14:paraId="02BC8E58" w14:textId="77777777">
      <w:pPr>
        <w:pStyle w:val="Heading2"/>
        <w:spacing w:line="240" w:lineRule="auto"/>
      </w:pPr>
      <w:bookmarkStart w:name="_1ix2z9h4zl5e" w:colFirst="0" w:colLast="0" w:id="9"/>
      <w:bookmarkEnd w:id="9"/>
      <w:r w:rsidRPr="00AF6D93">
        <w:t xml:space="preserve">Executive Summary </w:t>
      </w:r>
    </w:p>
    <w:p w:rsidRPr="00AF6D93" w:rsidR="00181017" w:rsidP="003C3B40" w:rsidRDefault="00181017" w14:paraId="35AB8A28" w14:textId="02298DC9">
      <w:bookmarkStart w:name="_824hejcgkig" w:colFirst="0" w:colLast="0" w:id="10"/>
      <w:bookmarkEnd w:id="10"/>
      <w:r w:rsidRPr="00AF6D93">
        <w:rPr>
          <w:color w:val="000000"/>
        </w:rPr>
        <w:t>During the 2020 Session, the General Assembly passed legislation (</w:t>
      </w:r>
      <w:hyperlink w:history="1" r:id="rId9">
        <w:r w:rsidRPr="00126AD9" w:rsidR="00126AD9">
          <w:rPr>
            <w:rStyle w:val="Hyperlink"/>
          </w:rPr>
          <w:t>SB377</w:t>
        </w:r>
      </w:hyperlink>
      <w:r w:rsidRPr="00AF6D93">
        <w:rPr>
          <w:color w:val="000000"/>
        </w:rPr>
        <w:t xml:space="preserve">) requiring amendments to the Board of Education’s </w:t>
      </w:r>
      <w:r w:rsidRPr="00AF6D93">
        <w:rPr>
          <w:i/>
          <w:color w:val="000000"/>
        </w:rPr>
        <w:t>Procedure for Adjusting Grievances</w:t>
      </w:r>
      <w:r w:rsidRPr="00AF6D93">
        <w:rPr>
          <w:color w:val="000000"/>
        </w:rPr>
        <w:t xml:space="preserve"> (</w:t>
      </w:r>
      <w:r w:rsidR="00E942E1">
        <w:rPr>
          <w:i/>
          <w:iCs/>
          <w:color w:val="000000"/>
        </w:rPr>
        <w:t>Procedure</w:t>
      </w:r>
      <w:r w:rsidR="00E942E1">
        <w:rPr>
          <w:color w:val="000000"/>
        </w:rPr>
        <w:t xml:space="preserve">; </w:t>
      </w:r>
      <w:hyperlink w:history="1" r:id="rId10">
        <w:r w:rsidRPr="00AF6D93">
          <w:rPr>
            <w:rStyle w:val="Hyperlink"/>
          </w:rPr>
          <w:t>8VAC20-90</w:t>
        </w:r>
      </w:hyperlink>
      <w:r w:rsidRPr="00AF6D93">
        <w:rPr>
          <w:color w:val="000000"/>
        </w:rPr>
        <w:t xml:space="preserve">), particularly the procedure for dismissals found in </w:t>
      </w:r>
      <w:hyperlink w:history="1" r:id="rId11">
        <w:r w:rsidRPr="00AF6D93">
          <w:rPr>
            <w:rStyle w:val="Hyperlink"/>
          </w:rPr>
          <w:t>8VAC20-90-70</w:t>
        </w:r>
      </w:hyperlink>
      <w:r w:rsidRPr="00AF6D93">
        <w:rPr>
          <w:color w:val="000000"/>
        </w:rPr>
        <w:t xml:space="preserve">. All changes are designed to align the regulatory text with §§ </w:t>
      </w:r>
      <w:hyperlink w:history="1" r:id="rId12">
        <w:r w:rsidRPr="00631152">
          <w:rPr>
            <w:rStyle w:val="Hyperlink"/>
          </w:rPr>
          <w:t>22.1-309</w:t>
        </w:r>
      </w:hyperlink>
      <w:r w:rsidRPr="00AF6D93">
        <w:rPr>
          <w:color w:val="000000"/>
        </w:rPr>
        <w:t xml:space="preserve"> and </w:t>
      </w:r>
      <w:hyperlink w:history="1" r:id="rId13">
        <w:r w:rsidRPr="00631152">
          <w:rPr>
            <w:rStyle w:val="Hyperlink"/>
          </w:rPr>
          <w:t>22.1-311</w:t>
        </w:r>
      </w:hyperlink>
      <w:r w:rsidRPr="00AF6D93">
        <w:rPr>
          <w:color w:val="000000"/>
        </w:rPr>
        <w:t xml:space="preserve"> of the </w:t>
      </w:r>
      <w:r w:rsidRPr="00AF6D93">
        <w:rPr>
          <w:i/>
          <w:color w:val="000000"/>
        </w:rPr>
        <w:t>Code of Virginia</w:t>
      </w:r>
      <w:r w:rsidRPr="00AF6D93">
        <w:rPr>
          <w:color w:val="000000"/>
        </w:rPr>
        <w:t xml:space="preserve">. </w:t>
      </w:r>
      <w:r w:rsidRPr="00AF6D93">
        <w:t xml:space="preserve">This agenda item also includes amendments to </w:t>
      </w:r>
      <w:hyperlink w:history="1" r:id="rId14">
        <w:r w:rsidRPr="005C0819">
          <w:rPr>
            <w:rStyle w:val="Hyperlink"/>
          </w:rPr>
          <w:t>8VAC20-90-10</w:t>
        </w:r>
      </w:hyperlink>
      <w:r w:rsidRPr="00AF6D93">
        <w:t xml:space="preserve"> in order to conform the definition of “grievance” and add a definition of “military status,” pursuant to legislation in</w:t>
      </w:r>
      <w:r w:rsidRPr="00AF6D93">
        <w:rPr>
          <w:color w:val="222222"/>
          <w:shd w:val="clear" w:color="auto" w:fill="FFFFFF"/>
        </w:rPr>
        <w:t> </w:t>
      </w:r>
      <w:hyperlink w:tgtFrame="_blank" w:history="1" r:id="rId15">
        <w:r w:rsidRPr="00AF6D93">
          <w:rPr>
            <w:rStyle w:val="Hyperlink"/>
            <w:color w:val="1155CC"/>
            <w:shd w:val="clear" w:color="auto" w:fill="FFFFFF"/>
          </w:rPr>
          <w:t>2020</w:t>
        </w:r>
      </w:hyperlink>
      <w:r w:rsidRPr="00AF6D93">
        <w:rPr>
          <w:color w:val="222222"/>
          <w:shd w:val="clear" w:color="auto" w:fill="FFFFFF"/>
        </w:rPr>
        <w:t> and </w:t>
      </w:r>
      <w:hyperlink w:tgtFrame="_blank" w:history="1" r:id="rId16">
        <w:r w:rsidRPr="00AF6D93">
          <w:rPr>
            <w:rStyle w:val="Hyperlink"/>
            <w:color w:val="1155CC"/>
            <w:shd w:val="clear" w:color="auto" w:fill="FFFFFF"/>
          </w:rPr>
          <w:t>2021</w:t>
        </w:r>
      </w:hyperlink>
      <w:r w:rsidRPr="00AF6D93">
        <w:rPr>
          <w:color w:val="222222"/>
          <w:shd w:val="clear" w:color="auto" w:fill="FFFFFF"/>
        </w:rPr>
        <w:t>, respectively.</w:t>
      </w:r>
      <w:r w:rsidRPr="00AF6D93" w:rsidR="003C3B40">
        <w:rPr>
          <w:color w:val="222222"/>
          <w:shd w:val="clear" w:color="auto" w:fill="FFFFFF"/>
        </w:rPr>
        <w:t xml:space="preserve"> </w:t>
      </w:r>
      <w:r w:rsidRPr="00AF6D93" w:rsidR="003C3B40">
        <w:t xml:space="preserve">On January 9, 2023, ABTEL recommended that the Board amend </w:t>
      </w:r>
      <w:r w:rsidR="005C2461">
        <w:t xml:space="preserve">the </w:t>
      </w:r>
      <w:r w:rsidR="005C2461">
        <w:rPr>
          <w:i/>
          <w:iCs/>
        </w:rPr>
        <w:t>Procedure</w:t>
      </w:r>
      <w:r w:rsidR="005C2461">
        <w:t xml:space="preserve"> as recommended in this item</w:t>
      </w:r>
      <w:r w:rsidRPr="00AF6D93" w:rsidR="003C3B40">
        <w:t xml:space="preserve">. </w:t>
      </w:r>
    </w:p>
    <w:p w:rsidRPr="00AF6D93" w:rsidR="00181017" w:rsidP="00181017" w:rsidRDefault="00181017" w14:paraId="10DFE59E" w14:textId="77777777">
      <w:pPr>
        <w:jc w:val="both"/>
      </w:pPr>
    </w:p>
    <w:p w:rsidRPr="00AF6D93" w:rsidR="00572CB2" w:rsidP="00181017" w:rsidRDefault="00181017" w14:paraId="62755E42" w14:textId="32050EC8">
      <w:r w:rsidRPr="00AF6D93">
        <w:t xml:space="preserve">The proposed amendments to the </w:t>
      </w:r>
      <w:r w:rsidRPr="00AF6D93">
        <w:rPr>
          <w:i/>
        </w:rPr>
        <w:t>Procedure</w:t>
      </w:r>
      <w:r w:rsidRPr="00AF6D93">
        <w:t xml:space="preserve"> incorporate these legislative changes and will follow the fast-track rulemaking requirements of the Administrative Process Act (APA). Section </w:t>
      </w:r>
      <w:hyperlink w:history="1" r:id="rId17">
        <w:r w:rsidRPr="00AF6D93">
          <w:rPr>
            <w:color w:val="0000FF" w:themeColor="hyperlink"/>
            <w:u w:val="single"/>
          </w:rPr>
          <w:t>2.2-4012.1</w:t>
        </w:r>
      </w:hyperlink>
      <w:r w:rsidRPr="00AF6D93">
        <w:t xml:space="preserve"> of the </w:t>
      </w:r>
      <w:r w:rsidRPr="00AF6D93">
        <w:rPr>
          <w:i/>
        </w:rPr>
        <w:t>Code of Virginia</w:t>
      </w:r>
      <w:r w:rsidRPr="00AF6D93">
        <w:t xml:space="preserve"> provides the fast-track rulemaking process for rules that are expected to be noncontroversial. In this case, </w:t>
      </w:r>
      <w:r w:rsidR="000E3C77">
        <w:t xml:space="preserve">VDOE </w:t>
      </w:r>
      <w:r w:rsidRPr="00AF6D93">
        <w:t xml:space="preserve">staff expects the item to be noncontroversial because the regulatory action is to bring the Board’s regulations into alignment with the relevant sections of the </w:t>
      </w:r>
      <w:r w:rsidRPr="00AF6D93">
        <w:rPr>
          <w:i/>
        </w:rPr>
        <w:t>Code of Virginia</w:t>
      </w:r>
      <w:r w:rsidRPr="00AF6D93">
        <w:t>.</w:t>
      </w:r>
    </w:p>
    <w:p w:rsidRPr="00AF6D93" w:rsidR="00181017" w:rsidP="00181017" w:rsidRDefault="00181017" w14:paraId="091CEC81" w14:textId="77777777"/>
    <w:p w:rsidRPr="00AF6D93" w:rsidR="00572CB2" w:rsidRDefault="006A5AB0" w14:paraId="4BADF8F2" w14:textId="77777777">
      <w:pPr>
        <w:pStyle w:val="Heading2"/>
        <w:spacing w:line="240" w:lineRule="auto"/>
      </w:pPr>
      <w:bookmarkStart w:name="_e237r4fk2eq0" w:colFirst="0" w:colLast="0" w:id="11"/>
      <w:bookmarkEnd w:id="11"/>
      <w:r w:rsidRPr="00AF6D93">
        <w:t xml:space="preserve">Action Requested: </w:t>
      </w:r>
    </w:p>
    <w:p w:rsidRPr="00AF6D93" w:rsidR="00572CB2" w:rsidRDefault="00595D42" w14:paraId="6C343620" w14:textId="5E59F040">
      <w:pPr>
        <w:spacing w:line="240" w:lineRule="auto"/>
      </w:pPr>
      <w:r>
        <w:t>Final review: Action requested at this meeting</w:t>
      </w:r>
      <w:r w:rsidRPr="00AF6D93" w:rsidR="006A5AB0">
        <w:t xml:space="preserve"> </w:t>
      </w:r>
    </w:p>
    <w:p w:rsidRPr="00AF6D93" w:rsidR="001C56D1" w:rsidRDefault="001C56D1" w14:paraId="18ACD4A5" w14:textId="77777777">
      <w:pPr>
        <w:spacing w:line="240" w:lineRule="auto"/>
      </w:pPr>
    </w:p>
    <w:p w:rsidRPr="00AF6D93" w:rsidR="00572CB2" w:rsidRDefault="006A5AB0" w14:paraId="27C48142" w14:textId="170F631A">
      <w:pPr>
        <w:pStyle w:val="Heading2"/>
        <w:spacing w:line="240" w:lineRule="auto"/>
      </w:pPr>
      <w:bookmarkStart w:name="_1vp15r958csl" w:colFirst="0" w:colLast="0" w:id="12"/>
      <w:bookmarkEnd w:id="12"/>
      <w:r w:rsidRPr="00AF6D93">
        <w:lastRenderedPageBreak/>
        <w:t xml:space="preserve">Superintendent’s Recommendation </w:t>
      </w:r>
    </w:p>
    <w:p w:rsidR="00717498" w:rsidP="00717498" w:rsidRDefault="00717498" w14:paraId="44599E9B" w14:textId="4060F5B4">
      <w:r w:rsidRPr="00012BE2">
        <w:t xml:space="preserve">The Superintendent of Public Instruction recommends that the Board </w:t>
      </w:r>
      <w:r w:rsidR="008E573B">
        <w:t>waive first review and approve this fast-track regulatory action.</w:t>
      </w:r>
    </w:p>
    <w:p w:rsidR="005D37B4" w:rsidP="00717498" w:rsidRDefault="005D37B4" w14:paraId="62BEC9BD" w14:textId="4C4E3F36"/>
    <w:p w:rsidR="005D37B4" w:rsidP="00717498" w:rsidRDefault="005D37B4" w14:paraId="70DBD581" w14:textId="02975501">
      <w:r>
        <w:rPr>
          <w:b/>
          <w:bCs/>
        </w:rPr>
        <w:t>Rationale for Action:</w:t>
      </w:r>
    </w:p>
    <w:p w:rsidRPr="005D37B4" w:rsidR="005D37B4" w:rsidP="00717498" w:rsidRDefault="005D37B4" w14:paraId="02A4AC9B" w14:textId="282FB3D0">
      <w:r>
        <w:t xml:space="preserve">This action is necessary in order to </w:t>
      </w:r>
      <w:r w:rsidR="00DE3814">
        <w:t xml:space="preserve">conform the Board’s regulations to statute. The agency is not exercising discretion in conforming the regulatory text to the </w:t>
      </w:r>
      <w:r w:rsidR="00B62BE7">
        <w:t>relevant statutory provisions.</w:t>
      </w:r>
    </w:p>
    <w:p w:rsidRPr="00AF6D93" w:rsidR="00572CB2" w:rsidRDefault="00572CB2" w14:paraId="7A097E4E" w14:textId="77777777">
      <w:pPr>
        <w:spacing w:line="240" w:lineRule="auto"/>
        <w:rPr>
          <w:rFonts w:eastAsia="Cardo"/>
        </w:rPr>
      </w:pPr>
    </w:p>
    <w:p w:rsidRPr="00AF6D93" w:rsidR="00572CB2" w:rsidRDefault="006A5AB0" w14:paraId="593F6681" w14:textId="77777777">
      <w:pPr>
        <w:pStyle w:val="Heading2"/>
      </w:pPr>
      <w:bookmarkStart w:name="_w5qk3aw7qqio" w:colFirst="0" w:colLast="0" w:id="13"/>
      <w:bookmarkEnd w:id="13"/>
      <w:r w:rsidRPr="00AF6D93">
        <w:t xml:space="preserve">Previous Review or Action: </w:t>
      </w:r>
    </w:p>
    <w:p w:rsidRPr="00AF6D93" w:rsidR="00572CB2" w:rsidRDefault="006A5AB0" w14:paraId="704C398D" w14:textId="77777777">
      <w:r w:rsidRPr="00AF6D93">
        <w:t xml:space="preserve">No previous review or action. </w:t>
      </w:r>
    </w:p>
    <w:p w:rsidRPr="00AF6D93" w:rsidR="00572CB2" w:rsidRDefault="00572CB2" w14:paraId="3748DC7F" w14:textId="77777777">
      <w:pPr>
        <w:spacing w:line="240" w:lineRule="auto"/>
      </w:pPr>
    </w:p>
    <w:p w:rsidRPr="00AF6D93" w:rsidR="00572CB2" w:rsidRDefault="006A5AB0" w14:paraId="013FBACC" w14:textId="77777777">
      <w:pPr>
        <w:pStyle w:val="Heading2"/>
        <w:rPr>
          <w:sz w:val="26"/>
          <w:szCs w:val="26"/>
          <w:u w:val="single"/>
        </w:rPr>
      </w:pPr>
      <w:bookmarkStart w:name="_4l4a85n09u6" w:colFirst="0" w:colLast="0" w:id="14"/>
      <w:bookmarkEnd w:id="14"/>
      <w:r w:rsidRPr="00AF6D93">
        <w:t xml:space="preserve">Background Information and Statutory Authority:  </w:t>
      </w:r>
    </w:p>
    <w:p w:rsidRPr="00E12D57" w:rsidR="00181017" w:rsidP="003C3B40" w:rsidRDefault="00BC64CB" w14:paraId="3C1996CB" w14:textId="55C5AA1D">
      <w:hyperlink w:history="1" r:id="R545aa3dedfd24db7">
        <w:r w:rsidRPr="00126AD9" w:rsidR="00181017">
          <w:rPr>
            <w:rStyle w:val="Hyperlink"/>
          </w:rPr>
          <w:t>SB377</w:t>
        </w:r>
      </w:hyperlink>
      <w:r w:rsidRPr="00E12D57" w:rsidR="00181017">
        <w:rPr/>
        <w:t xml:space="preserve"> (2020) amended </w:t>
      </w:r>
      <w:r w:rsidRPr="143A97F0" w:rsidR="00181017">
        <w:rPr>
          <w:shd w:val="clear" w:color="auto" w:fill="FFFFFF"/>
        </w:rPr>
        <w:t>§§ </w:t>
      </w:r>
      <w:r w:rsidRPr="00AF6D93" w:rsidR="00006C1F">
        <w:rPr>
          <w:color w:val="000000"/>
        </w:rPr>
        <w:t xml:space="preserve">§§ </w:t>
      </w:r>
      <w:hyperlink w:history="1" r:id="R4a383a6d08644099">
        <w:r w:rsidRPr="00631152" w:rsidR="00006C1F">
          <w:rPr>
            <w:rStyle w:val="Hyperlink"/>
          </w:rPr>
          <w:t>22.1-309</w:t>
        </w:r>
      </w:hyperlink>
      <w:r w:rsidRPr="00AF6D93" w:rsidR="00006C1F">
        <w:rPr>
          <w:color w:val="000000"/>
        </w:rPr>
        <w:t xml:space="preserve"> and </w:t>
      </w:r>
      <w:hyperlink w:history="1" r:id="Rdc5df5d6755b4f3f">
        <w:r w:rsidRPr="00631152" w:rsidR="00006C1F">
          <w:rPr>
            <w:rStyle w:val="Hyperlink"/>
          </w:rPr>
          <w:t>22.1-311</w:t>
        </w:r>
      </w:hyperlink>
      <w:r w:rsidRPr="00E12D57" w:rsidR="00181017">
        <w:rPr/>
        <w:t xml:space="preserve"> of the </w:t>
      </w:r>
      <w:r w:rsidRPr="143A97F0" w:rsidR="00181017">
        <w:rPr>
          <w:i w:val="1"/>
          <w:iCs w:val="1"/>
        </w:rPr>
        <w:t xml:space="preserve">Code of Virginia</w:t>
      </w:r>
      <w:r w:rsidRPr="00E12D57" w:rsidR="00181017">
        <w:rPr/>
        <w:t xml:space="preserve"> to p</w:t>
      </w:r>
      <w:r w:rsidRPr="00E12D57" w:rsidR="00181017">
        <w:rPr>
          <w:shd w:val="clear" w:color="auto" w:fill="FFFFFF"/>
        </w:rPr>
        <w:t>ermit a school board to conduct a teacher grievance hearing before a three-member fact-finding panel consisting of one member selected by the teacher, one member selected by the division superintendent, and an impartial hearing officer selected by the other two panel members to serve as the chairman of the panel. Under the amended law, the school board continues to have the option of appointing a hearing officer or conducting the hearing itself. The bill also removes the requirement that a teacher grievance hearing be set within 15 days of the request for such hearing and extends from five days to 10 days the minimum period of advanced written notice to the teacher of the time and place of such hearing.</w:t>
      </w:r>
    </w:p>
    <w:p w:rsidRPr="00AF6D93" w:rsidR="00181017" w:rsidP="00181017" w:rsidRDefault="00181017" w14:paraId="614201F1" w14:textId="039AC4BD">
      <w:pPr>
        <w:jc w:val="both"/>
        <w:rPr>
          <w:b/>
        </w:rPr>
      </w:pPr>
    </w:p>
    <w:p w:rsidR="00181017" w:rsidP="00181017" w:rsidRDefault="00006C1F" w14:paraId="1A4FAD46" w14:textId="683E2B67">
      <w:pPr>
        <w:spacing w:line="240" w:lineRule="auto"/>
        <w:jc w:val="both"/>
        <w:textAlignment w:val="baseline"/>
        <w:rPr>
          <w:color w:val="222222"/>
          <w:shd w:val="clear" w:color="auto" w:fill="FFFFFF"/>
        </w:rPr>
      </w:pPr>
      <w:r w:rsidRPr="00AF6D93">
        <w:t xml:space="preserve">This agenda item also includes amendments to </w:t>
      </w:r>
      <w:hyperlink w:history="1" r:id="rId21">
        <w:r w:rsidRPr="005C0819">
          <w:rPr>
            <w:rStyle w:val="Hyperlink"/>
          </w:rPr>
          <w:t>8VAC20-90-10</w:t>
        </w:r>
      </w:hyperlink>
      <w:r w:rsidRPr="00AF6D93">
        <w:t xml:space="preserve"> in order to conform the definition of “grievance” and add a definition of “military status,” pursuant to legislation in</w:t>
      </w:r>
      <w:r w:rsidRPr="00AF6D93">
        <w:rPr>
          <w:color w:val="222222"/>
          <w:shd w:val="clear" w:color="auto" w:fill="FFFFFF"/>
        </w:rPr>
        <w:t> </w:t>
      </w:r>
      <w:hyperlink w:tgtFrame="_blank" w:history="1" r:id="rId22">
        <w:r w:rsidRPr="00AF6D93">
          <w:rPr>
            <w:rStyle w:val="Hyperlink"/>
            <w:color w:val="1155CC"/>
            <w:shd w:val="clear" w:color="auto" w:fill="FFFFFF"/>
          </w:rPr>
          <w:t>2020</w:t>
        </w:r>
      </w:hyperlink>
      <w:r w:rsidRPr="00AF6D93">
        <w:rPr>
          <w:color w:val="222222"/>
          <w:shd w:val="clear" w:color="auto" w:fill="FFFFFF"/>
        </w:rPr>
        <w:t> and </w:t>
      </w:r>
      <w:hyperlink w:tgtFrame="_blank" w:history="1" r:id="rId23">
        <w:r w:rsidRPr="00AF6D93">
          <w:rPr>
            <w:rStyle w:val="Hyperlink"/>
            <w:color w:val="1155CC"/>
            <w:shd w:val="clear" w:color="auto" w:fill="FFFFFF"/>
          </w:rPr>
          <w:t>2021</w:t>
        </w:r>
      </w:hyperlink>
      <w:r w:rsidRPr="00AF6D93">
        <w:rPr>
          <w:color w:val="222222"/>
          <w:shd w:val="clear" w:color="auto" w:fill="FFFFFF"/>
        </w:rPr>
        <w:t>, respectively.</w:t>
      </w:r>
    </w:p>
    <w:p w:rsidR="006F5411" w:rsidP="00181017" w:rsidRDefault="006F5411" w14:paraId="34140601" w14:textId="7F372A4D">
      <w:pPr>
        <w:spacing w:line="240" w:lineRule="auto"/>
        <w:jc w:val="both"/>
        <w:textAlignment w:val="baseline"/>
        <w:rPr>
          <w:color w:val="222222"/>
          <w:shd w:val="clear" w:color="auto" w:fill="FFFFFF"/>
        </w:rPr>
      </w:pPr>
    </w:p>
    <w:p w:rsidR="006F5411" w:rsidP="00181017" w:rsidRDefault="00CD3006" w14:paraId="025ED94B" w14:textId="45CD2001">
      <w:pPr>
        <w:spacing w:line="240" w:lineRule="auto"/>
        <w:jc w:val="both"/>
        <w:textAlignment w:val="baseline"/>
        <w:rPr>
          <w:color w:val="222222"/>
          <w:shd w:val="clear" w:color="auto" w:fill="FFFFFF"/>
        </w:rPr>
      </w:pPr>
      <w:r>
        <w:rPr>
          <w:color w:val="222222"/>
          <w:shd w:val="clear" w:color="auto" w:fill="FFFFFF"/>
        </w:rPr>
        <w:t xml:space="preserve">Section </w:t>
      </w:r>
      <w:hyperlink w:history="1" r:id="rId24">
        <w:r w:rsidRPr="00CD3006">
          <w:rPr>
            <w:rStyle w:val="Hyperlink"/>
            <w:shd w:val="clear" w:color="auto" w:fill="FFFFFF"/>
          </w:rPr>
          <w:t>22.1-308</w:t>
        </w:r>
      </w:hyperlink>
      <w:r>
        <w:rPr>
          <w:color w:val="222222"/>
          <w:shd w:val="clear" w:color="auto" w:fill="FFFFFF"/>
        </w:rPr>
        <w:t xml:space="preserve"> A</w:t>
      </w:r>
      <w:r w:rsidR="00064EC4">
        <w:rPr>
          <w:color w:val="222222"/>
          <w:shd w:val="clear" w:color="auto" w:fill="FFFFFF"/>
        </w:rPr>
        <w:t xml:space="preserve"> 9 </w:t>
      </w:r>
      <w:r>
        <w:rPr>
          <w:color w:val="222222"/>
          <w:shd w:val="clear" w:color="auto" w:fill="FFFFFF"/>
        </w:rPr>
        <w:t xml:space="preserve">of the </w:t>
      </w:r>
      <w:r w:rsidRPr="00CD3006">
        <w:rPr>
          <w:i/>
          <w:iCs/>
          <w:color w:val="222222"/>
          <w:shd w:val="clear" w:color="auto" w:fill="FFFFFF"/>
        </w:rPr>
        <w:t>Code of Virginia</w:t>
      </w:r>
      <w:r>
        <w:rPr>
          <w:color w:val="222222"/>
          <w:shd w:val="clear" w:color="auto" w:fill="FFFFFF"/>
        </w:rPr>
        <w:t xml:space="preserve"> </w:t>
      </w:r>
      <w:r w:rsidR="00064EC4">
        <w:rPr>
          <w:color w:val="222222"/>
          <w:shd w:val="clear" w:color="auto" w:fill="FFFFFF"/>
        </w:rPr>
        <w:t xml:space="preserve">requires that the Board prescribe a grievance procedure </w:t>
      </w:r>
      <w:r w:rsidR="00137790">
        <w:rPr>
          <w:color w:val="222222"/>
          <w:shd w:val="clear" w:color="auto" w:fill="FFFFFF"/>
        </w:rPr>
        <w:t xml:space="preserve">that includes “[t]he provisions of </w:t>
      </w:r>
      <w:r w:rsidRPr="002279AB" w:rsidR="002279AB">
        <w:rPr>
          <w:color w:val="222222"/>
          <w:shd w:val="clear" w:color="auto" w:fill="FFFFFF"/>
        </w:rPr>
        <w:t> §§ </w:t>
      </w:r>
      <w:hyperlink w:history="1" r:id="rId25">
        <w:r w:rsidRPr="002279AB" w:rsidR="002279AB">
          <w:rPr>
            <w:rStyle w:val="Hyperlink"/>
            <w:shd w:val="clear" w:color="auto" w:fill="FFFFFF"/>
          </w:rPr>
          <w:t>22.1-309</w:t>
        </w:r>
      </w:hyperlink>
      <w:r w:rsidRPr="002279AB" w:rsidR="002279AB">
        <w:rPr>
          <w:color w:val="222222"/>
          <w:shd w:val="clear" w:color="auto" w:fill="FFFFFF"/>
        </w:rPr>
        <w:t> through </w:t>
      </w:r>
      <w:hyperlink w:history="1" r:id="rId26">
        <w:r w:rsidRPr="002279AB" w:rsidR="002279AB">
          <w:rPr>
            <w:rStyle w:val="Hyperlink"/>
            <w:shd w:val="clear" w:color="auto" w:fill="FFFFFF"/>
          </w:rPr>
          <w:t>22.1-313</w:t>
        </w:r>
      </w:hyperlink>
      <w:r w:rsidR="002279AB">
        <w:rPr>
          <w:color w:val="222222"/>
          <w:shd w:val="clear" w:color="auto" w:fill="FFFFFF"/>
        </w:rPr>
        <w:t xml:space="preserve"> [of the </w:t>
      </w:r>
      <w:r w:rsidRPr="00391938" w:rsidR="002279AB">
        <w:rPr>
          <w:i/>
          <w:iCs/>
          <w:color w:val="222222"/>
          <w:shd w:val="clear" w:color="auto" w:fill="FFFFFF"/>
        </w:rPr>
        <w:t>Code of Virginia</w:t>
      </w:r>
      <w:r w:rsidR="002279AB">
        <w:rPr>
          <w:color w:val="222222"/>
          <w:shd w:val="clear" w:color="auto" w:fill="FFFFFF"/>
        </w:rPr>
        <w:t xml:space="preserve">].” </w:t>
      </w:r>
      <w:r w:rsidR="006F5411">
        <w:rPr>
          <w:color w:val="222222"/>
          <w:shd w:val="clear" w:color="auto" w:fill="FFFFFF"/>
        </w:rPr>
        <w:t>Additional changes are designed to conform the Board’s regulation to the statutory text</w:t>
      </w:r>
      <w:r w:rsidR="000C4C2A">
        <w:rPr>
          <w:color w:val="222222"/>
          <w:shd w:val="clear" w:color="auto" w:fill="FFFFFF"/>
        </w:rPr>
        <w:t>.</w:t>
      </w:r>
    </w:p>
    <w:p w:rsidR="00006C1F" w:rsidP="00181017" w:rsidRDefault="00006C1F" w14:paraId="6E31910C" w14:textId="7E96651A">
      <w:pPr>
        <w:spacing w:line="240" w:lineRule="auto"/>
        <w:jc w:val="both"/>
        <w:textAlignment w:val="baseline"/>
        <w:rPr>
          <w:color w:val="222222"/>
          <w:shd w:val="clear" w:color="auto" w:fill="FFFFFF"/>
        </w:rPr>
      </w:pPr>
    </w:p>
    <w:p w:rsidR="00006C1F" w:rsidP="00181017" w:rsidRDefault="00006C1F" w14:paraId="6AB19E70" w14:textId="1A9E2B95">
      <w:pPr>
        <w:spacing w:line="240" w:lineRule="auto"/>
        <w:jc w:val="both"/>
        <w:textAlignment w:val="baseline"/>
        <w:rPr>
          <w:color w:val="222222"/>
          <w:shd w:val="clear" w:color="auto" w:fill="FFFFFF"/>
        </w:rPr>
      </w:pPr>
      <w:r>
        <w:rPr>
          <w:color w:val="222222"/>
          <w:shd w:val="clear" w:color="auto" w:fill="FFFFFF"/>
        </w:rPr>
        <w:t>Changes to the regulatory text are included in Attachment A.</w:t>
      </w:r>
    </w:p>
    <w:p w:rsidR="00B62BE7" w:rsidP="00181017" w:rsidRDefault="00B62BE7" w14:paraId="40FABB23" w14:textId="6DE9F68B">
      <w:pPr>
        <w:spacing w:line="240" w:lineRule="auto"/>
        <w:jc w:val="both"/>
        <w:textAlignment w:val="baseline"/>
        <w:rPr>
          <w:color w:val="222222"/>
          <w:shd w:val="clear" w:color="auto" w:fill="FFFFFF"/>
        </w:rPr>
      </w:pPr>
    </w:p>
    <w:p w:rsidR="00B62BE7" w:rsidP="00181017" w:rsidRDefault="00B62BE7" w14:paraId="43A4219D" w14:textId="1EC624CB">
      <w:pPr>
        <w:spacing w:line="240" w:lineRule="auto"/>
        <w:jc w:val="both"/>
        <w:textAlignment w:val="baseline"/>
        <w:rPr>
          <w:color w:val="222222"/>
          <w:shd w:val="clear" w:color="auto" w:fill="FFFFFF"/>
        </w:rPr>
      </w:pPr>
      <w:r>
        <w:rPr>
          <w:b/>
          <w:bCs/>
          <w:color w:val="222222"/>
          <w:shd w:val="clear" w:color="auto" w:fill="FFFFFF"/>
        </w:rPr>
        <w:t>Timetable for Further Review/Action:</w:t>
      </w:r>
    </w:p>
    <w:p w:rsidR="00B62BE7" w:rsidP="00181017" w:rsidRDefault="00B62BE7" w14:paraId="327E4654" w14:textId="5C6474E8">
      <w:pPr>
        <w:spacing w:line="240" w:lineRule="auto"/>
        <w:jc w:val="both"/>
        <w:textAlignment w:val="baseline"/>
        <w:rPr>
          <w:color w:val="222222"/>
          <w:shd w:val="clear" w:color="auto" w:fill="FFFFFF"/>
        </w:rPr>
      </w:pPr>
      <w:r>
        <w:rPr>
          <w:color w:val="222222"/>
          <w:shd w:val="clear" w:color="auto" w:fill="FFFFFF"/>
        </w:rPr>
        <w:t>After approval by the Board, the action will be submitted to Town Hall for publication in the Virginia Register of Regulations, pursuant to the Virginia Administrative Process Act.</w:t>
      </w:r>
    </w:p>
    <w:p w:rsidR="00B62BE7" w:rsidP="00181017" w:rsidRDefault="00B62BE7" w14:paraId="14E5BD2E" w14:textId="4C973978">
      <w:pPr>
        <w:spacing w:line="240" w:lineRule="auto"/>
        <w:jc w:val="both"/>
        <w:textAlignment w:val="baseline"/>
        <w:rPr>
          <w:color w:val="222222"/>
          <w:shd w:val="clear" w:color="auto" w:fill="FFFFFF"/>
        </w:rPr>
      </w:pPr>
    </w:p>
    <w:p w:rsidR="00B62BE7" w:rsidP="00181017" w:rsidRDefault="00B62BE7" w14:paraId="60848D6E" w14:textId="7F213A31">
      <w:pPr>
        <w:spacing w:line="240" w:lineRule="auto"/>
        <w:jc w:val="both"/>
        <w:textAlignment w:val="baseline"/>
        <w:rPr>
          <w:color w:val="222222"/>
          <w:shd w:val="clear" w:color="auto" w:fill="FFFFFF"/>
        </w:rPr>
      </w:pPr>
      <w:r>
        <w:rPr>
          <w:b/>
          <w:bCs/>
          <w:color w:val="222222"/>
          <w:shd w:val="clear" w:color="auto" w:fill="FFFFFF"/>
        </w:rPr>
        <w:t>Impact on Fiscal and Human Resources:</w:t>
      </w:r>
    </w:p>
    <w:p w:rsidRPr="00B62BE7" w:rsidR="00B62BE7" w:rsidP="00181017" w:rsidRDefault="00B62BE7" w14:paraId="38C26642" w14:textId="3F9EB656">
      <w:pPr>
        <w:spacing w:line="240" w:lineRule="auto"/>
        <w:jc w:val="both"/>
        <w:textAlignment w:val="baseline"/>
        <w:rPr>
          <w:color w:val="444444"/>
        </w:rPr>
      </w:pPr>
      <w:r>
        <w:rPr>
          <w:color w:val="222222"/>
          <w:shd w:val="clear" w:color="auto" w:fill="FFFFFF"/>
        </w:rPr>
        <w:t>The agency does not anticipate that this action will have an impact on fiscal or human resources.</w:t>
      </w:r>
    </w:p>
    <w:p w:rsidRPr="00AF6D93" w:rsidR="00572CB2" w:rsidP="1DD3ABEB" w:rsidRDefault="00572CB2" w14:paraId="363DB2A8" w14:textId="79AF17D3">
      <w:pPr>
        <w:pStyle w:val="Normal"/>
        <w:rPr>
          <w:b w:val="1"/>
          <w:bCs w:val="1"/>
          <w:color w:val="444444"/>
        </w:rPr>
      </w:pPr>
    </w:p>
    <w:p w:rsidRPr="00AF6D93" w:rsidR="00572CB2" w:rsidRDefault="006A5AB0" w14:paraId="77FBB4FD" w14:textId="77777777">
      <w:pPr>
        <w:pStyle w:val="Heading2"/>
      </w:pPr>
      <w:bookmarkStart w:name="_jw39v1jownf1" w:colFirst="0" w:colLast="0" w:id="15"/>
      <w:bookmarkEnd w:id="15"/>
      <w:r w:rsidRPr="00AF6D93">
        <w:t xml:space="preserve">Timetable for Further Review/Action: </w:t>
      </w:r>
    </w:p>
    <w:p w:rsidRPr="00AF6D93" w:rsidR="00572CB2" w:rsidRDefault="00717498" w14:paraId="5E88CF06" w14:textId="0071E44C">
      <w:r w:rsidRPr="00AF6D93">
        <w:t>Following Board approval, this regulatory action will be submitted to Town Hall</w:t>
      </w:r>
      <w:r w:rsidR="002D5F30">
        <w:t xml:space="preserve"> for publication in the Virginia Register of Regulations</w:t>
      </w:r>
      <w:r w:rsidRPr="00AF6D93">
        <w:t>, pursuant to the requirements of the Administrative Process Act.</w:t>
      </w:r>
    </w:p>
    <w:p w:rsidRPr="00AF6D93" w:rsidR="00717498" w:rsidRDefault="00717498" w14:paraId="4CE562E2" w14:textId="77777777"/>
    <w:p w:rsidRPr="00AF6D93" w:rsidR="00572CB2" w:rsidRDefault="006A5AB0" w14:paraId="417B02FB" w14:textId="77777777">
      <w:pPr>
        <w:pStyle w:val="Heading2"/>
      </w:pPr>
      <w:bookmarkStart w:name="_b3843xqorbi9" w:colFirst="0" w:colLast="0" w:id="16"/>
      <w:bookmarkEnd w:id="16"/>
      <w:r w:rsidRPr="00AF6D93">
        <w:t xml:space="preserve">Impact on Fiscal and Human Resources: </w:t>
      </w:r>
    </w:p>
    <w:p w:rsidRPr="00AF6D93" w:rsidR="00572CB2" w:rsidRDefault="00717498" w14:paraId="2F192783" w14:textId="725D6359">
      <w:pPr>
        <w:spacing w:line="240" w:lineRule="auto"/>
      </w:pPr>
      <w:r w:rsidRPr="00AF6D93">
        <w:t>There are no fiscal or human resources impacts with this change.</w:t>
      </w:r>
    </w:p>
    <w:p w:rsidRPr="00AF6D93" w:rsidR="00717498" w:rsidP="00717498" w:rsidRDefault="00717498" w14:paraId="60CDACFB" w14:textId="13E7ED4A">
      <w:pPr>
        <w:rPr>
          <w:rFonts w:eastAsia="Cardo"/>
        </w:rPr>
      </w:pPr>
      <w:bookmarkStart w:name="_dge9fgx5ke9n" w:colFirst="0" w:colLast="0" w:id="17"/>
      <w:bookmarkEnd w:id="17"/>
    </w:p>
    <w:sectPr w:rsidRPr="00AF6D93" w:rsidR="00717498">
      <w:headerReference w:type="default" r:id="rId27"/>
      <w:footerReference w:type="default" r:id="rId28"/>
      <w:headerReference w:type="first" r:id="rId29"/>
      <w:footerReference w:type="first" r:id="rId30"/>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69D" w:rsidRDefault="00CC169D" w14:paraId="51D03644" w14:textId="77777777">
      <w:pPr>
        <w:spacing w:line="240" w:lineRule="auto"/>
      </w:pPr>
      <w:r>
        <w:separator/>
      </w:r>
    </w:p>
  </w:endnote>
  <w:endnote w:type="continuationSeparator" w:id="0">
    <w:p w:rsidR="00CC169D" w:rsidRDefault="00CC169D" w14:paraId="1C09F18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CB2" w:rsidRDefault="006A5AB0" w14:paraId="2FDC190F" w14:textId="77777777">
    <w:pPr>
      <w:jc w:val="center"/>
    </w:pPr>
    <w:r>
      <w:fldChar w:fldCharType="begin"/>
    </w:r>
    <w:r>
      <w:instrText>PAGE</w:instrText>
    </w:r>
    <w:r>
      <w:fldChar w:fldCharType="separate"/>
    </w:r>
    <w:r w:rsidR="001C56D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CB2" w:rsidRDefault="006A5AB0" w14:paraId="782CE7A6"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sidR="001C56D1">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69D" w:rsidRDefault="00CC169D" w14:paraId="27B8A08B" w14:textId="77777777">
      <w:pPr>
        <w:spacing w:line="240" w:lineRule="auto"/>
      </w:pPr>
      <w:r>
        <w:separator/>
      </w:r>
    </w:p>
  </w:footnote>
  <w:footnote w:type="continuationSeparator" w:id="0">
    <w:p w:rsidR="00CC169D" w:rsidRDefault="00CC169D" w14:paraId="546D88D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CB2" w:rsidRDefault="00572CB2" w14:paraId="6E137D9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72CB2" w:rsidRDefault="006A5AB0" w14:paraId="64277A3A" w14:textId="77777777">
    <w:pPr>
      <w:pStyle w:val="Heading1"/>
    </w:pPr>
    <w:bookmarkStart w:name="_1y4a0gsejnud" w:colFirst="0" w:colLast="0" w:id="18"/>
    <w:bookmarkEnd w:id="18"/>
    <w:r>
      <w:rPr>
        <w:noProof/>
      </w:rPr>
      <w:drawing>
        <wp:anchor distT="114300" distB="114300" distL="114300" distR="114300" simplePos="0" relativeHeight="251658240" behindDoc="0" locked="0" layoutInCell="1" hidden="0" allowOverlap="1" wp14:anchorId="25B9EC5E" wp14:editId="68AD8BC4">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E0"/>
    <w:multiLevelType w:val="hybridMultilevel"/>
    <w:tmpl w:val="317E0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EB3725"/>
    <w:multiLevelType w:val="multilevel"/>
    <w:tmpl w:val="A2B8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A04CA0"/>
    <w:multiLevelType w:val="multilevel"/>
    <w:tmpl w:val="B694E7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2B05CF"/>
    <w:multiLevelType w:val="multilevel"/>
    <w:tmpl w:val="2B40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645A5B"/>
    <w:multiLevelType w:val="multilevel"/>
    <w:tmpl w:val="2F2AA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B2"/>
    <w:rsid w:val="00006C1F"/>
    <w:rsid w:val="00012BE2"/>
    <w:rsid w:val="00013987"/>
    <w:rsid w:val="00035AC7"/>
    <w:rsid w:val="00064EC4"/>
    <w:rsid w:val="000C4C2A"/>
    <w:rsid w:val="000E3C77"/>
    <w:rsid w:val="00123B76"/>
    <w:rsid w:val="00126AD9"/>
    <w:rsid w:val="00137790"/>
    <w:rsid w:val="00181017"/>
    <w:rsid w:val="001C56D1"/>
    <w:rsid w:val="001D632C"/>
    <w:rsid w:val="002279AB"/>
    <w:rsid w:val="002D00D5"/>
    <w:rsid w:val="002D5F30"/>
    <w:rsid w:val="00341A71"/>
    <w:rsid w:val="00391938"/>
    <w:rsid w:val="003C3B40"/>
    <w:rsid w:val="003E5C06"/>
    <w:rsid w:val="004B5F36"/>
    <w:rsid w:val="00553A53"/>
    <w:rsid w:val="0057217A"/>
    <w:rsid w:val="00572CB2"/>
    <w:rsid w:val="00595D42"/>
    <w:rsid w:val="005A5EF9"/>
    <w:rsid w:val="005C0819"/>
    <w:rsid w:val="005C2461"/>
    <w:rsid w:val="005D37B4"/>
    <w:rsid w:val="005D7005"/>
    <w:rsid w:val="00631152"/>
    <w:rsid w:val="006738C3"/>
    <w:rsid w:val="006A0B0D"/>
    <w:rsid w:val="006A5AB0"/>
    <w:rsid w:val="006F5411"/>
    <w:rsid w:val="00717498"/>
    <w:rsid w:val="0072373A"/>
    <w:rsid w:val="00775D15"/>
    <w:rsid w:val="00795E41"/>
    <w:rsid w:val="007C7529"/>
    <w:rsid w:val="007F2B82"/>
    <w:rsid w:val="008E573B"/>
    <w:rsid w:val="00961B00"/>
    <w:rsid w:val="009636BE"/>
    <w:rsid w:val="00991C93"/>
    <w:rsid w:val="009A3241"/>
    <w:rsid w:val="00A11145"/>
    <w:rsid w:val="00A11DB9"/>
    <w:rsid w:val="00A25CF3"/>
    <w:rsid w:val="00AA6752"/>
    <w:rsid w:val="00AC0BFA"/>
    <w:rsid w:val="00AF6D93"/>
    <w:rsid w:val="00B62BE7"/>
    <w:rsid w:val="00BC0B26"/>
    <w:rsid w:val="00BC64CB"/>
    <w:rsid w:val="00C23D3C"/>
    <w:rsid w:val="00C5103B"/>
    <w:rsid w:val="00CC169D"/>
    <w:rsid w:val="00CD3006"/>
    <w:rsid w:val="00CE496E"/>
    <w:rsid w:val="00DB5D02"/>
    <w:rsid w:val="00DE3814"/>
    <w:rsid w:val="00E04288"/>
    <w:rsid w:val="00E12D57"/>
    <w:rsid w:val="00E942E1"/>
    <w:rsid w:val="00FA7BFA"/>
    <w:rsid w:val="06A687DA"/>
    <w:rsid w:val="11C4A27B"/>
    <w:rsid w:val="143A97F0"/>
    <w:rsid w:val="16326E26"/>
    <w:rsid w:val="17427606"/>
    <w:rsid w:val="1DD3ABEB"/>
    <w:rsid w:val="20367690"/>
    <w:rsid w:val="4393FD03"/>
    <w:rsid w:val="4AED6A48"/>
    <w:rsid w:val="5C7AA6E9"/>
    <w:rsid w:val="666B9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8288"/>
  <w15:docId w15:val="{B4D44E4D-153A-423E-AA73-5F7CD02937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Cardo" w:hAnsi="Cardo" w:eastAsia="Cardo" w:cs="Cardo"/>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rFonts w:ascii="Cardo" w:hAnsi="Cardo" w:eastAsia="Cardo" w:cs="Cardo"/>
      <w:b/>
    </w:rPr>
  </w:style>
  <w:style w:type="paragraph" w:styleId="Heading4">
    <w:name w:val="heading 4"/>
    <w:basedOn w:val="Normal"/>
    <w:next w:val="Normal"/>
    <w:uiPriority w:val="9"/>
    <w:semiHidden/>
    <w:unhideWhenUsed/>
    <w:qFormat/>
    <w:pPr>
      <w:keepNext/>
      <w:keepLines/>
      <w:outlineLvl w:val="3"/>
    </w:pPr>
    <w:rPr>
      <w:rFonts w:ascii="Cardo" w:hAnsi="Cardo" w:eastAsia="Cardo" w:cs="Cardo"/>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Cardo" w:hAnsi="Cardo" w:eastAsia="Cardo" w:cs="Cardo"/>
      <w:b/>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25CF3"/>
    <w:pPr>
      <w:spacing w:after="160" w:line="259" w:lineRule="auto"/>
      <w:ind w:left="720"/>
      <w:contextualSpacing/>
    </w:pPr>
    <w:rPr>
      <w:rFonts w:asciiTheme="minorHAnsi" w:hAnsiTheme="minorHAnsi" w:eastAsiaTheme="minorHAnsi" w:cstheme="minorBidi"/>
      <w:sz w:val="22"/>
      <w:szCs w:val="22"/>
      <w:lang w:val="en-US"/>
    </w:rPr>
  </w:style>
  <w:style w:type="table" w:styleId="TableGrid">
    <w:name w:val="Table Grid"/>
    <w:basedOn w:val="TableNormal"/>
    <w:unhideWhenUsed/>
    <w:rsid w:val="00A25CF3"/>
    <w:pPr>
      <w:spacing w:line="240" w:lineRule="auto"/>
    </w:pPr>
    <w:rPr>
      <w:rFonts w:asciiTheme="minorHAnsi" w:hAnsiTheme="minorHAnsi" w:eastAsiaTheme="minorHAnsi" w:cstheme="minorBid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A25CF3"/>
    <w:rPr>
      <w:color w:val="0000FF"/>
      <w:u w:val="single"/>
    </w:rPr>
  </w:style>
  <w:style w:type="paragraph" w:styleId="purpose" w:customStyle="1">
    <w:name w:val="purpose"/>
    <w:rsid w:val="00A25CF3"/>
    <w:pPr>
      <w:spacing w:line="240" w:lineRule="auto"/>
    </w:pPr>
    <w:rPr>
      <w:rFonts w:ascii="Arial" w:hAnsi="Arial" w:cs="Arial"/>
      <w:sz w:val="20"/>
      <w:szCs w:val="20"/>
      <w:lang w:val="en-US"/>
    </w:rPr>
  </w:style>
  <w:style w:type="character" w:styleId="UnresolvedMention">
    <w:name w:val="Unresolved Mention"/>
    <w:basedOn w:val="DefaultParagraphFont"/>
    <w:uiPriority w:val="99"/>
    <w:semiHidden/>
    <w:unhideWhenUsed/>
    <w:rsid w:val="00AA6752"/>
    <w:rPr>
      <w:color w:val="605E5C"/>
      <w:shd w:val="clear" w:color="auto" w:fill="E1DFDD"/>
    </w:rPr>
  </w:style>
  <w:style w:type="paragraph" w:styleId="NoSpacing">
    <w:name w:val="No Spacing"/>
    <w:uiPriority w:val="1"/>
    <w:qFormat/>
    <w:rsid w:val="00181017"/>
    <w:pPr>
      <w:spacing w:line="240" w:lineRule="auto"/>
    </w:pPr>
    <w:rPr>
      <w:rFonts w:asciiTheme="minorHAnsi" w:hAnsiTheme="minorHAnsi" w:eastAsiaTheme="minorHAnsi" w:cstheme="minorBidi"/>
      <w:sz w:val="22"/>
      <w:szCs w:val="22"/>
      <w:lang w:val="en-US"/>
    </w:rPr>
  </w:style>
  <w:style w:type="paragraph" w:styleId="NormalWeb">
    <w:name w:val="Normal (Web)"/>
    <w:basedOn w:val="Normal"/>
    <w:uiPriority w:val="99"/>
    <w:unhideWhenUsed/>
    <w:rsid w:val="00181017"/>
    <w:pPr>
      <w:spacing w:before="100" w:beforeAutospacing="1" w:after="100" w:afterAutospacing="1" w:line="240" w:lineRule="auto"/>
    </w:pPr>
    <w:rPr>
      <w:lang w:val="en-US"/>
    </w:rPr>
  </w:style>
  <w:style w:type="character" w:styleId="FollowedHyperlink">
    <w:name w:val="FollowedHyperlink"/>
    <w:basedOn w:val="DefaultParagraphFont"/>
    <w:uiPriority w:val="99"/>
    <w:semiHidden/>
    <w:unhideWhenUsed/>
    <w:rsid w:val="00341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6321">
      <w:bodyDiv w:val="1"/>
      <w:marLeft w:val="0"/>
      <w:marRight w:val="0"/>
      <w:marTop w:val="0"/>
      <w:marBottom w:val="0"/>
      <w:divBdr>
        <w:top w:val="none" w:sz="0" w:space="0" w:color="auto"/>
        <w:left w:val="none" w:sz="0" w:space="0" w:color="auto"/>
        <w:bottom w:val="none" w:sz="0" w:space="0" w:color="auto"/>
        <w:right w:val="none" w:sz="0" w:space="0" w:color="auto"/>
      </w:divBdr>
    </w:div>
    <w:div w:id="186347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law.lis.virginia.gov/vacode/title22.1/chapter15/section22.1-311/" TargetMode="External" Id="rId13" /><Relationship Type="http://schemas.openxmlformats.org/officeDocument/2006/relationships/hyperlink" Target="http://law.lis.virginia.gov/vacode/22.1-313/" TargetMode="External" Id="rId26" /><Relationship Type="http://schemas.openxmlformats.org/officeDocument/2006/relationships/settings" Target="settings.xml" Id="rId3" /><Relationship Type="http://schemas.openxmlformats.org/officeDocument/2006/relationships/hyperlink" Target="https://law.lis.virginia.gov/admincode/title8/agency20/chapter90/section10/" TargetMode="External" Id="rId21" /><Relationship Type="http://schemas.openxmlformats.org/officeDocument/2006/relationships/customXml" Target="../customXml/item2.xml" Id="rId34" /><Relationship Type="http://schemas.openxmlformats.org/officeDocument/2006/relationships/hyperlink" Target="mailto:Joan.Johnson@doe.virginia.gov" TargetMode="External" Id="rId7" /><Relationship Type="http://schemas.openxmlformats.org/officeDocument/2006/relationships/hyperlink" Target="https://law.lis.virginia.gov/vacode/title22.1/chapter15/section22.1-309/" TargetMode="External" Id="rId12" /><Relationship Type="http://schemas.openxmlformats.org/officeDocument/2006/relationships/hyperlink" Target="https://law.lis.virginia.gov/vacode/title2.2/chapter40/section2.2-4012.1/" TargetMode="External" Id="rId17" /><Relationship Type="http://schemas.openxmlformats.org/officeDocument/2006/relationships/hyperlink" Target="http://law.lis.virginia.gov/vacode/22.1-309/" TargetMode="External" Id="rId25" /><Relationship Type="http://schemas.openxmlformats.org/officeDocument/2006/relationships/customXml" Target="../customXml/item1.xml" Id="rId33" /><Relationship Type="http://schemas.openxmlformats.org/officeDocument/2006/relationships/styles" Target="styles.xml" Id="rId2" /><Relationship Type="http://schemas.openxmlformats.org/officeDocument/2006/relationships/hyperlink" Target="https://lis.virginia.gov/cgi-bin/legp604.exe?212+ful+CHAP0477&amp;212+ful+CHAP0477" TargetMode="External" Id="rId16" /><Relationship Type="http://schemas.openxmlformats.org/officeDocument/2006/relationships/header" Target="header2.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aw.lis.virginia.gov/admincode/title8/agency20/chapter90/section70/" TargetMode="External" Id="rId11" /><Relationship Type="http://schemas.openxmlformats.org/officeDocument/2006/relationships/hyperlink" Target="https://law.lis.virginia.gov/vacode/title22.1/chapter15/section22.1-308/" TargetMode="External" Id="rId24" /><Relationship Type="http://schemas.openxmlformats.org/officeDocument/2006/relationships/theme" Target="theme/theme1.xml" Id="rId32" /><Relationship Type="http://schemas.openxmlformats.org/officeDocument/2006/relationships/footnotes" Target="footnotes.xml" Id="rId5" /><Relationship Type="http://schemas.openxmlformats.org/officeDocument/2006/relationships/hyperlink" Target="https://lis.virginia.gov/cgi-bin/legp604.exe?201+ful+CHAP1137&amp;201+ful+CHAP1137" TargetMode="External" Id="rId15" /><Relationship Type="http://schemas.openxmlformats.org/officeDocument/2006/relationships/hyperlink" Target="https://lis.virginia.gov/cgi-bin/legp604.exe?212+ful+CHAP0477&amp;212+ful+CHAP0477" TargetMode="External" Id="rId23" /><Relationship Type="http://schemas.openxmlformats.org/officeDocument/2006/relationships/footer" Target="footer1.xml" Id="rId28" /><Relationship Type="http://schemas.openxmlformats.org/officeDocument/2006/relationships/hyperlink" Target="https://law.lis.virginia.gov/admincode/title8/agency20/chapter90/" TargetMode="External" Id="rId10"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hyperlink" Target="https://lis.virginia.gov/cgi-bin/legp604.exe?201+ful+CHAP0875" TargetMode="External" Id="rId9" /><Relationship Type="http://schemas.openxmlformats.org/officeDocument/2006/relationships/hyperlink" Target="https://law.lis.virginia.gov/admincode/title8/agency20/chapter90/section10/" TargetMode="External" Id="rId14" /><Relationship Type="http://schemas.openxmlformats.org/officeDocument/2006/relationships/hyperlink" Target="https://lis.virginia.gov/cgi-bin/legp604.exe?201+ful+CHAP1137&amp;201+ful+CHAP1137" TargetMode="External"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customXml" Target="../customXml/item3.xml" Id="rId35" /><Relationship Type="http://schemas.openxmlformats.org/officeDocument/2006/relationships/hyperlink" Target="mailto:Joan.Johnson@doe.virginia.gov" TargetMode="External" Id="rId8" /><Relationship Type="http://schemas.openxmlformats.org/officeDocument/2006/relationships/hyperlink" Target="https://lis.virginia.gov/cgi-bin/legp604.exe?201+ful+CHAP0875" TargetMode="External" Id="R545aa3dedfd24db7" /><Relationship Type="http://schemas.openxmlformats.org/officeDocument/2006/relationships/hyperlink" Target="https://law.lis.virginia.gov/vacode/title22.1/chapter15/section22.1-309/" TargetMode="External" Id="R4a383a6d08644099" /><Relationship Type="http://schemas.openxmlformats.org/officeDocument/2006/relationships/hyperlink" Target="https://law.lis.virginia.gov/vacode/title22.1/chapter15/section22.1-311/" TargetMode="External" Id="Rdc5df5d6755b4f3f"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8AD82-AC75-402D-BB54-5B976CE5A01B}"/>
</file>

<file path=customXml/itemProps2.xml><?xml version="1.0" encoding="utf-8"?>
<ds:datastoreItem xmlns:ds="http://schemas.openxmlformats.org/officeDocument/2006/customXml" ds:itemID="{7A6A4765-5C89-43C2-AC21-F751B6BE8C91}"/>
</file>

<file path=customXml/itemProps3.xml><?xml version="1.0" encoding="utf-8"?>
<ds:datastoreItem xmlns:ds="http://schemas.openxmlformats.org/officeDocument/2006/customXml" ds:itemID="{CFDEA832-C037-4188-8F09-83B7122DEA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Clemmons, Maggie (DOE)</dc:creator>
  <lastModifiedBy>Chapman, Jim (DOE)</lastModifiedBy>
  <revision>38</revision>
  <lastPrinted>2023-01-09T20:49:00.0000000Z</lastPrinted>
  <dcterms:created xsi:type="dcterms:W3CDTF">2023-01-10T20:43:00.0000000Z</dcterms:created>
  <dcterms:modified xsi:type="dcterms:W3CDTF">2023-01-25T21:28:39.0289154Z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