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EAF0A" w14:textId="77777777" w:rsidR="000A78E8" w:rsidRDefault="00135ECF">
      <w:pPr>
        <w:widowControl w:val="0"/>
        <w:pBdr>
          <w:top w:val="nil"/>
          <w:left w:val="nil"/>
          <w:bottom w:val="nil"/>
          <w:right w:val="nil"/>
          <w:between w:val="nil"/>
        </w:pBdr>
        <w:spacing w:line="240" w:lineRule="auto"/>
        <w:ind w:left="3469"/>
        <w:rPr>
          <w:rFonts w:ascii="Times" w:eastAsia="Times" w:hAnsi="Times" w:cs="Times"/>
          <w:color w:val="000000"/>
          <w:sz w:val="24"/>
          <w:szCs w:val="24"/>
        </w:rPr>
      </w:pPr>
      <w:r>
        <w:rPr>
          <w:rFonts w:ascii="Times" w:eastAsia="Times" w:hAnsi="Times" w:cs="Times"/>
          <w:color w:val="000000"/>
          <w:sz w:val="24"/>
          <w:szCs w:val="24"/>
        </w:rPr>
        <w:t xml:space="preserve">Department of Education </w:t>
      </w:r>
    </w:p>
    <w:p w14:paraId="64AE0233" w14:textId="77777777" w:rsidR="000A78E8" w:rsidRDefault="00135ECF">
      <w:pPr>
        <w:widowControl w:val="0"/>
        <w:pBdr>
          <w:top w:val="nil"/>
          <w:left w:val="nil"/>
          <w:bottom w:val="nil"/>
          <w:right w:val="nil"/>
          <w:between w:val="nil"/>
        </w:pBdr>
        <w:spacing w:line="240" w:lineRule="auto"/>
        <w:ind w:left="3939"/>
        <w:rPr>
          <w:rFonts w:ascii="Times" w:eastAsia="Times" w:hAnsi="Times" w:cs="Times"/>
          <w:color w:val="000000"/>
          <w:sz w:val="24"/>
          <w:szCs w:val="24"/>
        </w:rPr>
      </w:pPr>
      <w:r>
        <w:rPr>
          <w:rFonts w:ascii="Times" w:eastAsia="Times" w:hAnsi="Times" w:cs="Times"/>
          <w:color w:val="000000"/>
          <w:sz w:val="24"/>
          <w:szCs w:val="24"/>
        </w:rPr>
        <w:t xml:space="preserve">P. O. Box 2120 </w:t>
      </w:r>
    </w:p>
    <w:p w14:paraId="02974A21" w14:textId="77777777" w:rsidR="000A78E8" w:rsidRDefault="00135ECF">
      <w:pPr>
        <w:widowControl w:val="0"/>
        <w:pBdr>
          <w:top w:val="nil"/>
          <w:left w:val="nil"/>
          <w:bottom w:val="nil"/>
          <w:right w:val="nil"/>
          <w:between w:val="nil"/>
        </w:pBdr>
        <w:spacing w:line="240" w:lineRule="auto"/>
        <w:ind w:left="3114"/>
        <w:rPr>
          <w:rFonts w:ascii="Times" w:eastAsia="Times" w:hAnsi="Times" w:cs="Times"/>
          <w:color w:val="000000"/>
          <w:sz w:val="24"/>
          <w:szCs w:val="24"/>
        </w:rPr>
      </w:pPr>
      <w:r>
        <w:rPr>
          <w:rFonts w:ascii="Times" w:eastAsia="Times" w:hAnsi="Times" w:cs="Times"/>
          <w:color w:val="000000"/>
          <w:sz w:val="24"/>
          <w:szCs w:val="24"/>
        </w:rPr>
        <w:t>Richmond, Virginia 2321</w:t>
      </w:r>
      <w:r w:rsidR="002962C7">
        <w:rPr>
          <w:rFonts w:ascii="Times" w:eastAsia="Times" w:hAnsi="Times" w:cs="Times"/>
          <w:color w:val="000000"/>
          <w:sz w:val="24"/>
          <w:szCs w:val="24"/>
        </w:rPr>
        <w:t>8</w:t>
      </w:r>
      <w:r>
        <w:rPr>
          <w:rFonts w:ascii="Times" w:eastAsia="Times" w:hAnsi="Times" w:cs="Times"/>
          <w:color w:val="000000"/>
          <w:sz w:val="24"/>
          <w:szCs w:val="24"/>
        </w:rPr>
        <w:t xml:space="preserve">-2120 </w:t>
      </w:r>
    </w:p>
    <w:p w14:paraId="0103812D" w14:textId="77777777" w:rsidR="00057817" w:rsidRDefault="00057817">
      <w:pPr>
        <w:widowControl w:val="0"/>
        <w:pBdr>
          <w:top w:val="nil"/>
          <w:left w:val="nil"/>
          <w:bottom w:val="nil"/>
          <w:right w:val="nil"/>
          <w:between w:val="nil"/>
        </w:pBdr>
        <w:spacing w:line="240" w:lineRule="auto"/>
        <w:ind w:left="3114"/>
        <w:rPr>
          <w:rFonts w:ascii="Times" w:eastAsia="Times" w:hAnsi="Times" w:cs="Times"/>
          <w:color w:val="000000"/>
          <w:sz w:val="24"/>
          <w:szCs w:val="24"/>
        </w:rPr>
      </w:pPr>
    </w:p>
    <w:p w14:paraId="7E7F3CC4" w14:textId="2039C28D" w:rsidR="001031C6" w:rsidRDefault="001031C6" w:rsidP="001031C6">
      <w:pPr>
        <w:pStyle w:val="Heading1"/>
        <w:spacing w:before="0" w:after="0" w:line="240" w:lineRule="auto"/>
        <w:jc w:val="center"/>
        <w:rPr>
          <w:rFonts w:ascii="Times New Roman" w:hAnsi="Times New Roman" w:cs="Times New Roman"/>
          <w:bCs/>
          <w:sz w:val="28"/>
          <w:szCs w:val="28"/>
        </w:rPr>
      </w:pPr>
      <w:r w:rsidRPr="00894928">
        <w:rPr>
          <w:rFonts w:ascii="Times New Roman" w:hAnsi="Times New Roman" w:cs="Times New Roman"/>
          <w:bCs/>
          <w:sz w:val="28"/>
          <w:szCs w:val="28"/>
        </w:rPr>
        <w:t xml:space="preserve">CAREER AND TECHNCIAL EDUCATION MEMO NO. </w:t>
      </w:r>
      <w:r w:rsidR="0028790A">
        <w:rPr>
          <w:rFonts w:ascii="Times New Roman" w:hAnsi="Times New Roman" w:cs="Times New Roman"/>
          <w:bCs/>
          <w:sz w:val="28"/>
          <w:szCs w:val="28"/>
        </w:rPr>
        <w:t>213</w:t>
      </w:r>
      <w:r w:rsidRPr="00894928">
        <w:rPr>
          <w:rFonts w:ascii="Times New Roman" w:hAnsi="Times New Roman" w:cs="Times New Roman"/>
          <w:bCs/>
          <w:sz w:val="28"/>
          <w:szCs w:val="28"/>
        </w:rPr>
        <w:t>-2</w:t>
      </w:r>
      <w:r w:rsidR="00276D32">
        <w:rPr>
          <w:rFonts w:ascii="Times New Roman" w:hAnsi="Times New Roman" w:cs="Times New Roman"/>
          <w:bCs/>
          <w:sz w:val="28"/>
          <w:szCs w:val="28"/>
        </w:rPr>
        <w:t>3</w:t>
      </w:r>
    </w:p>
    <w:p w14:paraId="4690C6CB" w14:textId="33273BD7" w:rsidR="000A78E8" w:rsidRDefault="00135ECF" w:rsidP="00276D32">
      <w:pPr>
        <w:widowControl w:val="0"/>
        <w:pBdr>
          <w:top w:val="nil"/>
          <w:left w:val="nil"/>
          <w:bottom w:val="nil"/>
          <w:right w:val="nil"/>
          <w:between w:val="nil"/>
        </w:pBdr>
        <w:spacing w:before="480" w:line="240" w:lineRule="auto"/>
        <w:ind w:left="2" w:right="1141"/>
        <w:rPr>
          <w:rFonts w:ascii="Times" w:eastAsia="Times" w:hAnsi="Times" w:cs="Times"/>
          <w:color w:val="000000"/>
          <w:sz w:val="24"/>
          <w:szCs w:val="24"/>
        </w:rPr>
      </w:pPr>
      <w:r>
        <w:rPr>
          <w:rFonts w:ascii="Times" w:eastAsia="Times" w:hAnsi="Times" w:cs="Times"/>
          <w:b/>
          <w:color w:val="000000"/>
          <w:sz w:val="24"/>
          <w:szCs w:val="24"/>
        </w:rPr>
        <w:t xml:space="preserve">DATE: </w:t>
      </w:r>
      <w:r>
        <w:rPr>
          <w:rFonts w:ascii="Times" w:eastAsia="Times" w:hAnsi="Times" w:cs="Times"/>
          <w:color w:val="000000"/>
          <w:sz w:val="24"/>
          <w:szCs w:val="24"/>
        </w:rPr>
        <w:t xml:space="preserve"> </w:t>
      </w:r>
      <w:r w:rsidR="00BA1D67">
        <w:rPr>
          <w:rFonts w:ascii="Times" w:eastAsia="Times" w:hAnsi="Times" w:cs="Times"/>
          <w:color w:val="000000"/>
          <w:sz w:val="24"/>
          <w:szCs w:val="24"/>
        </w:rPr>
        <w:tab/>
      </w:r>
      <w:r w:rsidR="00737D7A">
        <w:rPr>
          <w:rFonts w:ascii="Times" w:eastAsia="Times" w:hAnsi="Times" w:cs="Times"/>
          <w:color w:val="000000"/>
          <w:sz w:val="24"/>
          <w:szCs w:val="24"/>
        </w:rPr>
        <w:t>January</w:t>
      </w:r>
      <w:r w:rsidR="001031C6">
        <w:rPr>
          <w:rFonts w:ascii="Times" w:eastAsia="Times" w:hAnsi="Times" w:cs="Times"/>
          <w:color w:val="000000"/>
          <w:sz w:val="24"/>
          <w:szCs w:val="24"/>
        </w:rPr>
        <w:t xml:space="preserve"> </w:t>
      </w:r>
      <w:r w:rsidR="00276D32">
        <w:rPr>
          <w:rFonts w:ascii="Times" w:eastAsia="Times" w:hAnsi="Times" w:cs="Times"/>
          <w:color w:val="000000"/>
          <w:sz w:val="24"/>
          <w:szCs w:val="24"/>
        </w:rPr>
        <w:t>23</w:t>
      </w:r>
      <w:r w:rsidR="001031C6">
        <w:rPr>
          <w:rFonts w:ascii="Times" w:eastAsia="Times" w:hAnsi="Times" w:cs="Times"/>
          <w:color w:val="000000"/>
          <w:sz w:val="24"/>
          <w:szCs w:val="24"/>
        </w:rPr>
        <w:t>, 202</w:t>
      </w:r>
      <w:r w:rsidR="00276D32">
        <w:rPr>
          <w:rFonts w:ascii="Times" w:eastAsia="Times" w:hAnsi="Times" w:cs="Times"/>
          <w:color w:val="000000"/>
          <w:sz w:val="24"/>
          <w:szCs w:val="24"/>
        </w:rPr>
        <w:t>3</w:t>
      </w:r>
    </w:p>
    <w:p w14:paraId="3B273C6D" w14:textId="77777777" w:rsidR="001031C6" w:rsidRDefault="001031C6" w:rsidP="001031C6">
      <w:pPr>
        <w:widowControl w:val="0"/>
        <w:pBdr>
          <w:top w:val="nil"/>
          <w:left w:val="nil"/>
          <w:bottom w:val="nil"/>
          <w:right w:val="nil"/>
          <w:between w:val="nil"/>
        </w:pBdr>
        <w:spacing w:line="240" w:lineRule="auto"/>
        <w:ind w:left="2" w:right="1141"/>
        <w:rPr>
          <w:rFonts w:ascii="Times" w:eastAsia="Times" w:hAnsi="Times" w:cs="Times"/>
          <w:color w:val="000000"/>
          <w:sz w:val="24"/>
          <w:szCs w:val="24"/>
        </w:rPr>
      </w:pPr>
    </w:p>
    <w:p w14:paraId="6B4603E7" w14:textId="77777777" w:rsidR="000A78E8" w:rsidRDefault="00135ECF" w:rsidP="001031C6">
      <w:pPr>
        <w:widowControl w:val="0"/>
        <w:pBdr>
          <w:top w:val="nil"/>
          <w:left w:val="nil"/>
          <w:bottom w:val="nil"/>
          <w:right w:val="nil"/>
          <w:between w:val="nil"/>
        </w:pBdr>
        <w:spacing w:line="240" w:lineRule="auto"/>
        <w:ind w:left="6"/>
        <w:rPr>
          <w:rFonts w:ascii="Times" w:eastAsia="Times" w:hAnsi="Times" w:cs="Times"/>
          <w:color w:val="000000"/>
          <w:sz w:val="24"/>
          <w:szCs w:val="24"/>
        </w:rPr>
      </w:pPr>
      <w:r>
        <w:rPr>
          <w:rFonts w:ascii="Times" w:eastAsia="Times" w:hAnsi="Times" w:cs="Times"/>
          <w:b/>
          <w:color w:val="000000"/>
          <w:sz w:val="24"/>
          <w:szCs w:val="24"/>
        </w:rPr>
        <w:t xml:space="preserve">TO: </w:t>
      </w:r>
      <w:r w:rsidR="00BA1D67">
        <w:rPr>
          <w:rFonts w:ascii="Times" w:eastAsia="Times" w:hAnsi="Times" w:cs="Times"/>
          <w:b/>
          <w:color w:val="000000"/>
          <w:sz w:val="24"/>
          <w:szCs w:val="24"/>
        </w:rPr>
        <w:tab/>
      </w:r>
      <w:r w:rsidR="00BA1D67">
        <w:rPr>
          <w:rFonts w:ascii="Times" w:eastAsia="Times" w:hAnsi="Times" w:cs="Times"/>
          <w:b/>
          <w:color w:val="000000"/>
          <w:sz w:val="24"/>
          <w:szCs w:val="24"/>
        </w:rPr>
        <w:tab/>
      </w:r>
      <w:r>
        <w:rPr>
          <w:rFonts w:ascii="Times" w:eastAsia="Times" w:hAnsi="Times" w:cs="Times"/>
          <w:color w:val="000000"/>
          <w:sz w:val="24"/>
          <w:szCs w:val="24"/>
        </w:rPr>
        <w:t xml:space="preserve">CTE Administrators </w:t>
      </w:r>
    </w:p>
    <w:p w14:paraId="78109ABE" w14:textId="77777777" w:rsidR="001031C6" w:rsidRDefault="001031C6" w:rsidP="001031C6">
      <w:pPr>
        <w:widowControl w:val="0"/>
        <w:pBdr>
          <w:top w:val="nil"/>
          <w:left w:val="nil"/>
          <w:bottom w:val="nil"/>
          <w:right w:val="nil"/>
          <w:between w:val="nil"/>
        </w:pBdr>
        <w:spacing w:line="240" w:lineRule="auto"/>
        <w:ind w:left="6"/>
        <w:rPr>
          <w:rFonts w:ascii="Times" w:eastAsia="Times" w:hAnsi="Times" w:cs="Times"/>
          <w:color w:val="000000"/>
          <w:sz w:val="24"/>
          <w:szCs w:val="24"/>
        </w:rPr>
      </w:pPr>
    </w:p>
    <w:p w14:paraId="300D6588" w14:textId="76395BAA" w:rsidR="00FE6066" w:rsidRDefault="00135ECF" w:rsidP="00FE6066">
      <w:pPr>
        <w:widowControl w:val="0"/>
        <w:pBdr>
          <w:top w:val="nil"/>
          <w:left w:val="nil"/>
          <w:bottom w:val="nil"/>
          <w:right w:val="nil"/>
          <w:between w:val="nil"/>
        </w:pBdr>
        <w:spacing w:line="240" w:lineRule="auto"/>
        <w:ind w:left="3"/>
        <w:rPr>
          <w:rFonts w:ascii="Times" w:eastAsia="Times" w:hAnsi="Times" w:cs="Times"/>
          <w:color w:val="000000"/>
          <w:sz w:val="24"/>
          <w:szCs w:val="24"/>
        </w:rPr>
      </w:pPr>
      <w:r>
        <w:rPr>
          <w:rFonts w:ascii="Times" w:eastAsia="Times" w:hAnsi="Times" w:cs="Times"/>
          <w:b/>
          <w:color w:val="000000"/>
          <w:sz w:val="24"/>
          <w:szCs w:val="24"/>
        </w:rPr>
        <w:t xml:space="preserve">FROM: </w:t>
      </w:r>
      <w:r w:rsidR="00BA1D67">
        <w:rPr>
          <w:rFonts w:ascii="Times" w:eastAsia="Times" w:hAnsi="Times" w:cs="Times"/>
          <w:b/>
          <w:color w:val="000000"/>
          <w:sz w:val="24"/>
          <w:szCs w:val="24"/>
        </w:rPr>
        <w:tab/>
      </w:r>
      <w:r>
        <w:rPr>
          <w:rFonts w:ascii="Times" w:eastAsia="Times" w:hAnsi="Times" w:cs="Times"/>
          <w:sz w:val="24"/>
          <w:szCs w:val="24"/>
        </w:rPr>
        <w:t>D</w:t>
      </w:r>
      <w:r w:rsidR="00D44FC9">
        <w:rPr>
          <w:rFonts w:ascii="Times" w:eastAsia="Times" w:hAnsi="Times" w:cs="Times"/>
          <w:sz w:val="24"/>
          <w:szCs w:val="24"/>
        </w:rPr>
        <w:t xml:space="preserve">r. </w:t>
      </w:r>
      <w:r w:rsidR="00737D7A">
        <w:rPr>
          <w:rFonts w:ascii="Times" w:eastAsia="Times" w:hAnsi="Times" w:cs="Times"/>
          <w:sz w:val="24"/>
          <w:szCs w:val="24"/>
        </w:rPr>
        <w:t xml:space="preserve">J. </w:t>
      </w:r>
      <w:r w:rsidR="00354FB5">
        <w:rPr>
          <w:rFonts w:ascii="Times" w:eastAsia="Times" w:hAnsi="Times" w:cs="Times"/>
          <w:sz w:val="24"/>
          <w:szCs w:val="24"/>
        </w:rPr>
        <w:t>Anthony Williams</w:t>
      </w:r>
      <w:r w:rsidR="00FE6066">
        <w:rPr>
          <w:rFonts w:ascii="Times" w:eastAsia="Times" w:hAnsi="Times" w:cs="Times"/>
          <w:sz w:val="24"/>
          <w:szCs w:val="24"/>
        </w:rPr>
        <w:t xml:space="preserve">, </w:t>
      </w:r>
      <w:r w:rsidR="00354FB5">
        <w:rPr>
          <w:rFonts w:ascii="Times" w:eastAsia="Times" w:hAnsi="Times" w:cs="Times"/>
          <w:sz w:val="24"/>
          <w:szCs w:val="24"/>
        </w:rPr>
        <w:t xml:space="preserve">Interim </w:t>
      </w:r>
      <w:r>
        <w:rPr>
          <w:rFonts w:ascii="Times" w:eastAsia="Times" w:hAnsi="Times" w:cs="Times"/>
          <w:color w:val="000000"/>
          <w:sz w:val="24"/>
          <w:szCs w:val="24"/>
        </w:rPr>
        <w:t>Director</w:t>
      </w:r>
    </w:p>
    <w:p w14:paraId="0CFCEBA6" w14:textId="77777777" w:rsidR="000A78E8" w:rsidRDefault="00135ECF" w:rsidP="00FE6066">
      <w:pPr>
        <w:widowControl w:val="0"/>
        <w:pBdr>
          <w:top w:val="nil"/>
          <w:left w:val="nil"/>
          <w:bottom w:val="nil"/>
          <w:right w:val="nil"/>
          <w:between w:val="nil"/>
        </w:pBdr>
        <w:spacing w:line="240" w:lineRule="auto"/>
        <w:ind w:left="723" w:firstLine="717"/>
        <w:rPr>
          <w:rFonts w:ascii="Times" w:eastAsia="Times" w:hAnsi="Times" w:cs="Times"/>
          <w:color w:val="000000"/>
          <w:sz w:val="24"/>
          <w:szCs w:val="24"/>
        </w:rPr>
      </w:pPr>
      <w:r>
        <w:rPr>
          <w:rFonts w:ascii="Times" w:eastAsia="Times" w:hAnsi="Times" w:cs="Times"/>
          <w:color w:val="000000"/>
          <w:sz w:val="24"/>
          <w:szCs w:val="24"/>
        </w:rPr>
        <w:t xml:space="preserve">Office of Career, Technical, and Adult Education  </w:t>
      </w:r>
    </w:p>
    <w:p w14:paraId="5DE8FF97" w14:textId="77777777" w:rsidR="001031C6" w:rsidRDefault="001031C6" w:rsidP="001031C6">
      <w:pPr>
        <w:widowControl w:val="0"/>
        <w:pBdr>
          <w:top w:val="nil"/>
          <w:left w:val="nil"/>
          <w:bottom w:val="nil"/>
          <w:right w:val="nil"/>
          <w:between w:val="nil"/>
        </w:pBdr>
        <w:spacing w:line="240" w:lineRule="auto"/>
        <w:ind w:left="3"/>
        <w:rPr>
          <w:rFonts w:ascii="Times" w:eastAsia="Times" w:hAnsi="Times" w:cs="Times"/>
          <w:color w:val="000000"/>
          <w:sz w:val="24"/>
          <w:szCs w:val="24"/>
        </w:rPr>
      </w:pPr>
    </w:p>
    <w:p w14:paraId="4EA23E36" w14:textId="77777777" w:rsidR="000A78E8" w:rsidRDefault="00135ECF" w:rsidP="001031C6">
      <w:pPr>
        <w:widowControl w:val="0"/>
        <w:pBdr>
          <w:top w:val="nil"/>
          <w:left w:val="nil"/>
          <w:bottom w:val="nil"/>
          <w:right w:val="nil"/>
          <w:between w:val="nil"/>
        </w:pBdr>
        <w:spacing w:line="240" w:lineRule="auto"/>
        <w:ind w:left="1443" w:right="718" w:hanging="1435"/>
        <w:rPr>
          <w:rFonts w:ascii="Times" w:eastAsia="Times" w:hAnsi="Times" w:cs="Times"/>
          <w:b/>
          <w:color w:val="000000"/>
          <w:sz w:val="24"/>
          <w:szCs w:val="24"/>
        </w:rPr>
      </w:pPr>
      <w:r>
        <w:rPr>
          <w:rFonts w:ascii="Times" w:eastAsia="Times" w:hAnsi="Times" w:cs="Times"/>
          <w:b/>
          <w:color w:val="000000"/>
          <w:sz w:val="24"/>
          <w:szCs w:val="24"/>
        </w:rPr>
        <w:t xml:space="preserve">SUBJECT: </w:t>
      </w:r>
      <w:r w:rsidR="00BA1D67">
        <w:rPr>
          <w:rFonts w:ascii="Times" w:eastAsia="Times" w:hAnsi="Times" w:cs="Times"/>
          <w:b/>
          <w:color w:val="000000"/>
          <w:sz w:val="24"/>
          <w:szCs w:val="24"/>
        </w:rPr>
        <w:tab/>
      </w:r>
      <w:r>
        <w:rPr>
          <w:rFonts w:ascii="Times" w:eastAsia="Times" w:hAnsi="Times" w:cs="Times"/>
          <w:b/>
          <w:color w:val="000000"/>
          <w:sz w:val="24"/>
          <w:szCs w:val="24"/>
        </w:rPr>
        <w:t>202</w:t>
      </w:r>
      <w:r w:rsidR="00D27F00">
        <w:rPr>
          <w:rFonts w:ascii="Times" w:eastAsia="Times" w:hAnsi="Times" w:cs="Times"/>
          <w:b/>
          <w:sz w:val="24"/>
          <w:szCs w:val="24"/>
        </w:rPr>
        <w:t>3</w:t>
      </w:r>
      <w:r>
        <w:rPr>
          <w:rFonts w:ascii="Times" w:eastAsia="Times" w:hAnsi="Times" w:cs="Times"/>
          <w:b/>
          <w:color w:val="000000"/>
          <w:sz w:val="24"/>
          <w:szCs w:val="24"/>
        </w:rPr>
        <w:t>-202</w:t>
      </w:r>
      <w:r w:rsidR="00D27F00">
        <w:rPr>
          <w:rFonts w:ascii="Times" w:eastAsia="Times" w:hAnsi="Times" w:cs="Times"/>
          <w:b/>
          <w:sz w:val="24"/>
          <w:szCs w:val="24"/>
        </w:rPr>
        <w:t>4</w:t>
      </w:r>
      <w:r>
        <w:rPr>
          <w:rFonts w:ascii="Times" w:eastAsia="Times" w:hAnsi="Times" w:cs="Times"/>
          <w:b/>
          <w:color w:val="000000"/>
          <w:sz w:val="24"/>
          <w:szCs w:val="24"/>
        </w:rPr>
        <w:t xml:space="preserve"> Nominations for Career Success Stars in Career and Technical Education (CTE) </w:t>
      </w:r>
    </w:p>
    <w:p w14:paraId="037AD677" w14:textId="505F0683" w:rsidR="00276D32" w:rsidRDefault="00276D32" w:rsidP="00276D32">
      <w:pPr>
        <w:pStyle w:val="BodyText"/>
        <w:spacing w:before="480" w:line="276" w:lineRule="auto"/>
        <w:ind w:right="189"/>
      </w:pPr>
      <w:r>
        <w:t>The Office of Career, Technical, and Adult Education is seeking nominations of former CTE students who qualify for recognition as one of the Commonwealth’s brightest Career Success Stars. The individual success stories will be featured as video profiles on the Virginia Department of Education (VDOE) website highlighting how CTE programs provide academic and technical skills for postsecondary success.</w:t>
      </w:r>
    </w:p>
    <w:p w14:paraId="1A823B9F" w14:textId="77777777" w:rsidR="00276D32" w:rsidRDefault="00276D32" w:rsidP="00276D32">
      <w:pPr>
        <w:pStyle w:val="BodyText"/>
        <w:spacing w:before="182" w:line="276" w:lineRule="auto"/>
        <w:ind w:right="189"/>
      </w:pPr>
      <w:r>
        <w:t>Nominees should be former CTE students in their 20s and 30s who represent each of the 17 career clusters as well as a U.S. military branch. Once selections are made, individuals will be contacted to schedule an appointment for a photograph and video recording session. Parents of the Career Success Stars nominees may also be interviewed and featured on the VDOE website.</w:t>
      </w:r>
    </w:p>
    <w:p w14:paraId="1135F292" w14:textId="01E885BB" w:rsidR="00276D32" w:rsidRDefault="00276D32" w:rsidP="00276D32">
      <w:pPr>
        <w:pStyle w:val="BodyText"/>
        <w:spacing w:before="182" w:line="276" w:lineRule="auto"/>
        <w:ind w:right="189"/>
      </w:pPr>
      <w:r>
        <w:rPr>
          <w:rFonts w:ascii="Times" w:eastAsia="Times" w:hAnsi="Times" w:cs="Times"/>
          <w:color w:val="000000"/>
        </w:rPr>
        <w:t>Please complete the</w:t>
      </w:r>
      <w:r w:rsidRPr="00AB7798">
        <w:rPr>
          <w:rFonts w:ascii="Times" w:eastAsia="Times" w:hAnsi="Times" w:cs="Times"/>
        </w:rPr>
        <w:t xml:space="preserve"> </w:t>
      </w:r>
      <w:hyperlink r:id="rId5" w:history="1">
        <w:r w:rsidRPr="00276D32">
          <w:rPr>
            <w:rStyle w:val="Hyperlink"/>
            <w:rFonts w:ascii="Times" w:eastAsia="Times" w:hAnsi="Times" w:cs="Times"/>
            <w:color w:val="0000FF"/>
          </w:rPr>
          <w:t>CTE Career Success Stars Nomination</w:t>
        </w:r>
      </w:hyperlink>
      <w:r w:rsidRPr="00737D7A">
        <w:rPr>
          <w:rFonts w:ascii="Times" w:eastAsia="Times" w:hAnsi="Times" w:cs="Times"/>
          <w:color w:val="548DD4" w:themeColor="text2" w:themeTint="99"/>
        </w:rPr>
        <w:t xml:space="preserve"> </w:t>
      </w:r>
      <w:r>
        <w:rPr>
          <w:rFonts w:ascii="Times" w:eastAsia="Times" w:hAnsi="Times" w:cs="Times"/>
          <w:color w:val="000000"/>
        </w:rPr>
        <w:t xml:space="preserve">form for each former student you wish to nominate. </w:t>
      </w:r>
      <w:r>
        <w:t xml:space="preserve"> </w:t>
      </w:r>
      <w:r w:rsidRPr="00276D32">
        <w:rPr>
          <w:b/>
          <w:bCs/>
        </w:rPr>
        <w:t>The nominations are due to the VDOE by April 14, 2023.</w:t>
      </w:r>
    </w:p>
    <w:p w14:paraId="1FB5D870" w14:textId="77777777" w:rsidR="000A78E8" w:rsidRDefault="00135ECF">
      <w:pPr>
        <w:widowControl w:val="0"/>
        <w:pBdr>
          <w:top w:val="nil"/>
          <w:left w:val="nil"/>
          <w:bottom w:val="nil"/>
          <w:right w:val="nil"/>
          <w:between w:val="nil"/>
        </w:pBdr>
        <w:spacing w:before="271" w:line="229" w:lineRule="auto"/>
        <w:ind w:left="2" w:right="898" w:firstLine="1"/>
        <w:rPr>
          <w:rFonts w:ascii="Times" w:eastAsia="Times" w:hAnsi="Times" w:cs="Times"/>
          <w:color w:val="000000"/>
          <w:sz w:val="24"/>
          <w:szCs w:val="24"/>
        </w:rPr>
      </w:pPr>
      <w:r>
        <w:rPr>
          <w:rFonts w:ascii="Times" w:eastAsia="Times" w:hAnsi="Times" w:cs="Times"/>
          <w:color w:val="000000"/>
          <w:sz w:val="24"/>
          <w:szCs w:val="24"/>
        </w:rPr>
        <w:t xml:space="preserve">If you have any questions, please contact </w:t>
      </w:r>
      <w:r w:rsidR="00D27F00">
        <w:rPr>
          <w:rFonts w:ascii="Times" w:eastAsia="Times" w:hAnsi="Times" w:cs="Times"/>
          <w:sz w:val="24"/>
          <w:szCs w:val="24"/>
        </w:rPr>
        <w:t>Karen Charney</w:t>
      </w:r>
      <w:r>
        <w:rPr>
          <w:rFonts w:ascii="Times" w:eastAsia="Times" w:hAnsi="Times" w:cs="Times"/>
          <w:color w:val="000000"/>
          <w:sz w:val="24"/>
          <w:szCs w:val="24"/>
        </w:rPr>
        <w:t xml:space="preserve">, </w:t>
      </w:r>
      <w:r w:rsidR="00D27F00">
        <w:rPr>
          <w:rFonts w:ascii="Times" w:eastAsia="Times" w:hAnsi="Times" w:cs="Times"/>
          <w:sz w:val="24"/>
          <w:szCs w:val="24"/>
        </w:rPr>
        <w:t>Marketing</w:t>
      </w:r>
      <w:r>
        <w:rPr>
          <w:rFonts w:ascii="Times" w:eastAsia="Times" w:hAnsi="Times" w:cs="Times"/>
          <w:color w:val="000000"/>
          <w:sz w:val="24"/>
          <w:szCs w:val="24"/>
        </w:rPr>
        <w:t xml:space="preserve"> and Related Clusters Specialist, Office of Career, Technical, and Adult Education, at </w:t>
      </w:r>
      <w:r w:rsidR="00AB7798" w:rsidRPr="00276D32">
        <w:rPr>
          <w:rFonts w:ascii="Times" w:eastAsia="Times" w:hAnsi="Times" w:cs="Times"/>
          <w:color w:val="0000FF"/>
          <w:sz w:val="24"/>
          <w:szCs w:val="24"/>
          <w:u w:val="single"/>
        </w:rPr>
        <w:t>cte@doe.virginia.gov</w:t>
      </w:r>
      <w:r w:rsidR="00AB7798">
        <w:rPr>
          <w:rFonts w:ascii="Times" w:eastAsia="Times" w:hAnsi="Times" w:cs="Times"/>
          <w:color w:val="000000"/>
          <w:sz w:val="24"/>
          <w:szCs w:val="24"/>
        </w:rPr>
        <w:t xml:space="preserve"> o</w:t>
      </w:r>
      <w:r>
        <w:rPr>
          <w:rFonts w:ascii="Times" w:eastAsia="Times" w:hAnsi="Times" w:cs="Times"/>
          <w:color w:val="000000"/>
          <w:sz w:val="24"/>
          <w:szCs w:val="24"/>
        </w:rPr>
        <w:t>r by telephone at (804) 225-3119.</w:t>
      </w:r>
    </w:p>
    <w:p w14:paraId="1E3D0EFD" w14:textId="3838FBCC" w:rsidR="00A03812" w:rsidRDefault="00354FB5">
      <w:pPr>
        <w:widowControl w:val="0"/>
        <w:pBdr>
          <w:top w:val="nil"/>
          <w:left w:val="nil"/>
          <w:bottom w:val="nil"/>
          <w:right w:val="nil"/>
          <w:between w:val="nil"/>
        </w:pBdr>
        <w:spacing w:before="271" w:line="229" w:lineRule="auto"/>
        <w:ind w:left="2" w:right="898" w:firstLine="1"/>
        <w:rPr>
          <w:rFonts w:ascii="Times" w:eastAsia="Times" w:hAnsi="Times" w:cs="Times"/>
          <w:color w:val="000000"/>
          <w:sz w:val="24"/>
          <w:szCs w:val="24"/>
        </w:rPr>
      </w:pPr>
      <w:r>
        <w:rPr>
          <w:rFonts w:ascii="Times" w:eastAsia="Times" w:hAnsi="Times" w:cs="Times"/>
          <w:color w:val="000000"/>
          <w:sz w:val="24"/>
          <w:szCs w:val="24"/>
        </w:rPr>
        <w:t>JAW</w:t>
      </w:r>
      <w:r w:rsidR="00A03812">
        <w:rPr>
          <w:rFonts w:ascii="Times" w:eastAsia="Times" w:hAnsi="Times" w:cs="Times"/>
          <w:color w:val="000000"/>
          <w:sz w:val="24"/>
          <w:szCs w:val="24"/>
        </w:rPr>
        <w:t>/</w:t>
      </w:r>
      <w:proofErr w:type="spellStart"/>
      <w:r w:rsidR="00276D32">
        <w:rPr>
          <w:rFonts w:ascii="Times" w:eastAsia="Times" w:hAnsi="Times" w:cs="Times"/>
          <w:color w:val="000000"/>
          <w:sz w:val="24"/>
          <w:szCs w:val="24"/>
        </w:rPr>
        <w:t>jts</w:t>
      </w:r>
      <w:proofErr w:type="spellEnd"/>
    </w:p>
    <w:sectPr w:rsidR="00A03812">
      <w:pgSz w:w="12240" w:h="15840"/>
      <w:pgMar w:top="1418" w:right="1058" w:bottom="1886" w:left="144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A4E74"/>
    <w:multiLevelType w:val="hybridMultilevel"/>
    <w:tmpl w:val="0FF4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8E8"/>
    <w:rsid w:val="00057817"/>
    <w:rsid w:val="000A78E8"/>
    <w:rsid w:val="001031C6"/>
    <w:rsid w:val="00135ECF"/>
    <w:rsid w:val="001C5B92"/>
    <w:rsid w:val="00223F2C"/>
    <w:rsid w:val="00242475"/>
    <w:rsid w:val="00276D32"/>
    <w:rsid w:val="0028790A"/>
    <w:rsid w:val="002962C7"/>
    <w:rsid w:val="00354FB5"/>
    <w:rsid w:val="00370ED7"/>
    <w:rsid w:val="004039A7"/>
    <w:rsid w:val="005B1162"/>
    <w:rsid w:val="00737D7A"/>
    <w:rsid w:val="00916706"/>
    <w:rsid w:val="00A03812"/>
    <w:rsid w:val="00AB7798"/>
    <w:rsid w:val="00B43238"/>
    <w:rsid w:val="00B72030"/>
    <w:rsid w:val="00BA1D67"/>
    <w:rsid w:val="00BF76DC"/>
    <w:rsid w:val="00CC59A3"/>
    <w:rsid w:val="00D27F00"/>
    <w:rsid w:val="00D44FC9"/>
    <w:rsid w:val="00D554DF"/>
    <w:rsid w:val="00E04DA6"/>
    <w:rsid w:val="00E63C5E"/>
    <w:rsid w:val="00F44581"/>
    <w:rsid w:val="00FE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158B5"/>
  <w15:docId w15:val="{047972D9-1305-4570-B951-2DAA8341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35ECF"/>
    <w:rPr>
      <w:color w:val="0000FF" w:themeColor="hyperlink"/>
      <w:u w:val="single"/>
    </w:rPr>
  </w:style>
  <w:style w:type="character" w:styleId="FollowedHyperlink">
    <w:name w:val="FollowedHyperlink"/>
    <w:basedOn w:val="DefaultParagraphFont"/>
    <w:uiPriority w:val="99"/>
    <w:semiHidden/>
    <w:unhideWhenUsed/>
    <w:rsid w:val="00135ECF"/>
    <w:rPr>
      <w:color w:val="800080" w:themeColor="followedHyperlink"/>
      <w:u w:val="single"/>
    </w:rPr>
  </w:style>
  <w:style w:type="paragraph" w:styleId="NoSpacing">
    <w:name w:val="No Spacing"/>
    <w:uiPriority w:val="1"/>
    <w:qFormat/>
    <w:rsid w:val="00E04DA6"/>
    <w:pPr>
      <w:spacing w:line="240" w:lineRule="auto"/>
    </w:pPr>
    <w:rPr>
      <w:rFonts w:ascii="Tahoma" w:eastAsiaTheme="minorHAnsi" w:hAnsi="Tahoma" w:cs="Tahoma"/>
      <w:sz w:val="24"/>
    </w:rPr>
  </w:style>
  <w:style w:type="table" w:styleId="TableGrid">
    <w:name w:val="Table Grid"/>
    <w:basedOn w:val="TableNormal"/>
    <w:uiPriority w:val="59"/>
    <w:rsid w:val="00E04DA6"/>
    <w:pPr>
      <w:spacing w:line="240" w:lineRule="auto"/>
    </w:pPr>
    <w:rPr>
      <w:rFonts w:ascii="Tahoma" w:eastAsiaTheme="minorHAnsi" w:hAnsi="Tahoma" w:cs="Tahom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DA6"/>
    <w:pPr>
      <w:ind w:left="720"/>
      <w:contextualSpacing/>
    </w:pPr>
    <w:rPr>
      <w:rFonts w:ascii="Tahoma" w:eastAsiaTheme="minorHAnsi" w:hAnsi="Tahoma" w:cs="Tahoma"/>
      <w:sz w:val="24"/>
    </w:rPr>
  </w:style>
  <w:style w:type="character" w:styleId="UnresolvedMention">
    <w:name w:val="Unresolved Mention"/>
    <w:basedOn w:val="DefaultParagraphFont"/>
    <w:uiPriority w:val="99"/>
    <w:semiHidden/>
    <w:unhideWhenUsed/>
    <w:rsid w:val="00354FB5"/>
    <w:rPr>
      <w:color w:val="605E5C"/>
      <w:shd w:val="clear" w:color="auto" w:fill="E1DFDD"/>
    </w:rPr>
  </w:style>
  <w:style w:type="paragraph" w:styleId="BodyText">
    <w:name w:val="Body Text"/>
    <w:basedOn w:val="Normal"/>
    <w:link w:val="BodyTextChar"/>
    <w:uiPriority w:val="1"/>
    <w:qFormat/>
    <w:rsid w:val="00276D32"/>
    <w:pPr>
      <w:widowControl w:val="0"/>
      <w:autoSpaceDE w:val="0"/>
      <w:autoSpaceDN w:val="0"/>
      <w:spacing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276D32"/>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rginiadoe.gov1.qualtrics.com/jfe/form/SV_8jFg6nTyUH5BuJ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CTE Directors Memo 213-23</vt:lpstr>
    </vt:vector>
  </TitlesOfParts>
  <Company>Virginia Information Technologies Agency</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Nominations for Career Success Stars in CTE</dc:title>
  <dc:creator>Sledzinski, Lauren-anne (DOE)</dc:creator>
  <cp:lastModifiedBy>Charney, Karen (DOE)</cp:lastModifiedBy>
  <cp:revision>7</cp:revision>
  <cp:lastPrinted>2022-12-14T17:35:00Z</cp:lastPrinted>
  <dcterms:created xsi:type="dcterms:W3CDTF">2023-01-11T13:23:00Z</dcterms:created>
  <dcterms:modified xsi:type="dcterms:W3CDTF">2023-01-24T18:52:00Z</dcterms:modified>
</cp:coreProperties>
</file>