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9A45BC" w:rsidRDefault="007503E8" w:rsidP="009A45BC">
      <w:pPr>
        <w:pStyle w:val="Heading1"/>
        <w:shd w:val="clear" w:color="auto" w:fill="FFFFFF"/>
        <w:spacing w:before="0"/>
        <w:rPr>
          <w:rFonts w:cs="Times New Roman"/>
          <w:color w:val="252525"/>
          <w:szCs w:val="24"/>
        </w:rPr>
      </w:pPr>
      <w:r w:rsidRPr="009A45BC">
        <w:rPr>
          <w:color w:val="252525"/>
          <w:shd w:val="clear" w:color="auto" w:fill="FFFFFF"/>
        </w:rPr>
        <w:br/>
      </w:r>
      <w:r w:rsidR="00A972CE" w:rsidRPr="009A45BC">
        <w:rPr>
          <w:rFonts w:cs="Times New Roman"/>
          <w:color w:val="252525"/>
          <w:szCs w:val="24"/>
        </w:rPr>
        <w:t>Agenda Item:</w:t>
      </w:r>
      <w:r w:rsidR="00AC0C95" w:rsidRPr="009A45BC">
        <w:rPr>
          <w:rFonts w:cs="Times New Roman"/>
          <w:color w:val="252525"/>
          <w:szCs w:val="24"/>
        </w:rPr>
        <w:tab/>
      </w:r>
      <w:r w:rsidR="006601ED">
        <w:rPr>
          <w:rFonts w:cs="Times New Roman"/>
          <w:color w:val="252525"/>
          <w:szCs w:val="24"/>
        </w:rPr>
        <w:tab/>
        <w:t>R</w:t>
      </w:r>
    </w:p>
    <w:p w:rsidR="0020239B" w:rsidRPr="009A45BC" w:rsidRDefault="0020239B" w:rsidP="009A45BC">
      <w:pPr>
        <w:shd w:val="clear" w:color="auto" w:fill="FFFFFF"/>
        <w:spacing w:after="0"/>
        <w:rPr>
          <w:rFonts w:cs="Times New Roman"/>
          <w:b/>
          <w:color w:val="252525"/>
          <w:szCs w:val="24"/>
        </w:rPr>
      </w:pPr>
    </w:p>
    <w:p w:rsidR="00A972CE" w:rsidRPr="009A45BC" w:rsidRDefault="00A972CE" w:rsidP="009A45BC">
      <w:pPr>
        <w:pStyle w:val="Heading2"/>
        <w:shd w:val="clear" w:color="auto" w:fill="FFFFFF"/>
        <w:spacing w:before="0" w:after="0"/>
        <w:rPr>
          <w:color w:val="252525"/>
        </w:rPr>
      </w:pPr>
      <w:r w:rsidRPr="009A45BC">
        <w:rPr>
          <w:color w:val="252525"/>
        </w:rPr>
        <w:t>Date:</w:t>
      </w:r>
      <w:r w:rsidR="006601ED">
        <w:rPr>
          <w:color w:val="252525"/>
        </w:rPr>
        <w:tab/>
      </w:r>
      <w:r w:rsidR="006601ED">
        <w:rPr>
          <w:color w:val="252525"/>
        </w:rPr>
        <w:tab/>
      </w:r>
      <w:r w:rsidR="006601ED">
        <w:rPr>
          <w:color w:val="252525"/>
        </w:rPr>
        <w:tab/>
      </w:r>
      <w:r w:rsidR="006F74FB" w:rsidRPr="009A45BC">
        <w:rPr>
          <w:color w:val="252525"/>
        </w:rPr>
        <w:t>October 18</w:t>
      </w:r>
      <w:r w:rsidR="00F73A1B" w:rsidRPr="009A45BC">
        <w:rPr>
          <w:color w:val="252525"/>
        </w:rPr>
        <w:t>, 2018</w:t>
      </w:r>
    </w:p>
    <w:p w:rsidR="0020239B" w:rsidRPr="009A45BC" w:rsidRDefault="0020239B" w:rsidP="009A45BC">
      <w:pPr>
        <w:shd w:val="clear" w:color="auto" w:fill="FFFFFF"/>
        <w:spacing w:after="0"/>
        <w:rPr>
          <w:rFonts w:cs="Times New Roman"/>
          <w:b/>
          <w:color w:val="252525"/>
          <w:szCs w:val="24"/>
        </w:rPr>
      </w:pPr>
    </w:p>
    <w:p w:rsidR="00A972CE" w:rsidRPr="009A45BC" w:rsidRDefault="00A972CE" w:rsidP="006601ED">
      <w:pPr>
        <w:pStyle w:val="Heading3"/>
        <w:shd w:val="clear" w:color="auto" w:fill="FFFFFF"/>
        <w:spacing w:before="0"/>
        <w:ind w:left="2160" w:hanging="2160"/>
        <w:rPr>
          <w:rFonts w:cs="Times New Roman"/>
          <w:color w:val="252525"/>
          <w:szCs w:val="24"/>
        </w:rPr>
      </w:pPr>
      <w:r w:rsidRPr="009A45BC">
        <w:rPr>
          <w:rFonts w:cs="Times New Roman"/>
          <w:color w:val="252525"/>
          <w:szCs w:val="24"/>
        </w:rPr>
        <w:t xml:space="preserve">Title: </w:t>
      </w:r>
      <w:r w:rsidR="006601ED">
        <w:rPr>
          <w:rFonts w:cs="Times New Roman"/>
          <w:color w:val="252525"/>
          <w:szCs w:val="24"/>
        </w:rPr>
        <w:tab/>
      </w:r>
      <w:r w:rsidR="006F74FB" w:rsidRPr="009A45BC">
        <w:rPr>
          <w:rFonts w:cs="Times New Roman"/>
          <w:color w:val="252525"/>
          <w:szCs w:val="24"/>
        </w:rPr>
        <w:t>Annual Progress Report on Memorandum of Understanding as Required for Divisions under Division-level Review for Petersburg City Public Schools</w:t>
      </w:r>
    </w:p>
    <w:p w:rsidR="0020239B" w:rsidRPr="009A45BC" w:rsidRDefault="0020239B" w:rsidP="009A45BC">
      <w:pPr>
        <w:shd w:val="clear" w:color="auto" w:fill="FFFFFF"/>
        <w:spacing w:after="0"/>
        <w:rPr>
          <w:rFonts w:cs="Times New Roman"/>
          <w:b/>
          <w:color w:val="252525"/>
          <w:szCs w:val="24"/>
        </w:rPr>
      </w:pPr>
    </w:p>
    <w:p w:rsidR="007503E8" w:rsidRPr="009A45BC" w:rsidRDefault="00A972CE" w:rsidP="006601ED">
      <w:pPr>
        <w:pStyle w:val="Heading4"/>
        <w:shd w:val="clear" w:color="auto" w:fill="FFFFFF"/>
        <w:spacing w:before="0"/>
        <w:ind w:left="2160" w:hanging="2160"/>
        <w:rPr>
          <w:rFonts w:cs="Times New Roman"/>
          <w:color w:val="252525"/>
          <w:szCs w:val="24"/>
        </w:rPr>
      </w:pPr>
      <w:r w:rsidRPr="009A45BC">
        <w:rPr>
          <w:rFonts w:cs="Times New Roman"/>
          <w:color w:val="252525"/>
          <w:szCs w:val="24"/>
        </w:rPr>
        <w:t xml:space="preserve">Presenter: </w:t>
      </w:r>
      <w:r w:rsidR="006601ED">
        <w:rPr>
          <w:rFonts w:cs="Times New Roman"/>
          <w:color w:val="252525"/>
          <w:szCs w:val="24"/>
        </w:rPr>
        <w:tab/>
      </w:r>
      <w:r w:rsidR="00F73A1B" w:rsidRPr="009A45BC">
        <w:rPr>
          <w:rFonts w:cs="Times New Roman"/>
          <w:color w:val="252525"/>
          <w:szCs w:val="24"/>
        </w:rPr>
        <w:t>Beverly W. Rabil, Director, Office of School Improvement, Division of Student Assessment and School Improvement</w:t>
      </w:r>
    </w:p>
    <w:p w:rsidR="00A972CE" w:rsidRPr="009A45BC" w:rsidRDefault="007503E8" w:rsidP="009A45BC">
      <w:pPr>
        <w:pStyle w:val="Heading4"/>
        <w:shd w:val="clear" w:color="auto" w:fill="FFFFFF"/>
        <w:spacing w:before="0"/>
        <w:rPr>
          <w:rFonts w:cs="Times New Roman"/>
          <w:color w:val="252525"/>
          <w:szCs w:val="24"/>
        </w:rPr>
      </w:pPr>
      <w:r w:rsidRPr="009A45BC">
        <w:rPr>
          <w:rFonts w:cs="Times New Roman"/>
          <w:i/>
          <w:color w:val="252525"/>
          <w:szCs w:val="24"/>
        </w:rPr>
        <w:br/>
      </w:r>
      <w:r w:rsidR="00A972CE" w:rsidRPr="009A45BC">
        <w:rPr>
          <w:rFonts w:cs="Times New Roman"/>
          <w:color w:val="252525"/>
          <w:szCs w:val="24"/>
        </w:rPr>
        <w:t>Email:</w:t>
      </w:r>
      <w:r w:rsidR="00F73A1B" w:rsidRPr="009A45BC">
        <w:rPr>
          <w:rFonts w:cs="Times New Roman"/>
          <w:color w:val="252525"/>
          <w:szCs w:val="24"/>
        </w:rPr>
        <w:t xml:space="preserve"> </w:t>
      </w:r>
      <w:r w:rsidR="006601ED">
        <w:rPr>
          <w:rFonts w:cs="Times New Roman"/>
          <w:color w:val="252525"/>
          <w:szCs w:val="24"/>
        </w:rPr>
        <w:tab/>
      </w:r>
      <w:r w:rsidR="006601ED">
        <w:rPr>
          <w:rFonts w:cs="Times New Roman"/>
          <w:color w:val="252525"/>
          <w:szCs w:val="24"/>
        </w:rPr>
        <w:tab/>
      </w:r>
      <w:r w:rsidR="00F73A1B" w:rsidRPr="009A45BC">
        <w:rPr>
          <w:rFonts w:cs="Times New Roman"/>
          <w:color w:val="252525"/>
          <w:szCs w:val="24"/>
        </w:rPr>
        <w:t>Beverly.rabil@doe.virginia.gov</w:t>
      </w:r>
      <w:r w:rsidR="0094605A" w:rsidRPr="009A45BC">
        <w:rPr>
          <w:rFonts w:cs="Times New Roman"/>
          <w:i/>
          <w:color w:val="252525"/>
          <w:szCs w:val="24"/>
        </w:rPr>
        <w:tab/>
      </w:r>
      <w:r w:rsidR="00F77BDE" w:rsidRPr="009A45BC">
        <w:rPr>
          <w:rFonts w:cs="Times New Roman"/>
          <w:color w:val="252525"/>
          <w:szCs w:val="24"/>
        </w:rPr>
        <w:tab/>
      </w:r>
      <w:r w:rsidR="00892D0F" w:rsidRPr="009A45BC">
        <w:rPr>
          <w:rFonts w:cs="Times New Roman"/>
          <w:color w:val="252525"/>
          <w:szCs w:val="24"/>
        </w:rPr>
        <w:t xml:space="preserve">Phone: </w:t>
      </w:r>
      <w:r w:rsidR="00F73A1B" w:rsidRPr="009A45BC">
        <w:rPr>
          <w:rFonts w:cs="Times New Roman"/>
          <w:color w:val="252525"/>
          <w:szCs w:val="24"/>
        </w:rPr>
        <w:t>(804) 225-2865</w:t>
      </w:r>
    </w:p>
    <w:p w:rsidR="00A972CE" w:rsidRPr="009A45BC" w:rsidRDefault="00A972CE" w:rsidP="009A45BC">
      <w:pPr>
        <w:shd w:val="clear" w:color="auto" w:fill="FFFFFF"/>
        <w:spacing w:after="0"/>
        <w:rPr>
          <w:color w:val="252525"/>
        </w:rPr>
      </w:pPr>
    </w:p>
    <w:p w:rsidR="00A972CE" w:rsidRPr="009A45BC" w:rsidRDefault="00A972CE" w:rsidP="009A45BC">
      <w:pPr>
        <w:pStyle w:val="Heading2"/>
        <w:shd w:val="clear" w:color="auto" w:fill="FFFFFF"/>
        <w:spacing w:before="0" w:after="0"/>
        <w:rPr>
          <w:color w:val="252525"/>
        </w:rPr>
      </w:pPr>
      <w:r w:rsidRPr="009A45BC">
        <w:rPr>
          <w:color w:val="252525"/>
        </w:rPr>
        <w:t xml:space="preserve">Purpose of Presentation: </w:t>
      </w:r>
    </w:p>
    <w:p w:rsidR="00A972CE" w:rsidRPr="009A45BC" w:rsidRDefault="006601ED" w:rsidP="009A45BC">
      <w:pPr>
        <w:shd w:val="clear" w:color="auto" w:fill="FFFFFF"/>
        <w:rPr>
          <w:color w:val="252525"/>
        </w:rPr>
      </w:pPr>
      <w:sdt>
        <w:sdtPr>
          <w:rPr>
            <w:color w:val="252525"/>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6F74FB" w:rsidRPr="009A45BC">
            <w:rPr>
              <w:color w:val="252525"/>
            </w:rPr>
            <w:t>Action required by Board of Education regulation.</w:t>
          </w:r>
        </w:sdtContent>
      </w:sdt>
    </w:p>
    <w:p w:rsidR="006F74FB" w:rsidRDefault="00A972CE" w:rsidP="006601ED">
      <w:pPr>
        <w:shd w:val="clear" w:color="auto" w:fill="FFFFFF"/>
        <w:tabs>
          <w:tab w:val="left" w:pos="360"/>
          <w:tab w:val="left" w:pos="720"/>
          <w:tab w:val="left" w:pos="1080"/>
          <w:tab w:val="left" w:pos="1440"/>
          <w:tab w:val="left" w:pos="1800"/>
          <w:tab w:val="left" w:pos="2160"/>
          <w:tab w:val="left" w:pos="2520"/>
          <w:tab w:val="left" w:pos="2880"/>
        </w:tabs>
        <w:spacing w:after="0" w:line="240" w:lineRule="auto"/>
        <w:rPr>
          <w:szCs w:val="24"/>
        </w:rPr>
      </w:pPr>
      <w:r w:rsidRPr="009A45BC">
        <w:rPr>
          <w:b/>
          <w:color w:val="252525"/>
        </w:rPr>
        <w:t xml:space="preserve">Executive Summary: </w:t>
      </w:r>
      <w:r w:rsidR="00BA7FAF" w:rsidRPr="009A45BC">
        <w:rPr>
          <w:b/>
          <w:color w:val="252525"/>
        </w:rPr>
        <w:t xml:space="preserve"> </w:t>
      </w:r>
      <w:r w:rsidR="00D9096B" w:rsidRPr="009A45BC">
        <w:rPr>
          <w:b/>
          <w:color w:val="252525"/>
        </w:rPr>
        <w:br/>
      </w:r>
      <w:r w:rsidR="006F74FB" w:rsidRPr="009A45BC">
        <w:rPr>
          <w:color w:val="252525"/>
          <w:szCs w:val="24"/>
        </w:rPr>
        <w:t>In 2004, the Petersburg City School Board requested a division-level academic review.  Petersburg City Public Schools and the V</w:t>
      </w:r>
      <w:r w:rsidR="00F41930" w:rsidRPr="009A45BC">
        <w:rPr>
          <w:color w:val="252525"/>
          <w:szCs w:val="24"/>
        </w:rPr>
        <w:t xml:space="preserve">irginia </w:t>
      </w:r>
      <w:r w:rsidR="006F74FB" w:rsidRPr="009A45BC">
        <w:rPr>
          <w:color w:val="252525"/>
          <w:szCs w:val="24"/>
        </w:rPr>
        <w:t>B</w:t>
      </w:r>
      <w:r w:rsidR="00F41930" w:rsidRPr="009A45BC">
        <w:rPr>
          <w:color w:val="252525"/>
          <w:szCs w:val="24"/>
        </w:rPr>
        <w:t xml:space="preserve">oard of </w:t>
      </w:r>
      <w:r w:rsidR="006F74FB" w:rsidRPr="009A45BC">
        <w:rPr>
          <w:color w:val="252525"/>
          <w:szCs w:val="24"/>
        </w:rPr>
        <w:t>E</w:t>
      </w:r>
      <w:r w:rsidR="00F41930" w:rsidRPr="009A45BC">
        <w:rPr>
          <w:color w:val="252525"/>
          <w:szCs w:val="24"/>
        </w:rPr>
        <w:t>ducation (VBOE)</w:t>
      </w:r>
      <w:r w:rsidR="006F74FB" w:rsidRPr="009A45BC">
        <w:rPr>
          <w:color w:val="252525"/>
          <w:szCs w:val="24"/>
        </w:rPr>
        <w:t xml:space="preserve"> signed an initial </w:t>
      </w:r>
      <w:r w:rsidR="00F41930" w:rsidRPr="009A45BC">
        <w:rPr>
          <w:color w:val="252525"/>
          <w:szCs w:val="24"/>
        </w:rPr>
        <w:t>Memorandum of Understanding (</w:t>
      </w:r>
      <w:r w:rsidR="006F74FB" w:rsidRPr="009A45BC">
        <w:rPr>
          <w:color w:val="252525"/>
          <w:szCs w:val="24"/>
        </w:rPr>
        <w:t>MOU</w:t>
      </w:r>
      <w:r w:rsidR="00F41930" w:rsidRPr="009A45BC">
        <w:rPr>
          <w:color w:val="252525"/>
          <w:szCs w:val="24"/>
        </w:rPr>
        <w:t>)</w:t>
      </w:r>
      <w:r w:rsidR="006F74FB" w:rsidRPr="009A45BC">
        <w:rPr>
          <w:color w:val="252525"/>
          <w:szCs w:val="24"/>
        </w:rPr>
        <w:t xml:space="preserve"> detailing the review process on April 21, 2004.  Based on the 2005-2006 assessment results, Petersburg City Public Schools entered into a second MOU on November 20, 2006.  On November 17, 2009, the Virginia Board of Education revised the MOU for Petersburg City Public Schools.  This MOU was to remain in effec</w:t>
      </w:r>
      <w:r w:rsidR="006F74FB">
        <w:rPr>
          <w:szCs w:val="24"/>
        </w:rPr>
        <w:t xml:space="preserve">t until all schools were </w:t>
      </w:r>
      <w:r w:rsidR="006F74FB" w:rsidRPr="00A25279">
        <w:rPr>
          <w:i/>
          <w:szCs w:val="24"/>
        </w:rPr>
        <w:t>Fully Accredited</w:t>
      </w:r>
      <w:r w:rsidR="006F74FB">
        <w:rPr>
          <w:szCs w:val="24"/>
        </w:rPr>
        <w:t>.  As required by the MOU, Petersburg City Public Schools developed a corrective action plan beginning in the 2009-2010 school year. An updated corrective action plan was approved by the VBOE on October 24, 2013.</w:t>
      </w:r>
    </w:p>
    <w:p w:rsidR="00A91173" w:rsidRPr="00020A73" w:rsidRDefault="00A91173" w:rsidP="006601ED">
      <w:pPr>
        <w:tabs>
          <w:tab w:val="left" w:pos="360"/>
          <w:tab w:val="left" w:pos="720"/>
          <w:tab w:val="left" w:pos="1080"/>
          <w:tab w:val="left" w:pos="1440"/>
          <w:tab w:val="left" w:pos="1800"/>
          <w:tab w:val="left" w:pos="2160"/>
          <w:tab w:val="left" w:pos="2520"/>
          <w:tab w:val="left" w:pos="2880"/>
        </w:tabs>
        <w:spacing w:after="0" w:line="240" w:lineRule="auto"/>
        <w:rPr>
          <w:b/>
          <w:color w:val="FF0000"/>
          <w:szCs w:val="24"/>
        </w:rPr>
      </w:pPr>
    </w:p>
    <w:p w:rsidR="006F74FB" w:rsidRPr="005C6742" w:rsidRDefault="006F74FB" w:rsidP="006601ED">
      <w:pPr>
        <w:tabs>
          <w:tab w:val="left" w:pos="360"/>
          <w:tab w:val="left" w:pos="720"/>
          <w:tab w:val="left" w:pos="1080"/>
          <w:tab w:val="left" w:pos="1440"/>
          <w:tab w:val="left" w:pos="1800"/>
          <w:tab w:val="left" w:pos="2160"/>
          <w:tab w:val="left" w:pos="2520"/>
          <w:tab w:val="left" w:pos="2880"/>
        </w:tabs>
        <w:spacing w:line="240" w:lineRule="auto"/>
      </w:pPr>
      <w:r>
        <w:t>In December 2015, teams from the Offices of School Improvement, Special Education Program Improvement, and Student Services conducted an on-site review in Petersburg City Public Schools.  Based on the December on-site review, the VBOE approved a revised division- level MOU</w:t>
      </w:r>
      <w:r w:rsidR="00F41930">
        <w:t xml:space="preserve"> </w:t>
      </w:r>
      <w:r w:rsidR="00F41930" w:rsidRPr="005C6742">
        <w:t>(Attachment A1)</w:t>
      </w:r>
      <w:r w:rsidRPr="005C6742">
        <w:t xml:space="preserve"> for Petersburg City School on April 28, 2016.  A revised division-level corrective action plan</w:t>
      </w:r>
      <w:r w:rsidR="00F41930" w:rsidRPr="005C6742">
        <w:t xml:space="preserve"> (Attachment A2)</w:t>
      </w:r>
      <w:r w:rsidRPr="005C6742">
        <w:t xml:space="preserve"> was approved by the VBOE on November 17, 2016.</w:t>
      </w:r>
    </w:p>
    <w:p w:rsidR="006F74FB" w:rsidRDefault="006F74FB" w:rsidP="006601ED">
      <w:pPr>
        <w:spacing w:line="240" w:lineRule="auto"/>
        <w:rPr>
          <w:rFonts w:ascii="New Times Roman" w:hAnsi="New Times Roman"/>
        </w:rPr>
      </w:pPr>
      <w:r w:rsidRPr="005C6742">
        <w:rPr>
          <w:rFonts w:ascii="New Times Roman" w:hAnsi="New Times Roman"/>
        </w:rPr>
        <w:t xml:space="preserve">The following chart contains an overview of school accreditation data for Petersburg City Public Schools for the current school year and the previous </w:t>
      </w:r>
      <w:r w:rsidR="00526551" w:rsidRPr="005C6742">
        <w:rPr>
          <w:rFonts w:ascii="New Times Roman" w:hAnsi="New Times Roman"/>
        </w:rPr>
        <w:t xml:space="preserve">four </w:t>
      </w:r>
      <w:r w:rsidRPr="005C6742">
        <w:rPr>
          <w:rFonts w:ascii="New Times Roman" w:hAnsi="New Times Roman"/>
        </w:rPr>
        <w:t xml:space="preserve">school years. Attachment </w:t>
      </w:r>
      <w:r w:rsidR="00C87D02" w:rsidRPr="005C6742">
        <w:t>A3</w:t>
      </w:r>
      <w:r w:rsidRPr="005C6742">
        <w:t xml:space="preserve"> contains</w:t>
      </w:r>
      <w:r w:rsidRPr="00C66A99">
        <w:t xml:space="preserve"> state and federal accountability data for each </w:t>
      </w:r>
      <w:r>
        <w:t>Petersburg</w:t>
      </w:r>
      <w:r w:rsidRPr="00C66A99">
        <w:t xml:space="preserve"> City </w:t>
      </w:r>
      <w:r>
        <w:t>s</w:t>
      </w:r>
      <w:r w:rsidRPr="00C66A99">
        <w:t>chool.</w:t>
      </w:r>
    </w:p>
    <w:tbl>
      <w:tblPr>
        <w:tblStyle w:val="TableGrid"/>
        <w:tblW w:w="10875" w:type="dxa"/>
        <w:tblInd w:w="-635" w:type="dxa"/>
        <w:tblLayout w:type="fixed"/>
        <w:tblLook w:val="04A0" w:firstRow="1" w:lastRow="0" w:firstColumn="1" w:lastColumn="0" w:noHBand="0" w:noVBand="1"/>
        <w:tblDescription w:val="Table shows accreditation data for Petersburg City Public Schools from 2014-2015 through 2017-2018"/>
      </w:tblPr>
      <w:tblGrid>
        <w:gridCol w:w="810"/>
        <w:gridCol w:w="1395"/>
        <w:gridCol w:w="1197"/>
        <w:gridCol w:w="1197"/>
        <w:gridCol w:w="1431"/>
        <w:gridCol w:w="1424"/>
        <w:gridCol w:w="1197"/>
        <w:gridCol w:w="1013"/>
        <w:gridCol w:w="1211"/>
      </w:tblGrid>
      <w:tr w:rsidR="000D628A" w:rsidRPr="000D628A" w:rsidTr="000D628A">
        <w:trPr>
          <w:trHeight w:val="888"/>
          <w:tblHeader/>
        </w:trPr>
        <w:tc>
          <w:tcPr>
            <w:tcW w:w="810"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lastRenderedPageBreak/>
              <w:t>School Year</w:t>
            </w:r>
          </w:p>
        </w:tc>
        <w:tc>
          <w:tcPr>
            <w:tcW w:w="5220" w:type="dxa"/>
            <w:gridSpan w:val="4"/>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Number of Schools Accredited with Conditions</w:t>
            </w:r>
          </w:p>
        </w:tc>
        <w:tc>
          <w:tcPr>
            <w:tcW w:w="1424"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Number of Schools Denied Accreditation</w:t>
            </w:r>
          </w:p>
        </w:tc>
        <w:tc>
          <w:tcPr>
            <w:tcW w:w="1197"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Total Number Not Fully Accredited</w:t>
            </w:r>
          </w:p>
        </w:tc>
        <w:tc>
          <w:tcPr>
            <w:tcW w:w="1013"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Total Number of Schools</w:t>
            </w:r>
          </w:p>
        </w:tc>
        <w:tc>
          <w:tcPr>
            <w:tcW w:w="1211"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Percent Not Fully Accredited</w:t>
            </w:r>
          </w:p>
        </w:tc>
      </w:tr>
      <w:tr w:rsidR="000D628A" w:rsidRPr="000D628A" w:rsidTr="000D628A">
        <w:trPr>
          <w:trHeight w:val="451"/>
          <w:tblHeader/>
        </w:trPr>
        <w:tc>
          <w:tcPr>
            <w:tcW w:w="810"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2018-2019</w:t>
            </w:r>
          </w:p>
        </w:tc>
        <w:tc>
          <w:tcPr>
            <w:tcW w:w="5220" w:type="dxa"/>
            <w:gridSpan w:val="4"/>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4</w:t>
            </w:r>
          </w:p>
        </w:tc>
        <w:tc>
          <w:tcPr>
            <w:tcW w:w="1424"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0</w:t>
            </w:r>
          </w:p>
        </w:tc>
        <w:tc>
          <w:tcPr>
            <w:tcW w:w="1197"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4</w:t>
            </w:r>
          </w:p>
        </w:tc>
        <w:tc>
          <w:tcPr>
            <w:tcW w:w="1013"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6</w:t>
            </w:r>
          </w:p>
        </w:tc>
        <w:tc>
          <w:tcPr>
            <w:tcW w:w="1211"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66.7%</w:t>
            </w:r>
          </w:p>
        </w:tc>
      </w:tr>
      <w:tr w:rsidR="000D628A" w:rsidRPr="000D628A" w:rsidTr="000D628A">
        <w:trPr>
          <w:trHeight w:val="2017"/>
          <w:tblHeader/>
        </w:trPr>
        <w:tc>
          <w:tcPr>
            <w:tcW w:w="810"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School Year</w:t>
            </w:r>
          </w:p>
        </w:tc>
        <w:tc>
          <w:tcPr>
            <w:tcW w:w="1395"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Number of Schools Not Fully Accredited First Year</w:t>
            </w:r>
          </w:p>
        </w:tc>
        <w:tc>
          <w:tcPr>
            <w:tcW w:w="1197"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Number of Schools Not Fully Accredited Second Year</w:t>
            </w:r>
          </w:p>
        </w:tc>
        <w:tc>
          <w:tcPr>
            <w:tcW w:w="1197"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Number of Schools Not Fully Accredited Third Year</w:t>
            </w:r>
          </w:p>
        </w:tc>
        <w:tc>
          <w:tcPr>
            <w:tcW w:w="1431" w:type="dxa"/>
            <w:vAlign w:val="center"/>
          </w:tcPr>
          <w:p w:rsidR="000D628A" w:rsidRPr="000D628A" w:rsidRDefault="000D628A" w:rsidP="000D628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Number of Partially Accredited Reconstituted Schools</w:t>
            </w:r>
          </w:p>
        </w:tc>
        <w:tc>
          <w:tcPr>
            <w:tcW w:w="1424"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Number of Schools Denied Accreditation</w:t>
            </w:r>
          </w:p>
        </w:tc>
        <w:tc>
          <w:tcPr>
            <w:tcW w:w="1197"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Total Number Not Fully Accredited</w:t>
            </w:r>
          </w:p>
        </w:tc>
        <w:tc>
          <w:tcPr>
            <w:tcW w:w="1013"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Total Number of Schools</w:t>
            </w:r>
          </w:p>
        </w:tc>
        <w:tc>
          <w:tcPr>
            <w:tcW w:w="1211"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Percent Not Fully Accredited</w:t>
            </w:r>
          </w:p>
        </w:tc>
      </w:tr>
      <w:tr w:rsidR="000D628A" w:rsidRPr="000D628A" w:rsidTr="000D628A">
        <w:trPr>
          <w:trHeight w:val="543"/>
        </w:trPr>
        <w:tc>
          <w:tcPr>
            <w:tcW w:w="810"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2017-2018</w:t>
            </w:r>
          </w:p>
        </w:tc>
        <w:tc>
          <w:tcPr>
            <w:tcW w:w="1395"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1</w:t>
            </w:r>
          </w:p>
        </w:tc>
        <w:tc>
          <w:tcPr>
            <w:tcW w:w="1197"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0</w:t>
            </w:r>
          </w:p>
        </w:tc>
        <w:tc>
          <w:tcPr>
            <w:tcW w:w="1197"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1</w:t>
            </w:r>
          </w:p>
        </w:tc>
        <w:tc>
          <w:tcPr>
            <w:tcW w:w="1431" w:type="dxa"/>
            <w:shd w:val="clear" w:color="auto" w:fill="auto"/>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color w:val="FF0000"/>
                <w:sz w:val="20"/>
                <w:szCs w:val="20"/>
              </w:rPr>
            </w:pPr>
            <w:r w:rsidRPr="000D628A">
              <w:rPr>
                <w:color w:val="auto"/>
                <w:sz w:val="20"/>
                <w:szCs w:val="20"/>
              </w:rPr>
              <w:t>1</w:t>
            </w:r>
          </w:p>
        </w:tc>
        <w:tc>
          <w:tcPr>
            <w:tcW w:w="1424" w:type="dxa"/>
            <w:shd w:val="clear" w:color="auto" w:fill="auto"/>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w:t>
            </w:r>
          </w:p>
        </w:tc>
        <w:tc>
          <w:tcPr>
            <w:tcW w:w="1197"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6</w:t>
            </w:r>
          </w:p>
        </w:tc>
        <w:tc>
          <w:tcPr>
            <w:tcW w:w="1013"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6</w:t>
            </w:r>
          </w:p>
        </w:tc>
        <w:tc>
          <w:tcPr>
            <w:tcW w:w="1211"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100%</w:t>
            </w:r>
          </w:p>
        </w:tc>
      </w:tr>
      <w:tr w:rsidR="000D628A" w:rsidRPr="000D628A" w:rsidTr="000D628A">
        <w:trPr>
          <w:trHeight w:val="530"/>
        </w:trPr>
        <w:tc>
          <w:tcPr>
            <w:tcW w:w="810"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2016-2017</w:t>
            </w:r>
          </w:p>
        </w:tc>
        <w:tc>
          <w:tcPr>
            <w:tcW w:w="1395"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0</w:t>
            </w:r>
          </w:p>
        </w:tc>
        <w:tc>
          <w:tcPr>
            <w:tcW w:w="1197"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1</w:t>
            </w:r>
          </w:p>
        </w:tc>
        <w:tc>
          <w:tcPr>
            <w:tcW w:w="1197"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0</w:t>
            </w:r>
          </w:p>
        </w:tc>
        <w:tc>
          <w:tcPr>
            <w:tcW w:w="1431"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w:t>
            </w:r>
          </w:p>
        </w:tc>
        <w:tc>
          <w:tcPr>
            <w:tcW w:w="1424"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1</w:t>
            </w:r>
          </w:p>
        </w:tc>
        <w:tc>
          <w:tcPr>
            <w:tcW w:w="1197"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4</w:t>
            </w:r>
          </w:p>
        </w:tc>
        <w:tc>
          <w:tcPr>
            <w:tcW w:w="1013"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6</w:t>
            </w:r>
          </w:p>
        </w:tc>
        <w:tc>
          <w:tcPr>
            <w:tcW w:w="1211"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66.7%</w:t>
            </w:r>
          </w:p>
        </w:tc>
      </w:tr>
      <w:tr w:rsidR="000D628A" w:rsidRPr="000D628A" w:rsidTr="000D628A">
        <w:trPr>
          <w:trHeight w:val="530"/>
        </w:trPr>
        <w:tc>
          <w:tcPr>
            <w:tcW w:w="810"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2015-2016</w:t>
            </w:r>
          </w:p>
        </w:tc>
        <w:tc>
          <w:tcPr>
            <w:tcW w:w="1395"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1</w:t>
            </w:r>
          </w:p>
        </w:tc>
        <w:tc>
          <w:tcPr>
            <w:tcW w:w="1197"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0</w:t>
            </w:r>
          </w:p>
        </w:tc>
        <w:tc>
          <w:tcPr>
            <w:tcW w:w="1197"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w:t>
            </w:r>
          </w:p>
        </w:tc>
        <w:tc>
          <w:tcPr>
            <w:tcW w:w="1431"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1</w:t>
            </w:r>
          </w:p>
        </w:tc>
        <w:tc>
          <w:tcPr>
            <w:tcW w:w="1424"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w:t>
            </w:r>
          </w:p>
        </w:tc>
        <w:tc>
          <w:tcPr>
            <w:tcW w:w="1197"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6</w:t>
            </w:r>
          </w:p>
        </w:tc>
        <w:tc>
          <w:tcPr>
            <w:tcW w:w="1013"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7</w:t>
            </w:r>
          </w:p>
        </w:tc>
        <w:tc>
          <w:tcPr>
            <w:tcW w:w="1211"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85.7%</w:t>
            </w:r>
          </w:p>
        </w:tc>
      </w:tr>
      <w:tr w:rsidR="000D628A" w:rsidRPr="000D628A" w:rsidTr="000D628A">
        <w:trPr>
          <w:trHeight w:val="530"/>
        </w:trPr>
        <w:tc>
          <w:tcPr>
            <w:tcW w:w="810"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2014-2015</w:t>
            </w:r>
          </w:p>
        </w:tc>
        <w:tc>
          <w:tcPr>
            <w:tcW w:w="1395"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0</w:t>
            </w:r>
          </w:p>
        </w:tc>
        <w:tc>
          <w:tcPr>
            <w:tcW w:w="1197"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w:t>
            </w:r>
          </w:p>
        </w:tc>
        <w:tc>
          <w:tcPr>
            <w:tcW w:w="1197"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1</w:t>
            </w:r>
          </w:p>
        </w:tc>
        <w:tc>
          <w:tcPr>
            <w:tcW w:w="1431"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1</w:t>
            </w:r>
          </w:p>
        </w:tc>
        <w:tc>
          <w:tcPr>
            <w:tcW w:w="1424"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w:t>
            </w:r>
          </w:p>
        </w:tc>
        <w:tc>
          <w:tcPr>
            <w:tcW w:w="1197"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6</w:t>
            </w:r>
          </w:p>
        </w:tc>
        <w:tc>
          <w:tcPr>
            <w:tcW w:w="1013"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7</w:t>
            </w:r>
          </w:p>
        </w:tc>
        <w:tc>
          <w:tcPr>
            <w:tcW w:w="1211" w:type="dxa"/>
            <w:vAlign w:val="center"/>
          </w:tcPr>
          <w:p w:rsidR="000D628A" w:rsidRPr="000D628A" w:rsidRDefault="000D628A" w:rsidP="006116A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85.7%</w:t>
            </w:r>
          </w:p>
        </w:tc>
      </w:tr>
    </w:tbl>
    <w:p w:rsidR="006F74FB" w:rsidRDefault="006F74FB" w:rsidP="006F74F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p>
    <w:p w:rsidR="00AE1A09" w:rsidRPr="003A6D0B" w:rsidRDefault="00C87D02" w:rsidP="002E59E6">
      <w:pPr>
        <w:spacing w:after="0" w:line="240" w:lineRule="auto"/>
        <w:rPr>
          <w:rFonts w:cs="Times New Roman"/>
          <w:szCs w:val="24"/>
        </w:rPr>
      </w:pPr>
      <w:r w:rsidRPr="003A6D0B">
        <w:rPr>
          <w:rFonts w:cs="Times New Roman"/>
          <w:szCs w:val="24"/>
        </w:rPr>
        <w:t xml:space="preserve">Ongoing communication between Petersburg leaders and Office of School Improvement (OSI) staff is a key factor in the collaborative work to </w:t>
      </w:r>
      <w:r w:rsidR="00AE1A09" w:rsidRPr="003A6D0B">
        <w:rPr>
          <w:rFonts w:cs="Times New Roman"/>
          <w:szCs w:val="24"/>
        </w:rPr>
        <w:t>implement</w:t>
      </w:r>
      <w:r w:rsidRPr="003A6D0B">
        <w:rPr>
          <w:rFonts w:cs="Times New Roman"/>
          <w:szCs w:val="24"/>
        </w:rPr>
        <w:t xml:space="preserve"> and monitor the </w:t>
      </w:r>
      <w:r w:rsidR="00AE1A09" w:rsidRPr="003A6D0B">
        <w:rPr>
          <w:rFonts w:cs="Times New Roman"/>
          <w:szCs w:val="24"/>
        </w:rPr>
        <w:t xml:space="preserve">MOU and the </w:t>
      </w:r>
      <w:r w:rsidRPr="003A6D0B">
        <w:rPr>
          <w:rFonts w:cs="Times New Roman"/>
          <w:szCs w:val="24"/>
        </w:rPr>
        <w:t xml:space="preserve">Corrective Action Plan. </w:t>
      </w:r>
      <w:r w:rsidR="00AE1A09" w:rsidRPr="003A6D0B">
        <w:rPr>
          <w:rFonts w:cs="Times New Roman"/>
          <w:szCs w:val="24"/>
        </w:rPr>
        <w:t>In addition to quarterly progress update meetings with Office of School Improvement staff</w:t>
      </w:r>
      <w:r w:rsidR="001007FA" w:rsidRPr="003A6D0B">
        <w:rPr>
          <w:rFonts w:cs="Times New Roman"/>
          <w:szCs w:val="24"/>
        </w:rPr>
        <w:t>, Petersburg</w:t>
      </w:r>
      <w:r w:rsidR="00AE1A09" w:rsidRPr="003A6D0B">
        <w:rPr>
          <w:rFonts w:cs="Times New Roman"/>
          <w:szCs w:val="24"/>
        </w:rPr>
        <w:t xml:space="preserve"> leaders monitor progress on the Corrective Action Plan</w:t>
      </w:r>
      <w:r w:rsidR="002E59E6" w:rsidRPr="003A6D0B">
        <w:rPr>
          <w:rFonts w:cs="Times New Roman"/>
          <w:szCs w:val="24"/>
        </w:rPr>
        <w:t xml:space="preserve"> (CAP)</w:t>
      </w:r>
      <w:r w:rsidR="00AE1A09" w:rsidRPr="003A6D0B">
        <w:rPr>
          <w:rFonts w:cs="Times New Roman"/>
          <w:szCs w:val="24"/>
        </w:rPr>
        <w:t xml:space="preserve"> and report progress to the Petersburg City School Board on a regular basis.  </w:t>
      </w:r>
      <w:r w:rsidR="00AE1A09" w:rsidRPr="005C6742">
        <w:rPr>
          <w:rFonts w:cs="Times New Roman"/>
          <w:szCs w:val="24"/>
        </w:rPr>
        <w:t>See Attachment A</w:t>
      </w:r>
      <w:r w:rsidR="005C6742">
        <w:rPr>
          <w:rFonts w:cs="Times New Roman"/>
          <w:szCs w:val="24"/>
        </w:rPr>
        <w:t xml:space="preserve">4 </w:t>
      </w:r>
      <w:r w:rsidR="00AE1A09" w:rsidRPr="003A6D0B">
        <w:rPr>
          <w:rFonts w:cs="Times New Roman"/>
          <w:szCs w:val="24"/>
        </w:rPr>
        <w:t xml:space="preserve">for the most recent progress report.  </w:t>
      </w:r>
      <w:r w:rsidR="002E59E6" w:rsidRPr="003A6D0B">
        <w:rPr>
          <w:rFonts w:cs="Times New Roman"/>
          <w:szCs w:val="24"/>
        </w:rPr>
        <w:t xml:space="preserve">Listed below </w:t>
      </w:r>
      <w:r w:rsidR="00D27393" w:rsidRPr="003A6D0B">
        <w:rPr>
          <w:rFonts w:cs="Times New Roman"/>
          <w:szCs w:val="24"/>
        </w:rPr>
        <w:t>is a sampling</w:t>
      </w:r>
      <w:r w:rsidR="002E59E6" w:rsidRPr="003A6D0B">
        <w:rPr>
          <w:rFonts w:cs="Times New Roman"/>
          <w:szCs w:val="24"/>
        </w:rPr>
        <w:t xml:space="preserve"> of areas of progress regarding the division </w:t>
      </w:r>
      <w:proofErr w:type="gramStart"/>
      <w:r w:rsidR="002E59E6" w:rsidRPr="003A6D0B">
        <w:rPr>
          <w:rFonts w:cs="Times New Roman"/>
          <w:szCs w:val="24"/>
        </w:rPr>
        <w:t>CAP.</w:t>
      </w:r>
      <w:proofErr w:type="gramEnd"/>
    </w:p>
    <w:p w:rsidR="002E59E6" w:rsidRPr="003A6D0B" w:rsidRDefault="002E59E6" w:rsidP="00CF1A03">
      <w:pPr>
        <w:pStyle w:val="ListParagraph"/>
        <w:numPr>
          <w:ilvl w:val="0"/>
          <w:numId w:val="10"/>
        </w:numPr>
        <w:spacing w:after="0" w:line="240" w:lineRule="auto"/>
        <w:rPr>
          <w:rFonts w:cs="Times New Roman"/>
          <w:szCs w:val="24"/>
        </w:rPr>
      </w:pPr>
      <w:r w:rsidRPr="003A6D0B">
        <w:rPr>
          <w:rFonts w:cs="Times New Roman"/>
          <w:szCs w:val="24"/>
        </w:rPr>
        <w:t>Written policies, procedures, and practices have been established</w:t>
      </w:r>
      <w:r w:rsidR="00D27393" w:rsidRPr="003A6D0B">
        <w:rPr>
          <w:rFonts w:cs="Times New Roman"/>
          <w:szCs w:val="24"/>
        </w:rPr>
        <w:t xml:space="preserve"> and implemented</w:t>
      </w:r>
      <w:r w:rsidRPr="003A6D0B">
        <w:rPr>
          <w:rFonts w:cs="Times New Roman"/>
          <w:szCs w:val="24"/>
        </w:rPr>
        <w:t xml:space="preserve">. </w:t>
      </w:r>
    </w:p>
    <w:p w:rsidR="002E59E6" w:rsidRPr="003A6D0B" w:rsidRDefault="00D27393" w:rsidP="00CF1A03">
      <w:pPr>
        <w:pStyle w:val="ListParagraph"/>
        <w:numPr>
          <w:ilvl w:val="0"/>
          <w:numId w:val="10"/>
        </w:numPr>
        <w:spacing w:after="0" w:line="240" w:lineRule="auto"/>
        <w:rPr>
          <w:rFonts w:cs="Times New Roman"/>
          <w:szCs w:val="24"/>
        </w:rPr>
      </w:pPr>
      <w:r w:rsidRPr="003A6D0B">
        <w:rPr>
          <w:rFonts w:cs="Times New Roman"/>
          <w:szCs w:val="24"/>
        </w:rPr>
        <w:t>Division-level leadership roles and responsibilities have been developed and communicated to appropriate staff with a monitoring process in place.</w:t>
      </w:r>
    </w:p>
    <w:p w:rsidR="00D27393" w:rsidRPr="003A6D0B" w:rsidRDefault="00D27393" w:rsidP="00CF1A03">
      <w:pPr>
        <w:pStyle w:val="ListParagraph"/>
        <w:numPr>
          <w:ilvl w:val="0"/>
          <w:numId w:val="10"/>
        </w:numPr>
        <w:spacing w:after="0" w:line="240" w:lineRule="auto"/>
        <w:rPr>
          <w:rFonts w:cs="Times New Roman"/>
          <w:szCs w:val="24"/>
        </w:rPr>
      </w:pPr>
      <w:r w:rsidRPr="003A6D0B">
        <w:rPr>
          <w:rFonts w:cs="Times New Roman"/>
          <w:szCs w:val="24"/>
        </w:rPr>
        <w:t xml:space="preserve">Instructional leadership staff have determined key instructional </w:t>
      </w:r>
      <w:r w:rsidR="00CA33F3" w:rsidRPr="003A6D0B">
        <w:rPr>
          <w:rFonts w:cs="Times New Roman"/>
          <w:szCs w:val="24"/>
        </w:rPr>
        <w:t>initiatives and</w:t>
      </w:r>
      <w:r w:rsidRPr="003A6D0B">
        <w:rPr>
          <w:rFonts w:cs="Times New Roman"/>
          <w:szCs w:val="24"/>
        </w:rPr>
        <w:t xml:space="preserve"> monitor, and provide feedback on them.  A cycle of continuous training is in place in order to ensure that newly hired staff understand these instructional initiatives. </w:t>
      </w:r>
    </w:p>
    <w:p w:rsidR="00C93746" w:rsidRPr="003A6D0B" w:rsidRDefault="00C93746" w:rsidP="00284A03">
      <w:pPr>
        <w:pStyle w:val="ListParagraph"/>
        <w:numPr>
          <w:ilvl w:val="0"/>
          <w:numId w:val="10"/>
        </w:numPr>
        <w:spacing w:after="0" w:line="240" w:lineRule="auto"/>
        <w:rPr>
          <w:rFonts w:cs="Times New Roman"/>
          <w:b/>
          <w:sz w:val="36"/>
          <w:szCs w:val="36"/>
        </w:rPr>
      </w:pPr>
      <w:r w:rsidRPr="003A6D0B">
        <w:rPr>
          <w:rFonts w:cs="Times New Roman"/>
          <w:szCs w:val="24"/>
        </w:rPr>
        <w:t>Percent of elementary students at or above grade level in reading based on the G</w:t>
      </w:r>
      <w:r w:rsidR="00284A03" w:rsidRPr="003A6D0B">
        <w:rPr>
          <w:rFonts w:cs="Times New Roman"/>
          <w:szCs w:val="24"/>
        </w:rPr>
        <w:t>uided Reading Assessment (G</w:t>
      </w:r>
      <w:r w:rsidRPr="003A6D0B">
        <w:rPr>
          <w:rFonts w:cs="Times New Roman"/>
          <w:szCs w:val="24"/>
        </w:rPr>
        <w:t>RA</w:t>
      </w:r>
      <w:r w:rsidR="00284A03" w:rsidRPr="003A6D0B">
        <w:rPr>
          <w:rFonts w:cs="Times New Roman"/>
          <w:szCs w:val="24"/>
        </w:rPr>
        <w:t>)</w:t>
      </w:r>
      <w:r w:rsidRPr="003A6D0B">
        <w:rPr>
          <w:rFonts w:cs="Times New Roman"/>
          <w:szCs w:val="24"/>
        </w:rPr>
        <w:t xml:space="preserve"> has improved from an initial 36% of elementary students in </w:t>
      </w:r>
      <w:r w:rsidR="00284A03" w:rsidRPr="003A6D0B">
        <w:rPr>
          <w:rFonts w:cs="Times New Roman"/>
          <w:szCs w:val="24"/>
        </w:rPr>
        <w:t>2015-2016 to 55% for 2017-2018.</w:t>
      </w:r>
      <w:r w:rsidRPr="003A6D0B">
        <w:rPr>
          <w:rFonts w:cs="Times New Roman"/>
          <w:szCs w:val="24"/>
        </w:rPr>
        <w:t xml:space="preserve">  </w:t>
      </w:r>
    </w:p>
    <w:p w:rsidR="00284A03" w:rsidRPr="003A6D0B" w:rsidRDefault="00284A03" w:rsidP="00963A51">
      <w:pPr>
        <w:pStyle w:val="ListParagraph"/>
        <w:numPr>
          <w:ilvl w:val="0"/>
          <w:numId w:val="10"/>
        </w:numPr>
        <w:spacing w:after="0" w:line="240" w:lineRule="auto"/>
        <w:rPr>
          <w:rFonts w:eastAsia="Times New Roman" w:cs="Times New Roman"/>
          <w:szCs w:val="24"/>
        </w:rPr>
      </w:pPr>
      <w:r w:rsidRPr="003A6D0B">
        <w:rPr>
          <w:rFonts w:eastAsia="Times New Roman" w:cs="Times New Roman"/>
          <w:color w:val="000000"/>
          <w:szCs w:val="24"/>
        </w:rPr>
        <w:t>Attendance:  Chronic absenteeism in PCPS increased</w:t>
      </w:r>
      <w:r w:rsidR="00CA33F3" w:rsidRPr="003A6D0B">
        <w:rPr>
          <w:rFonts w:eastAsia="Times New Roman" w:cs="Times New Roman"/>
          <w:color w:val="000000"/>
          <w:szCs w:val="24"/>
        </w:rPr>
        <w:t xml:space="preserve"> 7.7%</w:t>
      </w:r>
      <w:r w:rsidRPr="003A6D0B">
        <w:rPr>
          <w:rFonts w:eastAsia="Times New Roman" w:cs="Times New Roman"/>
          <w:color w:val="000000"/>
          <w:szCs w:val="24"/>
        </w:rPr>
        <w:t xml:space="preserve"> between the 2016-2017 and 2017-2018 school years.  </w:t>
      </w:r>
      <w:r w:rsidR="00AF0D80" w:rsidRPr="003A6D0B">
        <w:rPr>
          <w:rFonts w:eastAsia="Times New Roman" w:cs="Times New Roman"/>
          <w:color w:val="000000"/>
          <w:szCs w:val="24"/>
        </w:rPr>
        <w:t>The English</w:t>
      </w:r>
      <w:r w:rsidRPr="003A6D0B">
        <w:rPr>
          <w:rFonts w:eastAsia="Times New Roman" w:cs="Times New Roman"/>
          <w:color w:val="000000"/>
          <w:szCs w:val="24"/>
        </w:rPr>
        <w:t xml:space="preserve"> Language </w:t>
      </w:r>
      <w:r w:rsidR="00AF0D80" w:rsidRPr="003A6D0B">
        <w:rPr>
          <w:rFonts w:eastAsia="Times New Roman" w:cs="Times New Roman"/>
          <w:color w:val="000000"/>
          <w:szCs w:val="24"/>
        </w:rPr>
        <w:t>Learners subgroup</w:t>
      </w:r>
      <w:r w:rsidRPr="003A6D0B">
        <w:rPr>
          <w:rFonts w:eastAsia="Times New Roman" w:cs="Times New Roman"/>
          <w:color w:val="000000"/>
          <w:szCs w:val="24"/>
        </w:rPr>
        <w:t xml:space="preserve"> decreased in chronic absenteeism</w:t>
      </w:r>
      <w:r w:rsidR="00A054E4" w:rsidRPr="003A6D0B">
        <w:rPr>
          <w:rFonts w:eastAsia="Times New Roman" w:cs="Times New Roman"/>
          <w:color w:val="000000"/>
          <w:szCs w:val="24"/>
        </w:rPr>
        <w:t xml:space="preserve"> 5.8% </w:t>
      </w:r>
      <w:r w:rsidR="00CA33F3" w:rsidRPr="003A6D0B">
        <w:rPr>
          <w:rFonts w:eastAsia="Times New Roman" w:cs="Times New Roman"/>
          <w:color w:val="000000"/>
          <w:szCs w:val="24"/>
        </w:rPr>
        <w:t>and</w:t>
      </w:r>
      <w:r w:rsidRPr="003A6D0B">
        <w:rPr>
          <w:rFonts w:eastAsia="Times New Roman" w:cs="Times New Roman"/>
          <w:color w:val="000000"/>
          <w:szCs w:val="24"/>
        </w:rPr>
        <w:t xml:space="preserve"> the Students with Disabilities subgroup increased in chronic absenteeism</w:t>
      </w:r>
      <w:r w:rsidR="00AF0D80" w:rsidRPr="003A6D0B">
        <w:rPr>
          <w:rFonts w:eastAsia="Times New Roman" w:cs="Times New Roman"/>
          <w:color w:val="000000"/>
          <w:szCs w:val="24"/>
        </w:rPr>
        <w:t xml:space="preserve"> 21.9%</w:t>
      </w:r>
      <w:r w:rsidRPr="003A6D0B">
        <w:rPr>
          <w:rFonts w:eastAsia="Times New Roman" w:cs="Times New Roman"/>
          <w:color w:val="000000"/>
          <w:szCs w:val="24"/>
        </w:rPr>
        <w:t xml:space="preserve">.  Chronic absenteeism at the high school </w:t>
      </w:r>
      <w:r w:rsidRPr="003A6D0B">
        <w:rPr>
          <w:rFonts w:eastAsia="Times New Roman" w:cs="Times New Roman"/>
          <w:color w:val="000000"/>
          <w:szCs w:val="24"/>
          <w:shd w:val="clear" w:color="auto" w:fill="FFFFFF"/>
        </w:rPr>
        <w:t>decreased by</w:t>
      </w:r>
      <w:r w:rsidR="00AF0D80" w:rsidRPr="003A6D0B">
        <w:rPr>
          <w:rFonts w:eastAsia="Times New Roman" w:cs="Times New Roman"/>
          <w:color w:val="000000"/>
          <w:szCs w:val="24"/>
          <w:shd w:val="clear" w:color="auto" w:fill="FFFFFF"/>
        </w:rPr>
        <w:t xml:space="preserve"> 11%</w:t>
      </w:r>
      <w:r w:rsidRPr="003A6D0B">
        <w:rPr>
          <w:rFonts w:eastAsia="Times New Roman" w:cs="Times New Roman"/>
          <w:color w:val="000000"/>
          <w:szCs w:val="24"/>
          <w:shd w:val="clear" w:color="auto" w:fill="FFFFFF"/>
        </w:rPr>
        <w:t xml:space="preserve"> between 2016-</w:t>
      </w:r>
      <w:r w:rsidR="00AF0D80" w:rsidRPr="003A6D0B">
        <w:rPr>
          <w:rFonts w:eastAsia="Times New Roman" w:cs="Times New Roman"/>
          <w:color w:val="000000"/>
          <w:szCs w:val="24"/>
          <w:shd w:val="clear" w:color="auto" w:fill="FFFFFF"/>
        </w:rPr>
        <w:t>2017 and</w:t>
      </w:r>
      <w:r w:rsidRPr="003A6D0B">
        <w:rPr>
          <w:rFonts w:eastAsia="Times New Roman" w:cs="Times New Roman"/>
          <w:color w:val="000000"/>
          <w:szCs w:val="24"/>
          <w:shd w:val="clear" w:color="auto" w:fill="FFFFFF"/>
        </w:rPr>
        <w:t xml:space="preserve"> 2017-</w:t>
      </w:r>
      <w:r w:rsidR="00AF0D80" w:rsidRPr="003A6D0B">
        <w:rPr>
          <w:rFonts w:eastAsia="Times New Roman" w:cs="Times New Roman"/>
          <w:color w:val="000000"/>
          <w:szCs w:val="24"/>
          <w:shd w:val="clear" w:color="auto" w:fill="FFFFFF"/>
        </w:rPr>
        <w:t>2018.</w:t>
      </w:r>
      <w:r w:rsidRPr="003A6D0B">
        <w:rPr>
          <w:rFonts w:eastAsia="Times New Roman" w:cs="Times New Roman"/>
          <w:color w:val="000000"/>
          <w:szCs w:val="24"/>
          <w:shd w:val="clear" w:color="auto" w:fill="FFFFFF"/>
        </w:rPr>
        <w:t xml:space="preserve">  </w:t>
      </w:r>
    </w:p>
    <w:p w:rsidR="00284A03" w:rsidRPr="003A6D0B" w:rsidRDefault="00284A03" w:rsidP="00963A51">
      <w:pPr>
        <w:pStyle w:val="Default"/>
        <w:numPr>
          <w:ilvl w:val="0"/>
          <w:numId w:val="1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sidRPr="003A6D0B">
        <w:t xml:space="preserve">Discipline:  Overall suspensions have decreased from the 2016-2017 school </w:t>
      </w:r>
      <w:r w:rsidR="00AF0D80" w:rsidRPr="003A6D0B">
        <w:t>year to</w:t>
      </w:r>
      <w:r w:rsidRPr="003A6D0B">
        <w:t xml:space="preserve"> 2017-2018</w:t>
      </w:r>
      <w:r w:rsidR="00AF0D80" w:rsidRPr="003A6D0B">
        <w:t xml:space="preserve"> by 25.36%</w:t>
      </w:r>
      <w:r w:rsidR="00CA33F3" w:rsidRPr="003A6D0B">
        <w:t>.  S</w:t>
      </w:r>
      <w:r w:rsidR="005936F1" w:rsidRPr="003A6D0B">
        <w:t>uspension of Students w</w:t>
      </w:r>
      <w:r w:rsidRPr="003A6D0B">
        <w:t>ith Disabilities increased from</w:t>
      </w:r>
      <w:r w:rsidR="00AF0D80" w:rsidRPr="003A6D0B">
        <w:t xml:space="preserve"> 12%</w:t>
      </w:r>
      <w:r w:rsidRPr="003A6D0B">
        <w:t xml:space="preserve"> in 2016-2017 to</w:t>
      </w:r>
      <w:r w:rsidR="00AF0D80" w:rsidRPr="003A6D0B">
        <w:t xml:space="preserve"> 18%</w:t>
      </w:r>
      <w:r w:rsidRPr="003A6D0B">
        <w:t xml:space="preserve"> in 2017- 2018 at the middle and high school levels.</w:t>
      </w:r>
    </w:p>
    <w:p w:rsidR="00CF1A03" w:rsidRPr="003A6D0B" w:rsidRDefault="00CF1A03" w:rsidP="00C93746">
      <w:pPr>
        <w:pStyle w:val="ListParagraph"/>
        <w:numPr>
          <w:ilvl w:val="0"/>
          <w:numId w:val="10"/>
        </w:numPr>
        <w:spacing w:after="0" w:line="240" w:lineRule="auto"/>
        <w:rPr>
          <w:rFonts w:cs="Times New Roman"/>
          <w:szCs w:val="24"/>
        </w:rPr>
      </w:pPr>
      <w:r w:rsidRPr="003A6D0B">
        <w:rPr>
          <w:rFonts w:cs="Times New Roman"/>
          <w:szCs w:val="24"/>
        </w:rPr>
        <w:t>Staffing data:</w:t>
      </w:r>
      <w:bookmarkStart w:id="0" w:name="_GoBack"/>
      <w:bookmarkEnd w:id="0"/>
      <w:r w:rsidRPr="003A6D0B">
        <w:rPr>
          <w:rFonts w:cs="Times New Roman"/>
          <w:szCs w:val="24"/>
        </w:rPr>
        <w:t xml:space="preserve"> </w:t>
      </w:r>
    </w:p>
    <w:p w:rsidR="00963A51" w:rsidRPr="00C93746" w:rsidRDefault="00963A51" w:rsidP="00963A51">
      <w:pPr>
        <w:pStyle w:val="ListParagraph"/>
        <w:spacing w:after="0" w:line="240" w:lineRule="auto"/>
        <w:ind w:left="360"/>
        <w:rPr>
          <w:szCs w:val="24"/>
        </w:rPr>
      </w:pPr>
    </w:p>
    <w:tbl>
      <w:tblPr>
        <w:tblStyle w:val="TableGrid"/>
        <w:tblW w:w="0" w:type="auto"/>
        <w:tblLook w:val="04A0" w:firstRow="1" w:lastRow="0" w:firstColumn="1" w:lastColumn="0" w:noHBand="0" w:noVBand="1"/>
        <w:tblDescription w:val="table shows staffing data for Petersburg schools in 2017-2018 and 2018-2019"/>
      </w:tblPr>
      <w:tblGrid>
        <w:gridCol w:w="1558"/>
        <w:gridCol w:w="1558"/>
        <w:gridCol w:w="1558"/>
        <w:gridCol w:w="1558"/>
        <w:gridCol w:w="1559"/>
        <w:gridCol w:w="1559"/>
      </w:tblGrid>
      <w:tr w:rsidR="008357A4" w:rsidTr="003E4637">
        <w:trPr>
          <w:tblHeader/>
        </w:trPr>
        <w:tc>
          <w:tcPr>
            <w:tcW w:w="1558" w:type="dxa"/>
          </w:tcPr>
          <w:p w:rsidR="008357A4" w:rsidRDefault="008357A4" w:rsidP="008357A4">
            <w:pPr>
              <w:rPr>
                <w:szCs w:val="24"/>
              </w:rPr>
            </w:pPr>
          </w:p>
        </w:tc>
        <w:tc>
          <w:tcPr>
            <w:tcW w:w="1558" w:type="dxa"/>
          </w:tcPr>
          <w:p w:rsidR="008357A4" w:rsidRPr="005936F1" w:rsidRDefault="008357A4" w:rsidP="008357A4">
            <w:pPr>
              <w:rPr>
                <w:b/>
                <w:szCs w:val="24"/>
              </w:rPr>
            </w:pPr>
            <w:r w:rsidRPr="005936F1">
              <w:rPr>
                <w:b/>
                <w:szCs w:val="24"/>
              </w:rPr>
              <w:t>Long-term substitutes</w:t>
            </w:r>
            <w:r w:rsidR="00027104" w:rsidRPr="005936F1">
              <w:rPr>
                <w:b/>
                <w:szCs w:val="24"/>
              </w:rPr>
              <w:t xml:space="preserve"> #/%</w:t>
            </w:r>
          </w:p>
        </w:tc>
        <w:tc>
          <w:tcPr>
            <w:tcW w:w="1558" w:type="dxa"/>
          </w:tcPr>
          <w:p w:rsidR="008357A4" w:rsidRPr="005936F1" w:rsidRDefault="00027104" w:rsidP="00027104">
            <w:pPr>
              <w:rPr>
                <w:b/>
                <w:szCs w:val="24"/>
              </w:rPr>
            </w:pPr>
            <w:r w:rsidRPr="005936F1">
              <w:rPr>
                <w:b/>
                <w:szCs w:val="24"/>
              </w:rPr>
              <w:t>Year 1</w:t>
            </w:r>
            <w:r w:rsidR="008357A4" w:rsidRPr="005936F1">
              <w:rPr>
                <w:b/>
                <w:szCs w:val="24"/>
              </w:rPr>
              <w:t xml:space="preserve"> provisionally licensed staff</w:t>
            </w:r>
          </w:p>
          <w:p w:rsidR="00027104" w:rsidRPr="005936F1" w:rsidRDefault="00027104" w:rsidP="00027104">
            <w:pPr>
              <w:rPr>
                <w:b/>
                <w:szCs w:val="24"/>
              </w:rPr>
            </w:pPr>
            <w:r w:rsidRPr="005936F1">
              <w:rPr>
                <w:b/>
                <w:szCs w:val="24"/>
              </w:rPr>
              <w:t>#/%</w:t>
            </w:r>
          </w:p>
        </w:tc>
        <w:tc>
          <w:tcPr>
            <w:tcW w:w="1558" w:type="dxa"/>
          </w:tcPr>
          <w:p w:rsidR="008357A4" w:rsidRPr="005936F1" w:rsidRDefault="00027104" w:rsidP="00027104">
            <w:pPr>
              <w:rPr>
                <w:b/>
                <w:szCs w:val="24"/>
              </w:rPr>
            </w:pPr>
            <w:r w:rsidRPr="005936F1">
              <w:rPr>
                <w:b/>
                <w:szCs w:val="24"/>
              </w:rPr>
              <w:t>Year 2</w:t>
            </w:r>
            <w:r w:rsidR="008357A4" w:rsidRPr="005936F1">
              <w:rPr>
                <w:b/>
                <w:szCs w:val="24"/>
              </w:rPr>
              <w:t xml:space="preserve"> provisionally licensed staff</w:t>
            </w:r>
          </w:p>
          <w:p w:rsidR="00027104" w:rsidRPr="005936F1" w:rsidRDefault="00027104" w:rsidP="00027104">
            <w:pPr>
              <w:rPr>
                <w:b/>
                <w:szCs w:val="24"/>
              </w:rPr>
            </w:pPr>
            <w:r w:rsidRPr="005936F1">
              <w:rPr>
                <w:b/>
                <w:szCs w:val="24"/>
              </w:rPr>
              <w:t>#/%</w:t>
            </w:r>
          </w:p>
        </w:tc>
        <w:tc>
          <w:tcPr>
            <w:tcW w:w="1559" w:type="dxa"/>
          </w:tcPr>
          <w:p w:rsidR="008357A4" w:rsidRPr="005936F1" w:rsidRDefault="00027104" w:rsidP="00027104">
            <w:pPr>
              <w:rPr>
                <w:b/>
                <w:szCs w:val="24"/>
              </w:rPr>
            </w:pPr>
            <w:r w:rsidRPr="005936F1">
              <w:rPr>
                <w:b/>
                <w:szCs w:val="24"/>
              </w:rPr>
              <w:t>Year 3</w:t>
            </w:r>
            <w:r w:rsidR="008357A4" w:rsidRPr="005936F1">
              <w:rPr>
                <w:b/>
                <w:szCs w:val="24"/>
              </w:rPr>
              <w:t xml:space="preserve"> provisionally licensed staff</w:t>
            </w:r>
          </w:p>
          <w:p w:rsidR="00027104" w:rsidRPr="005936F1" w:rsidRDefault="00027104" w:rsidP="00027104">
            <w:pPr>
              <w:rPr>
                <w:b/>
                <w:szCs w:val="24"/>
              </w:rPr>
            </w:pPr>
            <w:r w:rsidRPr="005936F1">
              <w:rPr>
                <w:b/>
                <w:szCs w:val="24"/>
              </w:rPr>
              <w:t>#/%</w:t>
            </w:r>
          </w:p>
        </w:tc>
        <w:tc>
          <w:tcPr>
            <w:tcW w:w="1559" w:type="dxa"/>
          </w:tcPr>
          <w:p w:rsidR="008357A4" w:rsidRPr="005936F1" w:rsidRDefault="00027104" w:rsidP="00027104">
            <w:pPr>
              <w:rPr>
                <w:b/>
                <w:szCs w:val="24"/>
              </w:rPr>
            </w:pPr>
            <w:r w:rsidRPr="005936F1">
              <w:rPr>
                <w:b/>
                <w:szCs w:val="24"/>
              </w:rPr>
              <w:t xml:space="preserve">Division Total </w:t>
            </w:r>
          </w:p>
          <w:p w:rsidR="00027104" w:rsidRPr="005936F1" w:rsidRDefault="00027104" w:rsidP="00027104">
            <w:pPr>
              <w:rPr>
                <w:b/>
                <w:szCs w:val="24"/>
              </w:rPr>
            </w:pPr>
            <w:r w:rsidRPr="005936F1">
              <w:rPr>
                <w:b/>
                <w:szCs w:val="24"/>
              </w:rPr>
              <w:t>#/%</w:t>
            </w:r>
          </w:p>
        </w:tc>
      </w:tr>
      <w:tr w:rsidR="008357A4" w:rsidTr="00027104">
        <w:tc>
          <w:tcPr>
            <w:tcW w:w="1558" w:type="dxa"/>
          </w:tcPr>
          <w:p w:rsidR="008357A4" w:rsidRDefault="00027104" w:rsidP="008357A4">
            <w:pPr>
              <w:rPr>
                <w:szCs w:val="24"/>
              </w:rPr>
            </w:pPr>
            <w:r>
              <w:rPr>
                <w:szCs w:val="24"/>
              </w:rPr>
              <w:t>2017-2018</w:t>
            </w:r>
          </w:p>
        </w:tc>
        <w:tc>
          <w:tcPr>
            <w:tcW w:w="1558" w:type="dxa"/>
          </w:tcPr>
          <w:p w:rsidR="008357A4" w:rsidRDefault="00027104" w:rsidP="008357A4">
            <w:pPr>
              <w:rPr>
                <w:szCs w:val="24"/>
              </w:rPr>
            </w:pPr>
            <w:r>
              <w:rPr>
                <w:szCs w:val="24"/>
              </w:rPr>
              <w:t>12/4.5%</w:t>
            </w:r>
          </w:p>
        </w:tc>
        <w:tc>
          <w:tcPr>
            <w:tcW w:w="1558" w:type="dxa"/>
          </w:tcPr>
          <w:p w:rsidR="008357A4" w:rsidRDefault="00027104" w:rsidP="008357A4">
            <w:pPr>
              <w:rPr>
                <w:szCs w:val="24"/>
              </w:rPr>
            </w:pPr>
            <w:r>
              <w:rPr>
                <w:szCs w:val="24"/>
              </w:rPr>
              <w:t>54/20%</w:t>
            </w:r>
          </w:p>
        </w:tc>
        <w:tc>
          <w:tcPr>
            <w:tcW w:w="1558" w:type="dxa"/>
          </w:tcPr>
          <w:p w:rsidR="008357A4" w:rsidRDefault="00027104" w:rsidP="008357A4">
            <w:pPr>
              <w:rPr>
                <w:szCs w:val="24"/>
              </w:rPr>
            </w:pPr>
            <w:r>
              <w:rPr>
                <w:szCs w:val="24"/>
              </w:rPr>
              <w:t>15/5%</w:t>
            </w:r>
          </w:p>
        </w:tc>
        <w:tc>
          <w:tcPr>
            <w:tcW w:w="1559" w:type="dxa"/>
          </w:tcPr>
          <w:p w:rsidR="008357A4" w:rsidRDefault="00027104" w:rsidP="008357A4">
            <w:pPr>
              <w:rPr>
                <w:szCs w:val="24"/>
              </w:rPr>
            </w:pPr>
            <w:r>
              <w:rPr>
                <w:szCs w:val="24"/>
              </w:rPr>
              <w:t>14/5%</w:t>
            </w:r>
          </w:p>
        </w:tc>
        <w:tc>
          <w:tcPr>
            <w:tcW w:w="1559" w:type="dxa"/>
          </w:tcPr>
          <w:p w:rsidR="008357A4" w:rsidRDefault="00027104" w:rsidP="008357A4">
            <w:pPr>
              <w:rPr>
                <w:szCs w:val="24"/>
              </w:rPr>
            </w:pPr>
            <w:r>
              <w:rPr>
                <w:szCs w:val="24"/>
              </w:rPr>
              <w:t>95/32.5%</w:t>
            </w:r>
          </w:p>
        </w:tc>
      </w:tr>
      <w:tr w:rsidR="008357A4" w:rsidTr="00027104">
        <w:tc>
          <w:tcPr>
            <w:tcW w:w="1558" w:type="dxa"/>
          </w:tcPr>
          <w:p w:rsidR="008357A4" w:rsidRDefault="00027104" w:rsidP="00027104">
            <w:pPr>
              <w:rPr>
                <w:szCs w:val="24"/>
              </w:rPr>
            </w:pPr>
            <w:r>
              <w:rPr>
                <w:szCs w:val="24"/>
              </w:rPr>
              <w:t>2018-2019</w:t>
            </w:r>
          </w:p>
        </w:tc>
        <w:tc>
          <w:tcPr>
            <w:tcW w:w="1558" w:type="dxa"/>
          </w:tcPr>
          <w:p w:rsidR="008357A4" w:rsidRDefault="00C93746" w:rsidP="008357A4">
            <w:pPr>
              <w:rPr>
                <w:szCs w:val="24"/>
              </w:rPr>
            </w:pPr>
            <w:r>
              <w:rPr>
                <w:szCs w:val="24"/>
              </w:rPr>
              <w:t>13/5.4%</w:t>
            </w:r>
          </w:p>
        </w:tc>
        <w:tc>
          <w:tcPr>
            <w:tcW w:w="1558" w:type="dxa"/>
          </w:tcPr>
          <w:p w:rsidR="008357A4" w:rsidRDefault="00C93746" w:rsidP="008357A4">
            <w:pPr>
              <w:rPr>
                <w:szCs w:val="24"/>
              </w:rPr>
            </w:pPr>
            <w:r>
              <w:rPr>
                <w:szCs w:val="24"/>
              </w:rPr>
              <w:t>18/7.5%</w:t>
            </w:r>
          </w:p>
        </w:tc>
        <w:tc>
          <w:tcPr>
            <w:tcW w:w="1558" w:type="dxa"/>
          </w:tcPr>
          <w:p w:rsidR="008357A4" w:rsidRDefault="00C93746" w:rsidP="008357A4">
            <w:pPr>
              <w:rPr>
                <w:szCs w:val="24"/>
              </w:rPr>
            </w:pPr>
            <w:r>
              <w:rPr>
                <w:szCs w:val="24"/>
              </w:rPr>
              <w:t>46/19%</w:t>
            </w:r>
          </w:p>
        </w:tc>
        <w:tc>
          <w:tcPr>
            <w:tcW w:w="1559" w:type="dxa"/>
          </w:tcPr>
          <w:p w:rsidR="008357A4" w:rsidRDefault="00C93746" w:rsidP="008357A4">
            <w:pPr>
              <w:rPr>
                <w:szCs w:val="24"/>
              </w:rPr>
            </w:pPr>
            <w:r>
              <w:rPr>
                <w:szCs w:val="24"/>
              </w:rPr>
              <w:t>25/10.4%</w:t>
            </w:r>
          </w:p>
        </w:tc>
        <w:tc>
          <w:tcPr>
            <w:tcW w:w="1559" w:type="dxa"/>
          </w:tcPr>
          <w:p w:rsidR="008357A4" w:rsidRDefault="00C93746" w:rsidP="008357A4">
            <w:pPr>
              <w:rPr>
                <w:szCs w:val="24"/>
              </w:rPr>
            </w:pPr>
            <w:r>
              <w:rPr>
                <w:szCs w:val="24"/>
              </w:rPr>
              <w:t>99/42%</w:t>
            </w:r>
          </w:p>
        </w:tc>
      </w:tr>
    </w:tbl>
    <w:p w:rsidR="00CF1A03" w:rsidRDefault="00CF1A03" w:rsidP="008357A4">
      <w:pPr>
        <w:spacing w:after="0" w:line="240" w:lineRule="auto"/>
        <w:rPr>
          <w:szCs w:val="24"/>
        </w:rPr>
      </w:pPr>
    </w:p>
    <w:p w:rsidR="00963A51" w:rsidRDefault="00963A51" w:rsidP="008357A4">
      <w:pPr>
        <w:spacing w:after="0" w:line="240" w:lineRule="auto"/>
        <w:rPr>
          <w:szCs w:val="24"/>
        </w:rPr>
      </w:pPr>
    </w:p>
    <w:p w:rsidR="00A972CE" w:rsidRPr="007503E8" w:rsidRDefault="00A972CE" w:rsidP="007503E8">
      <w:pPr>
        <w:pStyle w:val="Heading2"/>
        <w:spacing w:before="0" w:after="0"/>
      </w:pPr>
      <w:r w:rsidRPr="007503E8">
        <w:t xml:space="preserve">Action Requested:  </w:t>
      </w:r>
    </w:p>
    <w:p w:rsidR="00A972CE" w:rsidRPr="007503E8" w:rsidRDefault="006601ED" w:rsidP="009F1A3D">
      <w:pPr>
        <w:spacing w:after="0" w:line="240" w:lineRule="auto"/>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6F74FB">
            <w:t>No action requested.</w:t>
          </w:r>
        </w:sdtContent>
      </w:sdt>
    </w:p>
    <w:p w:rsidR="00EC3E22" w:rsidRDefault="00EC3E22" w:rsidP="0094605A">
      <w:pPr>
        <w:pStyle w:val="Heading2"/>
        <w:spacing w:before="0" w:after="0"/>
      </w:pPr>
    </w:p>
    <w:p w:rsidR="002F30C7" w:rsidRDefault="00A972CE" w:rsidP="009F1A3D">
      <w:pPr>
        <w:pStyle w:val="Heading2"/>
        <w:spacing w:before="0" w:after="0" w:line="240" w:lineRule="auto"/>
      </w:pPr>
      <w:r w:rsidRPr="0094605A">
        <w:t>Superintendent’s Recommendation:</w:t>
      </w:r>
      <w:r w:rsidRPr="007503E8">
        <w:t xml:space="preserve"> </w:t>
      </w:r>
    </w:p>
    <w:p w:rsidR="006F74FB" w:rsidRPr="00840266" w:rsidRDefault="006F74FB" w:rsidP="006F74FB">
      <w:pPr>
        <w:autoSpaceDE w:val="0"/>
        <w:autoSpaceDN w:val="0"/>
        <w:adjustRightInd w:val="0"/>
        <w:rPr>
          <w:szCs w:val="24"/>
        </w:rPr>
      </w:pPr>
      <w:r w:rsidRPr="00331827">
        <w:rPr>
          <w:szCs w:val="24"/>
        </w:rPr>
        <w:t xml:space="preserve">The Superintendent of Public Instruction recommends that the Virginia </w:t>
      </w:r>
      <w:r>
        <w:rPr>
          <w:szCs w:val="24"/>
        </w:rPr>
        <w:t>Board of Education</w:t>
      </w:r>
      <w:r w:rsidRPr="00331827">
        <w:rPr>
          <w:szCs w:val="24"/>
        </w:rPr>
        <w:t xml:space="preserve"> </w:t>
      </w:r>
      <w:r>
        <w:rPr>
          <w:szCs w:val="24"/>
        </w:rPr>
        <w:t xml:space="preserve">receive the annual progress report for </w:t>
      </w:r>
      <w:r>
        <w:t>Petersburg City Public Schools</w:t>
      </w:r>
      <w:r>
        <w:rPr>
          <w:szCs w:val="24"/>
        </w:rPr>
        <w:t xml:space="preserve"> as required for divisions under a division-level </w:t>
      </w:r>
      <w:r w:rsidRPr="002A0EE1">
        <w:rPr>
          <w:szCs w:val="24"/>
        </w:rPr>
        <w:t>Memorandum of Understanding.</w:t>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EC3E22" w:rsidP="00F3174A">
          <w:pPr>
            <w:spacing w:after="0" w:line="240" w:lineRule="auto"/>
          </w:pPr>
          <w:r>
            <w:t>Previous review and action. Specify date and action taken below:</w:t>
          </w:r>
        </w:p>
      </w:sdtContent>
    </w:sdt>
    <w:p w:rsidR="006F74FB" w:rsidRDefault="006F74FB" w:rsidP="006F74FB">
      <w:pPr>
        <w:pStyle w:val="BodyText"/>
        <w:tabs>
          <w:tab w:val="left" w:pos="8730"/>
        </w:tabs>
        <w:ind w:left="0" w:right="650" w:firstLine="0"/>
        <w:rPr>
          <w:color w:val="000000"/>
        </w:rPr>
      </w:pPr>
      <w:r>
        <w:rPr>
          <w:color w:val="000000"/>
        </w:rPr>
        <w:t>Memoranda of Understanding for divisions under division-level review were previously approved by the Board and annual updates have been provided as required.</w:t>
      </w:r>
    </w:p>
    <w:p w:rsidR="0020239B" w:rsidRPr="007503E8" w:rsidRDefault="0020239B" w:rsidP="007503E8">
      <w:pPr>
        <w:spacing w:after="0"/>
      </w:pPr>
    </w:p>
    <w:p w:rsidR="009F1A3D" w:rsidRDefault="009F1A3D" w:rsidP="009F1A3D">
      <w:pPr>
        <w:spacing w:after="0" w:line="240" w:lineRule="auto"/>
        <w:rPr>
          <w:rStyle w:val="Heading2Char"/>
        </w:rPr>
      </w:pPr>
      <w:r>
        <w:rPr>
          <w:rStyle w:val="Heading2Char"/>
        </w:rPr>
        <w:t>Background Information and Statutory Authority:</w:t>
      </w:r>
    </w:p>
    <w:p w:rsidR="00F41930" w:rsidRDefault="00F41930" w:rsidP="006601ED">
      <w:pPr>
        <w:pStyle w:val="NoSpacing"/>
        <w:rPr>
          <w:shd w:val="clear" w:color="auto" w:fill="FFFFFF"/>
        </w:rPr>
      </w:pPr>
      <w:r>
        <w:rPr>
          <w:shd w:val="clear" w:color="auto" w:fill="FFFFFF"/>
        </w:rPr>
        <w:t>This Board item relates to Priority 1 of the </w:t>
      </w:r>
      <w:r>
        <w:rPr>
          <w:i/>
          <w:iCs/>
          <w:shd w:val="clear" w:color="auto" w:fill="FFFFFF"/>
        </w:rPr>
        <w:t>Virginia Board of Education Comprehensive Plan: 2018-2023</w:t>
      </w:r>
      <w:r>
        <w:rPr>
          <w:shd w:val="clear" w:color="auto" w:fill="FFFFFF"/>
        </w:rPr>
        <w:t> to provide high-quality, effective learning environments for all students.</w:t>
      </w:r>
    </w:p>
    <w:p w:rsidR="00CA33F3" w:rsidRDefault="00CA33F3" w:rsidP="006601ED">
      <w:pPr>
        <w:pStyle w:val="NoSpacing"/>
        <w:rPr>
          <w:w w:val="105"/>
        </w:rPr>
      </w:pPr>
    </w:p>
    <w:p w:rsidR="00E0168C" w:rsidRDefault="00E0168C" w:rsidP="006601ED">
      <w:pPr>
        <w:spacing w:after="0" w:line="240" w:lineRule="auto"/>
        <w:rPr>
          <w:rStyle w:val="Heading2Char"/>
          <w:b w:val="0"/>
        </w:rPr>
      </w:pPr>
      <w:r>
        <w:rPr>
          <w:rStyle w:val="Heading2Char"/>
          <w:b w:val="0"/>
        </w:rPr>
        <w:t xml:space="preserve">The 2018 Standards of Quality (SOQ) at </w:t>
      </w:r>
      <w:r w:rsidRPr="00D441D3">
        <w:t>§ 22</w:t>
      </w:r>
      <w:r>
        <w:t xml:space="preserve">.1-253.13:3.A </w:t>
      </w:r>
      <w:r>
        <w:rPr>
          <w:rStyle w:val="Heading2Char"/>
          <w:b w:val="0"/>
        </w:rPr>
        <w:t>provides:</w:t>
      </w:r>
    </w:p>
    <w:p w:rsidR="00E0168C" w:rsidRDefault="00E0168C" w:rsidP="006601ED">
      <w:pPr>
        <w:spacing w:before="240" w:line="240" w:lineRule="auto"/>
      </w:pPr>
      <w:r>
        <w:t>. . . Each local school board shall maintain schools that are fully accredited pursuant to the standards for accreditation as prescribed by the Board of Education. Each local school board shall report the accreditation status of all schools in the local school division annually in public session. Within the time specified by the Board of Education, each school board shall submit corrective action plans for any schools within its school division that have been designated as not meeting the standards as approved by the Board.</w:t>
      </w:r>
    </w:p>
    <w:p w:rsidR="00963A51" w:rsidRPr="00E0168C" w:rsidRDefault="00E0168C" w:rsidP="006601ED">
      <w:pPr>
        <w:spacing w:before="240" w:line="240" w:lineRule="auto"/>
        <w:rPr>
          <w:rStyle w:val="Heading2Char"/>
          <w:rFonts w:eastAsiaTheme="minorHAnsi" w:cstheme="minorBidi"/>
          <w:b w:val="0"/>
          <w:bCs w:val="0"/>
          <w:szCs w:val="22"/>
        </w:rPr>
      </w:pPr>
      <w:r>
        <w:t xml:space="preserve">When the Board of Education determines through the school academic review process that the failure of schools within a division to achieve full accreditation status is related to division-level failure to implement the Standards of Quality or other division-level action or inaction, the Board may require a division-level academic review. After the conduct of such review and within the time specified by the Board of Education, each school board shall submit to the Board for approval a corrective action plan, consistent with criteria established by the Board setting forth specific actions and a schedule designed to ensure that schools within its school division achieve full accreditation status. If the Board determines that the proposed corrective action plan is not sufficient to enable all schools within the division to achieve full accreditation, the Board may return the plan to the local school board with directions to submit an amended plan pursuant to Board guidance. Such corrective action plans shall be part of the relevant school division's comprehensive plan pursuant to § </w:t>
      </w:r>
      <w:hyperlink r:id="rId10" w:history="1">
        <w:r>
          <w:rPr>
            <w:rStyle w:val="Hyperlink"/>
          </w:rPr>
          <w:t>22.1-253.13:6</w:t>
        </w:r>
      </w:hyperlink>
      <w:r>
        <w:t>.</w:t>
      </w:r>
    </w:p>
    <w:p w:rsidR="006F74FB" w:rsidRPr="00131489" w:rsidRDefault="00963A51" w:rsidP="006601ED">
      <w:pPr>
        <w:spacing w:after="0" w:line="240" w:lineRule="auto"/>
        <w:rPr>
          <w:szCs w:val="24"/>
        </w:rPr>
      </w:pPr>
      <w:r>
        <w:rPr>
          <w:rStyle w:val="Heading2Char"/>
        </w:rPr>
        <w:t>T</w:t>
      </w:r>
      <w:r w:rsidR="00123E2E" w:rsidRPr="007503E8">
        <w:rPr>
          <w:rStyle w:val="Heading2Char"/>
        </w:rPr>
        <w:t>imetable for Further Review/Action</w:t>
      </w:r>
      <w:proofErr w:type="gramStart"/>
      <w:r w:rsidR="00123E2E" w:rsidRPr="007503E8">
        <w:rPr>
          <w:rStyle w:val="Heading2Char"/>
        </w:rPr>
        <w:t>:</w:t>
      </w:r>
      <w:proofErr w:type="gramEnd"/>
      <w:r w:rsidR="00D9096B" w:rsidRPr="007503E8">
        <w:br/>
      </w:r>
      <w:r w:rsidR="006F74FB" w:rsidRPr="00131489">
        <w:t>The superintendent</w:t>
      </w:r>
      <w:r w:rsidR="006F74FB">
        <w:t xml:space="preserve"> </w:t>
      </w:r>
      <w:r w:rsidR="006F74FB" w:rsidRPr="00131489">
        <w:t xml:space="preserve">of </w:t>
      </w:r>
      <w:r w:rsidR="006F74FB">
        <w:t>Petersburg City Public Schools</w:t>
      </w:r>
      <w:r w:rsidR="006F74FB" w:rsidRPr="00131489">
        <w:t xml:space="preserve"> </w:t>
      </w:r>
      <w:r w:rsidR="0095451D">
        <w:t>meets</w:t>
      </w:r>
      <w:r w:rsidR="006F74FB" w:rsidRPr="00131489">
        <w:t xml:space="preserve"> with the Director of the Department’s Office of School Improvement</w:t>
      </w:r>
      <w:r w:rsidR="00BB24BC">
        <w:t xml:space="preserve"> (OSI)</w:t>
      </w:r>
      <w:r w:rsidR="006F74FB" w:rsidRPr="00131489">
        <w:t xml:space="preserve"> </w:t>
      </w:r>
      <w:r w:rsidR="006F74FB">
        <w:t xml:space="preserve">quarterly or more frequently </w:t>
      </w:r>
      <w:r w:rsidR="006F74FB" w:rsidRPr="00131489">
        <w:t xml:space="preserve">to discuss progress in implementing the </w:t>
      </w:r>
      <w:r w:rsidR="006F74FB" w:rsidRPr="00AE0A7A">
        <w:t xml:space="preserve">corrective action plan </w:t>
      </w:r>
      <w:r w:rsidR="006F74FB" w:rsidRPr="00131489">
        <w:t>and to determine required next steps.</w:t>
      </w:r>
      <w:r w:rsidR="006F74FB" w:rsidRPr="00182D47">
        <w:t xml:space="preserve"> </w:t>
      </w:r>
      <w:r w:rsidR="0095051E">
        <w:t xml:space="preserve">The Petersburg Chief Academic Officer and the </w:t>
      </w:r>
      <w:r w:rsidR="0043783F">
        <w:t>OSI Director have a weekly phone call for updates and discussion of ongoing work in Petersburg schools.</w:t>
      </w:r>
    </w:p>
    <w:p w:rsidR="00963A51" w:rsidRDefault="00963A51" w:rsidP="006601ED">
      <w:pPr>
        <w:spacing w:after="0" w:line="240" w:lineRule="auto"/>
        <w:rPr>
          <w:b/>
        </w:rPr>
      </w:pPr>
    </w:p>
    <w:p w:rsidR="009B109E" w:rsidRPr="009F1A3D" w:rsidRDefault="000E009D" w:rsidP="006601ED">
      <w:pPr>
        <w:spacing w:after="0" w:line="240" w:lineRule="auto"/>
        <w:rPr>
          <w:b/>
        </w:rPr>
      </w:pPr>
      <w:r w:rsidRPr="009F1A3D">
        <w:rPr>
          <w:b/>
        </w:rPr>
        <w:t xml:space="preserve">Impact on Fiscal and Human Resources: </w:t>
      </w:r>
    </w:p>
    <w:p w:rsidR="00E565A7" w:rsidRDefault="00E565A7" w:rsidP="006601ED">
      <w:pPr>
        <w:spacing w:after="0" w:line="240" w:lineRule="auto"/>
        <w:outlineLvl w:val="0"/>
        <w:rPr>
          <w:szCs w:val="24"/>
        </w:rPr>
      </w:pPr>
      <w:r>
        <w:rPr>
          <w:szCs w:val="24"/>
        </w:rPr>
        <w:t xml:space="preserve">The Office of School Improvement will use the academic review budget to fund contractors for the technical assistance sessions and any additional technical assistance. </w:t>
      </w:r>
    </w:p>
    <w:p w:rsidR="0020239B" w:rsidRPr="0020239B" w:rsidRDefault="0020239B" w:rsidP="00963A51">
      <w:pPr>
        <w:spacing w:after="0" w:line="240" w:lineRule="auto"/>
      </w:pPr>
    </w:p>
    <w:sectPr w:rsidR="0020239B" w:rsidRPr="0020239B" w:rsidSect="000E009D">
      <w:footerReference w:type="default" r:id="rId11"/>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6601ED">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A3A69"/>
    <w:multiLevelType w:val="hybridMultilevel"/>
    <w:tmpl w:val="61042E42"/>
    <w:lvl w:ilvl="0" w:tplc="FA08BF5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B04ED2"/>
    <w:multiLevelType w:val="hybridMultilevel"/>
    <w:tmpl w:val="624A21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2596A"/>
    <w:multiLevelType w:val="hybridMultilevel"/>
    <w:tmpl w:val="9A14654C"/>
    <w:lvl w:ilvl="0" w:tplc="F086CA1E">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145796"/>
    <w:multiLevelType w:val="hybridMultilevel"/>
    <w:tmpl w:val="BE4875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332E34"/>
    <w:multiLevelType w:val="hybridMultilevel"/>
    <w:tmpl w:val="D778C4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4"/>
  </w:num>
  <w:num w:numId="6">
    <w:abstractNumId w:val="2"/>
  </w:num>
  <w:num w:numId="7">
    <w:abstractNumId w:val="1"/>
  </w:num>
  <w:num w:numId="8">
    <w:abstractNumId w:val="6"/>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27104"/>
    <w:rsid w:val="0004026A"/>
    <w:rsid w:val="000D590D"/>
    <w:rsid w:val="000D628A"/>
    <w:rsid w:val="000E009D"/>
    <w:rsid w:val="001007FA"/>
    <w:rsid w:val="00123E2E"/>
    <w:rsid w:val="00163DF8"/>
    <w:rsid w:val="0020239B"/>
    <w:rsid w:val="00284A03"/>
    <w:rsid w:val="002B3C3A"/>
    <w:rsid w:val="002E59E6"/>
    <w:rsid w:val="002F0703"/>
    <w:rsid w:val="002F30C7"/>
    <w:rsid w:val="003730EB"/>
    <w:rsid w:val="003A6D0B"/>
    <w:rsid w:val="003E15B5"/>
    <w:rsid w:val="003E4637"/>
    <w:rsid w:val="0043783F"/>
    <w:rsid w:val="00444713"/>
    <w:rsid w:val="00492AE7"/>
    <w:rsid w:val="00526551"/>
    <w:rsid w:val="00530462"/>
    <w:rsid w:val="00530B66"/>
    <w:rsid w:val="005357C5"/>
    <w:rsid w:val="00537153"/>
    <w:rsid w:val="005936F1"/>
    <w:rsid w:val="005C021D"/>
    <w:rsid w:val="005C6742"/>
    <w:rsid w:val="0065013E"/>
    <w:rsid w:val="006601ED"/>
    <w:rsid w:val="00670C11"/>
    <w:rsid w:val="00680D3D"/>
    <w:rsid w:val="006B38CC"/>
    <w:rsid w:val="006F74FB"/>
    <w:rsid w:val="007503E8"/>
    <w:rsid w:val="007D435A"/>
    <w:rsid w:val="00805AF1"/>
    <w:rsid w:val="008357A4"/>
    <w:rsid w:val="00892D0F"/>
    <w:rsid w:val="0094605A"/>
    <w:rsid w:val="0095051E"/>
    <w:rsid w:val="0095451D"/>
    <w:rsid w:val="00963A51"/>
    <w:rsid w:val="009A45BC"/>
    <w:rsid w:val="009B109E"/>
    <w:rsid w:val="009B7A05"/>
    <w:rsid w:val="009E38E5"/>
    <w:rsid w:val="009F1A3D"/>
    <w:rsid w:val="00A054E4"/>
    <w:rsid w:val="00A209F4"/>
    <w:rsid w:val="00A47F8C"/>
    <w:rsid w:val="00A91173"/>
    <w:rsid w:val="00A972CE"/>
    <w:rsid w:val="00AC0C95"/>
    <w:rsid w:val="00AE1A09"/>
    <w:rsid w:val="00AF0D80"/>
    <w:rsid w:val="00BA7FAF"/>
    <w:rsid w:val="00BB24BC"/>
    <w:rsid w:val="00C11F53"/>
    <w:rsid w:val="00C42ECA"/>
    <w:rsid w:val="00C87D02"/>
    <w:rsid w:val="00C93746"/>
    <w:rsid w:val="00CA33F3"/>
    <w:rsid w:val="00CB02F3"/>
    <w:rsid w:val="00CF1A03"/>
    <w:rsid w:val="00CF70CB"/>
    <w:rsid w:val="00D27393"/>
    <w:rsid w:val="00D674FB"/>
    <w:rsid w:val="00D9096B"/>
    <w:rsid w:val="00DF70B8"/>
    <w:rsid w:val="00E0168C"/>
    <w:rsid w:val="00E31E00"/>
    <w:rsid w:val="00E565A7"/>
    <w:rsid w:val="00EC3E22"/>
    <w:rsid w:val="00EC7CF9"/>
    <w:rsid w:val="00F3174A"/>
    <w:rsid w:val="00F41930"/>
    <w:rsid w:val="00F72C75"/>
    <w:rsid w:val="00F73A1B"/>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Default">
    <w:name w:val="Default"/>
    <w:rsid w:val="006B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1"/>
    <w:qFormat/>
    <w:rsid w:val="009F1A3D"/>
    <w:pPr>
      <w:widowControl w:val="0"/>
      <w:spacing w:after="0" w:line="240" w:lineRule="auto"/>
      <w:ind w:left="822" w:hanging="360"/>
    </w:pPr>
    <w:rPr>
      <w:rFonts w:eastAsia="Times New Roman"/>
      <w:szCs w:val="24"/>
    </w:rPr>
  </w:style>
  <w:style w:type="character" w:customStyle="1" w:styleId="BodyTextChar">
    <w:name w:val="Body Text Char"/>
    <w:basedOn w:val="DefaultParagraphFont"/>
    <w:link w:val="BodyText"/>
    <w:uiPriority w:val="1"/>
    <w:rsid w:val="009F1A3D"/>
    <w:rPr>
      <w:rFonts w:ascii="Times New Roman" w:eastAsia="Times New Roman" w:hAnsi="Times New Roman"/>
      <w:sz w:val="24"/>
      <w:szCs w:val="24"/>
    </w:rPr>
  </w:style>
  <w:style w:type="paragraph" w:styleId="NormalWeb">
    <w:name w:val="Normal (Web)"/>
    <w:basedOn w:val="Normal"/>
    <w:uiPriority w:val="99"/>
    <w:rsid w:val="007D435A"/>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6F74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Default">
    <w:name w:val="Default"/>
    <w:rsid w:val="006B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1"/>
    <w:qFormat/>
    <w:rsid w:val="009F1A3D"/>
    <w:pPr>
      <w:widowControl w:val="0"/>
      <w:spacing w:after="0" w:line="240" w:lineRule="auto"/>
      <w:ind w:left="822" w:hanging="360"/>
    </w:pPr>
    <w:rPr>
      <w:rFonts w:eastAsia="Times New Roman"/>
      <w:szCs w:val="24"/>
    </w:rPr>
  </w:style>
  <w:style w:type="character" w:customStyle="1" w:styleId="BodyTextChar">
    <w:name w:val="Body Text Char"/>
    <w:basedOn w:val="DefaultParagraphFont"/>
    <w:link w:val="BodyText"/>
    <w:uiPriority w:val="1"/>
    <w:rsid w:val="009F1A3D"/>
    <w:rPr>
      <w:rFonts w:ascii="Times New Roman" w:eastAsia="Times New Roman" w:hAnsi="Times New Roman"/>
      <w:sz w:val="24"/>
      <w:szCs w:val="24"/>
    </w:rPr>
  </w:style>
  <w:style w:type="paragraph" w:styleId="NormalWeb">
    <w:name w:val="Normal (Web)"/>
    <w:basedOn w:val="Normal"/>
    <w:uiPriority w:val="99"/>
    <w:rsid w:val="007D435A"/>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6F74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64549">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aw.lis.virginia.gov/vacode/22.1-253.13: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39640-827F-4576-8326-ED5C5C04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6858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boilerplate petersburg annual progress</vt:lpstr>
    </vt:vector>
  </TitlesOfParts>
  <Company>Virginia IT Infrastructure Partnership</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boilerplate petersburg annual progress</dc:title>
  <dc:creator>Emily V. Webb (DOE)</dc:creator>
  <cp:lastModifiedBy>Emily V. Webb (DOE) </cp:lastModifiedBy>
  <cp:revision>2</cp:revision>
  <cp:lastPrinted>2017-10-02T20:08:00Z</cp:lastPrinted>
  <dcterms:created xsi:type="dcterms:W3CDTF">2018-10-05T15:23:00Z</dcterms:created>
  <dcterms:modified xsi:type="dcterms:W3CDTF">2018-10-05T15:23:00Z</dcterms:modified>
</cp:coreProperties>
</file>