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476BB" w14:textId="3FEFCEB6" w:rsidR="00944A46" w:rsidRDefault="00551457" w:rsidP="00551457">
      <w:pPr>
        <w:pStyle w:val="BodyText"/>
        <w:spacing w:before="1"/>
        <w:jc w:val="center"/>
        <w:rPr>
          <w:rFonts w:asciiTheme="minorHAnsi" w:hAnsiTheme="minorHAnsi" w:cstheme="minorHAnsi"/>
          <w:b/>
        </w:rPr>
      </w:pPr>
      <w:r>
        <w:rPr>
          <w:rFonts w:asciiTheme="minorHAnsi" w:hAnsiTheme="minorHAnsi" w:cstheme="minorHAnsi"/>
          <w:b/>
        </w:rPr>
        <w:t>College, Career and Civic Readiness Index (CCCRI)</w:t>
      </w:r>
    </w:p>
    <w:p w14:paraId="1B55F4F6" w14:textId="5FAD9386" w:rsidR="00551457" w:rsidRDefault="00551457" w:rsidP="00551457">
      <w:pPr>
        <w:pStyle w:val="BodyText"/>
        <w:spacing w:before="1"/>
        <w:jc w:val="center"/>
        <w:rPr>
          <w:rFonts w:asciiTheme="minorHAnsi" w:hAnsiTheme="minorHAnsi" w:cstheme="minorHAnsi"/>
          <w:b/>
        </w:rPr>
      </w:pPr>
      <w:r>
        <w:rPr>
          <w:rFonts w:asciiTheme="minorHAnsi" w:hAnsiTheme="minorHAnsi" w:cstheme="minorHAnsi"/>
          <w:b/>
        </w:rPr>
        <w:t>Frequently Asked Questions</w:t>
      </w:r>
    </w:p>
    <w:p w14:paraId="306102B9" w14:textId="77777777" w:rsidR="00551457" w:rsidRPr="00551457" w:rsidRDefault="00551457">
      <w:pPr>
        <w:pStyle w:val="BodyText"/>
        <w:spacing w:before="1"/>
        <w:rPr>
          <w:rFonts w:asciiTheme="minorHAnsi" w:hAnsiTheme="minorHAnsi" w:cstheme="minorHAnsi"/>
          <w:b/>
        </w:rPr>
      </w:pPr>
    </w:p>
    <w:p w14:paraId="27E24595" w14:textId="77777777" w:rsidR="00551457" w:rsidRPr="00AF7F7E" w:rsidRDefault="00551457" w:rsidP="00551457">
      <w:pPr>
        <w:ind w:right="995"/>
        <w:rPr>
          <w:rFonts w:asciiTheme="minorHAnsi" w:hAnsiTheme="minorHAnsi" w:cstheme="minorHAnsi"/>
          <w:b/>
          <w:u w:val="single"/>
        </w:rPr>
      </w:pPr>
      <w:r w:rsidRPr="00AF7F7E">
        <w:rPr>
          <w:rFonts w:asciiTheme="minorHAnsi" w:hAnsiTheme="minorHAnsi" w:cstheme="minorHAnsi"/>
          <w:b/>
          <w:u w:val="single"/>
        </w:rPr>
        <w:t>Accountability</w:t>
      </w:r>
    </w:p>
    <w:p w14:paraId="25F861AD" w14:textId="363B9C27" w:rsidR="00944A46" w:rsidRPr="00AF7F7E" w:rsidRDefault="00D84B37" w:rsidP="00551457">
      <w:pPr>
        <w:ind w:right="995"/>
        <w:rPr>
          <w:rFonts w:asciiTheme="minorHAnsi" w:hAnsiTheme="minorHAnsi" w:cstheme="minorHAnsi"/>
          <w:b/>
        </w:rPr>
      </w:pPr>
      <w:r w:rsidRPr="00AF7F7E">
        <w:rPr>
          <w:rFonts w:asciiTheme="minorHAnsi" w:hAnsiTheme="minorHAnsi" w:cstheme="minorHAnsi"/>
          <w:b/>
        </w:rPr>
        <w:t xml:space="preserve">How can a </w:t>
      </w:r>
      <w:r w:rsidR="00551457" w:rsidRPr="00AF7F7E">
        <w:rPr>
          <w:rFonts w:asciiTheme="minorHAnsi" w:hAnsiTheme="minorHAnsi" w:cstheme="minorHAnsi"/>
          <w:b/>
        </w:rPr>
        <w:t>school receive credit</w:t>
      </w:r>
      <w:r w:rsidRPr="00AF7F7E">
        <w:rPr>
          <w:rFonts w:asciiTheme="minorHAnsi" w:hAnsiTheme="minorHAnsi" w:cstheme="minorHAnsi"/>
          <w:b/>
        </w:rPr>
        <w:t xml:space="preserve"> for the College, Career, and Civics Readiness Indicator (CCCRI)?</w:t>
      </w:r>
    </w:p>
    <w:p w14:paraId="4379D6B5" w14:textId="74004074" w:rsidR="00944A46" w:rsidRPr="00AF7F7E" w:rsidRDefault="00551457" w:rsidP="00551457">
      <w:pPr>
        <w:pStyle w:val="BodyText"/>
        <w:ind w:right="360"/>
        <w:rPr>
          <w:rFonts w:asciiTheme="minorHAnsi" w:hAnsiTheme="minorHAnsi" w:cstheme="minorHAnsi"/>
          <w:i/>
          <w:iCs/>
          <w:sz w:val="22"/>
          <w:szCs w:val="22"/>
        </w:rPr>
      </w:pPr>
      <w:r w:rsidRPr="00AF7F7E">
        <w:rPr>
          <w:rFonts w:asciiTheme="minorHAnsi" w:hAnsiTheme="minorHAnsi" w:cstheme="minorHAnsi"/>
          <w:i/>
          <w:iCs/>
          <w:sz w:val="22"/>
          <w:szCs w:val="22"/>
        </w:rPr>
        <w:t xml:space="preserve">The CCCRI is an unduplicated count of students in the on-time graduation cohort (OGR) who meet at least one of five criteria. </w:t>
      </w:r>
      <w:r w:rsidR="00D84B37" w:rsidRPr="00AF7F7E">
        <w:rPr>
          <w:rFonts w:asciiTheme="minorHAnsi" w:hAnsiTheme="minorHAnsi" w:cstheme="minorHAnsi"/>
          <w:i/>
          <w:iCs/>
          <w:sz w:val="22"/>
          <w:szCs w:val="22"/>
        </w:rPr>
        <w:t>The</w:t>
      </w:r>
      <w:r w:rsidRPr="00AF7F7E">
        <w:rPr>
          <w:rFonts w:asciiTheme="minorHAnsi" w:hAnsiTheme="minorHAnsi" w:cstheme="minorHAnsi"/>
          <w:i/>
          <w:iCs/>
          <w:sz w:val="22"/>
          <w:szCs w:val="22"/>
        </w:rPr>
        <w:t xml:space="preserve"> qualifying criteria</w:t>
      </w:r>
      <w:r w:rsidR="00D84B37" w:rsidRPr="00AF7F7E">
        <w:rPr>
          <w:rFonts w:asciiTheme="minorHAnsi" w:hAnsiTheme="minorHAnsi" w:cstheme="minorHAnsi"/>
          <w:i/>
          <w:iCs/>
          <w:sz w:val="22"/>
          <w:szCs w:val="22"/>
        </w:rPr>
        <w:t xml:space="preserve"> are:</w:t>
      </w:r>
    </w:p>
    <w:p w14:paraId="342EA4F0" w14:textId="189CB08D" w:rsidR="00944A46" w:rsidRPr="00AF7F7E" w:rsidRDefault="00D84B37" w:rsidP="00551457">
      <w:pPr>
        <w:pStyle w:val="ListParagraph"/>
        <w:numPr>
          <w:ilvl w:val="0"/>
          <w:numId w:val="2"/>
        </w:numPr>
        <w:tabs>
          <w:tab w:val="left" w:pos="1100"/>
        </w:tabs>
        <w:ind w:right="775"/>
        <w:rPr>
          <w:rFonts w:asciiTheme="minorHAnsi" w:hAnsiTheme="minorHAnsi" w:cstheme="minorHAnsi"/>
          <w:i/>
          <w:iCs/>
        </w:rPr>
      </w:pPr>
      <w:r w:rsidRPr="00AF7F7E">
        <w:rPr>
          <w:rFonts w:asciiTheme="minorHAnsi" w:hAnsiTheme="minorHAnsi" w:cstheme="minorHAnsi"/>
          <w:i/>
          <w:iCs/>
        </w:rPr>
        <w:t>Credit for an Advanced Placement (AP), International Baccalaureate (IB), Cambridge,</w:t>
      </w:r>
      <w:r w:rsidRPr="00AF7F7E">
        <w:rPr>
          <w:rFonts w:asciiTheme="minorHAnsi" w:hAnsiTheme="minorHAnsi" w:cstheme="minorHAnsi"/>
          <w:i/>
          <w:iCs/>
          <w:spacing w:val="-23"/>
        </w:rPr>
        <w:t xml:space="preserve"> </w:t>
      </w:r>
      <w:r w:rsidRPr="00AF7F7E">
        <w:rPr>
          <w:rFonts w:asciiTheme="minorHAnsi" w:hAnsiTheme="minorHAnsi" w:cstheme="minorHAnsi"/>
          <w:i/>
          <w:iCs/>
        </w:rPr>
        <w:t xml:space="preserve">or </w:t>
      </w:r>
      <w:r w:rsidR="00551457" w:rsidRPr="00AF7F7E">
        <w:rPr>
          <w:rFonts w:asciiTheme="minorHAnsi" w:hAnsiTheme="minorHAnsi" w:cstheme="minorHAnsi"/>
          <w:i/>
          <w:iCs/>
        </w:rPr>
        <w:t xml:space="preserve">a </w:t>
      </w:r>
      <w:r w:rsidRPr="00AF7F7E">
        <w:rPr>
          <w:rFonts w:asciiTheme="minorHAnsi" w:hAnsiTheme="minorHAnsi" w:cstheme="minorHAnsi"/>
          <w:i/>
          <w:iCs/>
        </w:rPr>
        <w:t>dual enrollment</w:t>
      </w:r>
      <w:r w:rsidRPr="00AF7F7E">
        <w:rPr>
          <w:rFonts w:asciiTheme="minorHAnsi" w:hAnsiTheme="minorHAnsi" w:cstheme="minorHAnsi"/>
          <w:i/>
          <w:iCs/>
          <w:spacing w:val="-1"/>
        </w:rPr>
        <w:t xml:space="preserve"> </w:t>
      </w:r>
      <w:r w:rsidRPr="00AF7F7E">
        <w:rPr>
          <w:rFonts w:asciiTheme="minorHAnsi" w:hAnsiTheme="minorHAnsi" w:cstheme="minorHAnsi"/>
          <w:i/>
          <w:iCs/>
        </w:rPr>
        <w:t>course</w:t>
      </w:r>
      <w:r w:rsidR="00551457" w:rsidRPr="00AF7F7E">
        <w:rPr>
          <w:rFonts w:asciiTheme="minorHAnsi" w:hAnsiTheme="minorHAnsi" w:cstheme="minorHAnsi"/>
          <w:i/>
          <w:iCs/>
        </w:rPr>
        <w:t>;</w:t>
      </w:r>
    </w:p>
    <w:p w14:paraId="7C7A5417" w14:textId="38BDBBB3" w:rsidR="00944A46" w:rsidRPr="00AF7F7E" w:rsidRDefault="00D84B37" w:rsidP="00551457">
      <w:pPr>
        <w:pStyle w:val="ListParagraph"/>
        <w:numPr>
          <w:ilvl w:val="0"/>
          <w:numId w:val="2"/>
        </w:numPr>
        <w:tabs>
          <w:tab w:val="left" w:pos="1100"/>
        </w:tabs>
        <w:ind w:right="861"/>
        <w:rPr>
          <w:rFonts w:asciiTheme="minorHAnsi" w:hAnsiTheme="minorHAnsi" w:cstheme="minorHAnsi"/>
          <w:i/>
          <w:iCs/>
        </w:rPr>
      </w:pPr>
      <w:r w:rsidRPr="00AF7F7E">
        <w:rPr>
          <w:rFonts w:asciiTheme="minorHAnsi" w:hAnsiTheme="minorHAnsi" w:cstheme="minorHAnsi"/>
          <w:i/>
          <w:iCs/>
        </w:rPr>
        <w:t xml:space="preserve">Career and Technical Education (CTE) finisher (earned two or more standard credits for a state-approved sequence in a CTE program) </w:t>
      </w:r>
      <w:r w:rsidR="00551457" w:rsidRPr="00AF7F7E">
        <w:rPr>
          <w:rFonts w:asciiTheme="minorHAnsi" w:hAnsiTheme="minorHAnsi" w:cstheme="minorHAnsi"/>
          <w:i/>
          <w:iCs/>
        </w:rPr>
        <w:t xml:space="preserve">and earning </w:t>
      </w:r>
      <w:r w:rsidRPr="00AF7F7E">
        <w:rPr>
          <w:rFonts w:asciiTheme="minorHAnsi" w:hAnsiTheme="minorHAnsi" w:cstheme="minorHAnsi"/>
          <w:i/>
          <w:iCs/>
        </w:rPr>
        <w:t>a CTE</w:t>
      </w:r>
      <w:r w:rsidRPr="00AF7F7E">
        <w:rPr>
          <w:rFonts w:asciiTheme="minorHAnsi" w:hAnsiTheme="minorHAnsi" w:cstheme="minorHAnsi"/>
          <w:i/>
          <w:iCs/>
          <w:spacing w:val="-6"/>
        </w:rPr>
        <w:t xml:space="preserve"> </w:t>
      </w:r>
      <w:r w:rsidRPr="00AF7F7E">
        <w:rPr>
          <w:rFonts w:asciiTheme="minorHAnsi" w:hAnsiTheme="minorHAnsi" w:cstheme="minorHAnsi"/>
          <w:i/>
          <w:iCs/>
        </w:rPr>
        <w:t>credential</w:t>
      </w:r>
      <w:r w:rsidR="00551457" w:rsidRPr="00AF7F7E">
        <w:rPr>
          <w:rFonts w:asciiTheme="minorHAnsi" w:hAnsiTheme="minorHAnsi" w:cstheme="minorHAnsi"/>
          <w:i/>
          <w:iCs/>
        </w:rPr>
        <w:t>;</w:t>
      </w:r>
    </w:p>
    <w:p w14:paraId="7BF8EC70" w14:textId="00342B25" w:rsidR="00944A46" w:rsidRPr="00AF7F7E" w:rsidRDefault="00D84B37" w:rsidP="00551457">
      <w:pPr>
        <w:pStyle w:val="ListParagraph"/>
        <w:numPr>
          <w:ilvl w:val="0"/>
          <w:numId w:val="2"/>
        </w:numPr>
        <w:tabs>
          <w:tab w:val="left" w:pos="1100"/>
        </w:tabs>
        <w:rPr>
          <w:rFonts w:asciiTheme="minorHAnsi" w:hAnsiTheme="minorHAnsi" w:cstheme="minorHAnsi"/>
          <w:i/>
          <w:iCs/>
        </w:rPr>
      </w:pPr>
      <w:r w:rsidRPr="00AF7F7E">
        <w:rPr>
          <w:rFonts w:asciiTheme="minorHAnsi" w:hAnsiTheme="minorHAnsi" w:cstheme="minorHAnsi"/>
          <w:i/>
          <w:iCs/>
        </w:rPr>
        <w:t>Completion of a Work-Based Learning (WBL) experience</w:t>
      </w:r>
      <w:r w:rsidR="00551457" w:rsidRPr="00AF7F7E">
        <w:rPr>
          <w:rFonts w:asciiTheme="minorHAnsi" w:hAnsiTheme="minorHAnsi" w:cstheme="minorHAnsi"/>
          <w:i/>
          <w:iCs/>
        </w:rPr>
        <w:t>;</w:t>
      </w:r>
      <w:r w:rsidRPr="00AF7F7E">
        <w:rPr>
          <w:rFonts w:asciiTheme="minorHAnsi" w:hAnsiTheme="minorHAnsi" w:cstheme="minorHAnsi"/>
          <w:i/>
          <w:iCs/>
          <w:spacing w:val="-4"/>
        </w:rPr>
        <w:t xml:space="preserve"> </w:t>
      </w:r>
    </w:p>
    <w:p w14:paraId="6FC712D7" w14:textId="77777777" w:rsidR="00551457" w:rsidRPr="00AF7F7E" w:rsidRDefault="00D84B37" w:rsidP="00551457">
      <w:pPr>
        <w:pStyle w:val="ListParagraph"/>
        <w:numPr>
          <w:ilvl w:val="0"/>
          <w:numId w:val="2"/>
        </w:numPr>
        <w:tabs>
          <w:tab w:val="left" w:pos="1100"/>
        </w:tabs>
        <w:rPr>
          <w:rFonts w:asciiTheme="minorHAnsi" w:hAnsiTheme="minorHAnsi" w:cstheme="minorHAnsi"/>
          <w:i/>
          <w:iCs/>
        </w:rPr>
      </w:pPr>
      <w:r w:rsidRPr="00AF7F7E">
        <w:rPr>
          <w:rFonts w:asciiTheme="minorHAnsi" w:hAnsiTheme="minorHAnsi" w:cstheme="minorHAnsi"/>
          <w:i/>
          <w:iCs/>
        </w:rPr>
        <w:t>Completion of a service-learning</w:t>
      </w:r>
      <w:r w:rsidRPr="00AF7F7E">
        <w:rPr>
          <w:rFonts w:asciiTheme="minorHAnsi" w:hAnsiTheme="minorHAnsi" w:cstheme="minorHAnsi"/>
          <w:i/>
          <w:iCs/>
          <w:spacing w:val="-4"/>
        </w:rPr>
        <w:t xml:space="preserve"> </w:t>
      </w:r>
      <w:r w:rsidRPr="00AF7F7E">
        <w:rPr>
          <w:rFonts w:asciiTheme="minorHAnsi" w:hAnsiTheme="minorHAnsi" w:cstheme="minorHAnsi"/>
          <w:i/>
          <w:iCs/>
        </w:rPr>
        <w:t>experience</w:t>
      </w:r>
      <w:r w:rsidR="00551457" w:rsidRPr="00AF7F7E">
        <w:rPr>
          <w:rFonts w:asciiTheme="minorHAnsi" w:hAnsiTheme="minorHAnsi" w:cstheme="minorHAnsi"/>
          <w:i/>
          <w:iCs/>
        </w:rPr>
        <w:t>; or</w:t>
      </w:r>
    </w:p>
    <w:p w14:paraId="17938F15" w14:textId="5D8DEF15" w:rsidR="00944A46" w:rsidRPr="00AF7F7E" w:rsidRDefault="00551457" w:rsidP="00551457">
      <w:pPr>
        <w:pStyle w:val="ListParagraph"/>
        <w:numPr>
          <w:ilvl w:val="0"/>
          <w:numId w:val="2"/>
        </w:numPr>
        <w:tabs>
          <w:tab w:val="left" w:pos="1100"/>
        </w:tabs>
        <w:rPr>
          <w:rFonts w:asciiTheme="minorHAnsi" w:hAnsiTheme="minorHAnsi" w:cstheme="minorHAnsi"/>
          <w:i/>
          <w:iCs/>
        </w:rPr>
      </w:pPr>
      <w:r w:rsidRPr="00AF7F7E">
        <w:rPr>
          <w:rFonts w:asciiTheme="minorHAnsi" w:hAnsiTheme="minorHAnsi" w:cstheme="minorHAnsi"/>
          <w:i/>
          <w:iCs/>
        </w:rPr>
        <w:t>Completion of three JROTC Courses and earning a CTE credential</w:t>
      </w:r>
      <w:r w:rsidR="00D84B37" w:rsidRPr="00AF7F7E">
        <w:rPr>
          <w:rFonts w:asciiTheme="minorHAnsi" w:hAnsiTheme="minorHAnsi" w:cstheme="minorHAnsi"/>
          <w:i/>
          <w:iCs/>
        </w:rPr>
        <w:t>.</w:t>
      </w:r>
    </w:p>
    <w:p w14:paraId="789838F1" w14:textId="77777777" w:rsidR="00551457" w:rsidRPr="00AF7F7E" w:rsidRDefault="00551457" w:rsidP="00551457">
      <w:pPr>
        <w:pStyle w:val="Heading2"/>
        <w:spacing w:before="1"/>
        <w:ind w:left="0" w:right="1414"/>
        <w:rPr>
          <w:rFonts w:asciiTheme="minorHAnsi" w:hAnsiTheme="minorHAnsi" w:cstheme="minorHAnsi"/>
          <w:sz w:val="22"/>
          <w:szCs w:val="22"/>
        </w:rPr>
      </w:pPr>
    </w:p>
    <w:p w14:paraId="27625BA7" w14:textId="77777777" w:rsidR="00631FB8" w:rsidRDefault="00551457" w:rsidP="00551457">
      <w:pPr>
        <w:pStyle w:val="BodyText"/>
        <w:spacing w:before="7"/>
        <w:rPr>
          <w:rFonts w:asciiTheme="minorHAnsi" w:hAnsiTheme="minorHAnsi" w:cstheme="minorHAnsi"/>
          <w:b/>
          <w:bCs/>
          <w:sz w:val="22"/>
          <w:szCs w:val="22"/>
        </w:rPr>
      </w:pPr>
      <w:r w:rsidRPr="00AF7F7E">
        <w:rPr>
          <w:rFonts w:asciiTheme="minorHAnsi" w:hAnsiTheme="minorHAnsi" w:cstheme="minorHAnsi"/>
          <w:b/>
          <w:bCs/>
          <w:sz w:val="22"/>
          <w:szCs w:val="22"/>
        </w:rPr>
        <w:t xml:space="preserve">Will </w:t>
      </w:r>
      <w:r w:rsidRPr="00AF7F7E">
        <w:rPr>
          <w:rFonts w:asciiTheme="minorHAnsi" w:hAnsiTheme="minorHAnsi" w:cstheme="minorHAnsi"/>
          <w:b/>
          <w:bCs/>
          <w:sz w:val="22"/>
          <w:szCs w:val="22"/>
        </w:rPr>
        <w:t xml:space="preserve">a student count multiple times for the CCCRI if they meet the requirements for multiple components </w:t>
      </w:r>
    </w:p>
    <w:p w14:paraId="317A434D" w14:textId="7B23CC52" w:rsidR="00944A46" w:rsidRPr="00AF7F7E" w:rsidRDefault="00551457" w:rsidP="00551457">
      <w:pPr>
        <w:pStyle w:val="BodyText"/>
        <w:spacing w:before="7"/>
        <w:rPr>
          <w:rFonts w:asciiTheme="minorHAnsi" w:hAnsiTheme="minorHAnsi" w:cstheme="minorHAnsi"/>
          <w:b/>
          <w:bCs/>
          <w:sz w:val="22"/>
          <w:szCs w:val="22"/>
        </w:rPr>
      </w:pPr>
      <w:r w:rsidRPr="00AF7F7E">
        <w:rPr>
          <w:rFonts w:asciiTheme="minorHAnsi" w:hAnsiTheme="minorHAnsi" w:cstheme="minorHAnsi"/>
          <w:b/>
          <w:bCs/>
          <w:sz w:val="22"/>
          <w:szCs w:val="22"/>
        </w:rPr>
        <w:t>(e.g., a student completes an advanced placement course and a work-based learning experience)?</w:t>
      </w:r>
    </w:p>
    <w:p w14:paraId="3A74AEAD" w14:textId="69E6B3E6" w:rsidR="00944A46" w:rsidRPr="00AF7F7E" w:rsidRDefault="00D84B37" w:rsidP="00551457">
      <w:pPr>
        <w:pStyle w:val="BodyText"/>
        <w:spacing w:before="1"/>
        <w:rPr>
          <w:rFonts w:asciiTheme="minorHAnsi" w:hAnsiTheme="minorHAnsi" w:cstheme="minorHAnsi"/>
          <w:i/>
          <w:iCs/>
          <w:sz w:val="22"/>
          <w:szCs w:val="22"/>
        </w:rPr>
      </w:pPr>
      <w:r w:rsidRPr="00AF7F7E">
        <w:rPr>
          <w:rFonts w:asciiTheme="minorHAnsi" w:hAnsiTheme="minorHAnsi" w:cstheme="minorHAnsi"/>
          <w:i/>
          <w:iCs/>
          <w:sz w:val="22"/>
          <w:szCs w:val="22"/>
        </w:rPr>
        <w:t xml:space="preserve">No, each student only counts once in the numerator and </w:t>
      </w:r>
      <w:r w:rsidR="00551457" w:rsidRPr="00AF7F7E">
        <w:rPr>
          <w:rFonts w:asciiTheme="minorHAnsi" w:hAnsiTheme="minorHAnsi" w:cstheme="minorHAnsi"/>
          <w:i/>
          <w:iCs/>
          <w:sz w:val="22"/>
          <w:szCs w:val="22"/>
        </w:rPr>
        <w:t xml:space="preserve">once in the </w:t>
      </w:r>
      <w:r w:rsidRPr="00AF7F7E">
        <w:rPr>
          <w:rFonts w:asciiTheme="minorHAnsi" w:hAnsiTheme="minorHAnsi" w:cstheme="minorHAnsi"/>
          <w:i/>
          <w:iCs/>
          <w:sz w:val="22"/>
          <w:szCs w:val="22"/>
        </w:rPr>
        <w:t>denominator.</w:t>
      </w:r>
    </w:p>
    <w:p w14:paraId="295DE430" w14:textId="77777777" w:rsidR="00944A46" w:rsidRPr="00AF7F7E" w:rsidRDefault="00944A46" w:rsidP="00551457">
      <w:pPr>
        <w:pStyle w:val="BodyText"/>
        <w:rPr>
          <w:rFonts w:asciiTheme="minorHAnsi" w:hAnsiTheme="minorHAnsi" w:cstheme="minorHAnsi"/>
          <w:sz w:val="22"/>
          <w:szCs w:val="22"/>
        </w:rPr>
      </w:pPr>
    </w:p>
    <w:p w14:paraId="610238BB" w14:textId="751D4D95" w:rsidR="00944A46" w:rsidRPr="00AF7F7E" w:rsidRDefault="00551457" w:rsidP="00551457">
      <w:pPr>
        <w:pStyle w:val="BodyText"/>
        <w:spacing w:before="9"/>
        <w:rPr>
          <w:rFonts w:asciiTheme="minorHAnsi" w:hAnsiTheme="minorHAnsi" w:cstheme="minorHAnsi"/>
          <w:b/>
          <w:bCs/>
          <w:sz w:val="22"/>
          <w:szCs w:val="22"/>
        </w:rPr>
      </w:pPr>
      <w:r w:rsidRPr="00AF7F7E">
        <w:rPr>
          <w:rFonts w:asciiTheme="minorHAnsi" w:hAnsiTheme="minorHAnsi" w:cstheme="minorHAnsi"/>
          <w:b/>
          <w:bCs/>
          <w:sz w:val="22"/>
          <w:szCs w:val="22"/>
        </w:rPr>
        <w:t xml:space="preserve">Is </w:t>
      </w:r>
      <w:r w:rsidRPr="00AF7F7E">
        <w:rPr>
          <w:rFonts w:asciiTheme="minorHAnsi" w:hAnsiTheme="minorHAnsi" w:cstheme="minorHAnsi"/>
          <w:b/>
          <w:bCs/>
          <w:sz w:val="22"/>
          <w:szCs w:val="22"/>
        </w:rPr>
        <w:t>there data available that shows what components within the CCCRI a student has earned?</w:t>
      </w:r>
    </w:p>
    <w:p w14:paraId="2D4750BA" w14:textId="689688F4" w:rsidR="00944A46" w:rsidRPr="00AF7F7E" w:rsidRDefault="00551457" w:rsidP="00551457">
      <w:pPr>
        <w:pStyle w:val="BodyText"/>
        <w:ind w:right="1022"/>
        <w:rPr>
          <w:rFonts w:asciiTheme="minorHAnsi" w:hAnsiTheme="minorHAnsi" w:cstheme="minorHAnsi"/>
          <w:i/>
          <w:iCs/>
          <w:sz w:val="22"/>
          <w:szCs w:val="22"/>
        </w:rPr>
      </w:pPr>
      <w:r w:rsidRPr="00AF7F7E">
        <w:rPr>
          <w:rFonts w:asciiTheme="minorHAnsi" w:hAnsiTheme="minorHAnsi" w:cstheme="minorHAnsi"/>
          <w:i/>
          <w:iCs/>
          <w:sz w:val="22"/>
          <w:szCs w:val="22"/>
        </w:rPr>
        <w:t>T</w:t>
      </w:r>
      <w:r w:rsidR="00D84B37" w:rsidRPr="00AF7F7E">
        <w:rPr>
          <w:rFonts w:asciiTheme="minorHAnsi" w:hAnsiTheme="minorHAnsi" w:cstheme="minorHAnsi"/>
          <w:i/>
          <w:iCs/>
          <w:sz w:val="22"/>
          <w:szCs w:val="22"/>
        </w:rPr>
        <w:t xml:space="preserve">he OGR Cohort List report </w:t>
      </w:r>
      <w:r w:rsidRPr="00AF7F7E">
        <w:rPr>
          <w:rFonts w:asciiTheme="minorHAnsi" w:hAnsiTheme="minorHAnsi" w:cstheme="minorHAnsi"/>
          <w:i/>
          <w:iCs/>
          <w:sz w:val="22"/>
          <w:szCs w:val="22"/>
        </w:rPr>
        <w:t>indicates</w:t>
      </w:r>
      <w:r w:rsidR="00D84B37" w:rsidRPr="00AF7F7E">
        <w:rPr>
          <w:rFonts w:asciiTheme="minorHAnsi" w:hAnsiTheme="minorHAnsi" w:cstheme="minorHAnsi"/>
          <w:i/>
          <w:iCs/>
          <w:sz w:val="22"/>
          <w:szCs w:val="22"/>
        </w:rPr>
        <w:t xml:space="preserve"> what CCCRI components each student has earned within a given school and cohort. This report can be accessed from the On-time Graduation Rate (OGR) application in the Single Sign-on for Web Systems portal (SSWS).</w:t>
      </w:r>
    </w:p>
    <w:p w14:paraId="23F0AD8A" w14:textId="77777777" w:rsidR="00944A46" w:rsidRPr="00AF7F7E" w:rsidRDefault="00944A46" w:rsidP="00551457">
      <w:pPr>
        <w:pStyle w:val="BodyText"/>
        <w:spacing w:before="3"/>
        <w:rPr>
          <w:rFonts w:asciiTheme="minorHAnsi" w:hAnsiTheme="minorHAnsi" w:cstheme="minorHAnsi"/>
          <w:sz w:val="22"/>
          <w:szCs w:val="22"/>
        </w:rPr>
      </w:pPr>
    </w:p>
    <w:p w14:paraId="669A55FD" w14:textId="1FA3745A" w:rsidR="00944A46" w:rsidRPr="00AF7F7E" w:rsidRDefault="00551457" w:rsidP="00551457">
      <w:pPr>
        <w:pStyle w:val="BodyText"/>
        <w:spacing w:before="10"/>
        <w:rPr>
          <w:rFonts w:asciiTheme="minorHAnsi" w:hAnsiTheme="minorHAnsi" w:cstheme="minorHAnsi"/>
          <w:b/>
          <w:sz w:val="22"/>
          <w:szCs w:val="22"/>
        </w:rPr>
      </w:pPr>
      <w:r w:rsidRPr="00AF7F7E">
        <w:rPr>
          <w:rFonts w:asciiTheme="minorHAnsi" w:hAnsiTheme="minorHAnsi" w:cstheme="minorHAnsi"/>
          <w:b/>
          <w:sz w:val="22"/>
          <w:szCs w:val="22"/>
        </w:rPr>
        <w:t>When will the CCCRI count in school accreditation calculations?</w:t>
      </w:r>
    </w:p>
    <w:p w14:paraId="5CB358AA" w14:textId="0ADCB51A" w:rsidR="00551457" w:rsidRPr="00AF7F7E" w:rsidRDefault="00551457" w:rsidP="00551457">
      <w:pPr>
        <w:pStyle w:val="BodyText"/>
        <w:spacing w:before="10"/>
        <w:rPr>
          <w:rFonts w:asciiTheme="minorHAnsi" w:hAnsiTheme="minorHAnsi" w:cstheme="minorHAnsi"/>
          <w:bCs/>
          <w:i/>
          <w:iCs/>
          <w:sz w:val="22"/>
          <w:szCs w:val="22"/>
        </w:rPr>
      </w:pPr>
      <w:r w:rsidRPr="00AF7F7E">
        <w:rPr>
          <w:rFonts w:asciiTheme="minorHAnsi" w:hAnsiTheme="minorHAnsi" w:cstheme="minorHAnsi"/>
          <w:bCs/>
          <w:i/>
          <w:iCs/>
          <w:sz w:val="22"/>
          <w:szCs w:val="22"/>
        </w:rPr>
        <w:t>The CCCRI will become active with the 2023-2024 accreditation year, which is based on 2022-2023 school year data.</w:t>
      </w:r>
    </w:p>
    <w:p w14:paraId="3D169513" w14:textId="77777777" w:rsidR="00551457" w:rsidRPr="00AF7F7E" w:rsidRDefault="00551457" w:rsidP="00551457">
      <w:pPr>
        <w:rPr>
          <w:rFonts w:asciiTheme="minorHAnsi" w:hAnsiTheme="minorHAnsi" w:cstheme="minorHAnsi"/>
          <w:b/>
        </w:rPr>
      </w:pPr>
    </w:p>
    <w:p w14:paraId="687D80F7" w14:textId="77777777" w:rsidR="005924C6" w:rsidRPr="00AF7F7E" w:rsidRDefault="005924C6" w:rsidP="00551457">
      <w:pPr>
        <w:rPr>
          <w:rFonts w:asciiTheme="minorHAnsi" w:hAnsiTheme="minorHAnsi" w:cstheme="minorHAnsi"/>
          <w:b/>
          <w:u w:val="single"/>
        </w:rPr>
      </w:pPr>
      <w:r w:rsidRPr="00AF7F7E">
        <w:rPr>
          <w:rFonts w:asciiTheme="minorHAnsi" w:hAnsiTheme="minorHAnsi" w:cstheme="minorHAnsi"/>
          <w:b/>
          <w:u w:val="single"/>
        </w:rPr>
        <w:t>Work-Based Learning</w:t>
      </w:r>
    </w:p>
    <w:p w14:paraId="49E1A739" w14:textId="3B743151" w:rsidR="00944A46" w:rsidRPr="00AF7F7E" w:rsidRDefault="00AF7F7E" w:rsidP="00551457">
      <w:pPr>
        <w:rPr>
          <w:rFonts w:asciiTheme="minorHAnsi" w:hAnsiTheme="minorHAnsi" w:cstheme="minorHAnsi"/>
          <w:b/>
        </w:rPr>
      </w:pPr>
      <w:r>
        <w:rPr>
          <w:rFonts w:asciiTheme="minorHAnsi" w:hAnsiTheme="minorHAnsi" w:cstheme="minorHAnsi"/>
          <w:b/>
        </w:rPr>
        <w:t xml:space="preserve">How are </w:t>
      </w:r>
      <w:r w:rsidR="00D84B37" w:rsidRPr="00AF7F7E">
        <w:rPr>
          <w:rFonts w:asciiTheme="minorHAnsi" w:hAnsiTheme="minorHAnsi" w:cstheme="minorHAnsi"/>
          <w:b/>
        </w:rPr>
        <w:t xml:space="preserve">WBL experiences </w:t>
      </w:r>
      <w:r>
        <w:rPr>
          <w:rFonts w:asciiTheme="minorHAnsi" w:hAnsiTheme="minorHAnsi" w:cstheme="minorHAnsi"/>
          <w:b/>
        </w:rPr>
        <w:t>used to meet requirements for</w:t>
      </w:r>
      <w:r w:rsidR="00D84B37" w:rsidRPr="00AF7F7E">
        <w:rPr>
          <w:rFonts w:asciiTheme="minorHAnsi" w:hAnsiTheme="minorHAnsi" w:cstheme="minorHAnsi"/>
          <w:b/>
        </w:rPr>
        <w:t xml:space="preserve"> CTE, School Accreditation, and Graduation?</w:t>
      </w:r>
    </w:p>
    <w:p w14:paraId="50F44E04" w14:textId="369151E0" w:rsidR="00944A46" w:rsidRPr="00AF7F7E" w:rsidRDefault="00D84B37" w:rsidP="00551457">
      <w:pPr>
        <w:pStyle w:val="BodyText"/>
        <w:rPr>
          <w:rFonts w:asciiTheme="minorHAnsi" w:hAnsiTheme="minorHAnsi" w:cstheme="minorHAnsi"/>
          <w:i/>
          <w:iCs/>
          <w:sz w:val="22"/>
          <w:szCs w:val="22"/>
        </w:rPr>
      </w:pPr>
      <w:r w:rsidRPr="00AF7F7E">
        <w:rPr>
          <w:rFonts w:asciiTheme="minorHAnsi" w:hAnsiTheme="minorHAnsi" w:cstheme="minorHAnsi"/>
          <w:i/>
          <w:iCs/>
          <w:sz w:val="22"/>
          <w:szCs w:val="22"/>
        </w:rPr>
        <w:t>WBL is described and used in slightly different ways for these three areas:</w:t>
      </w:r>
    </w:p>
    <w:p w14:paraId="7FFECD92" w14:textId="6D215A04" w:rsidR="005924C6" w:rsidRPr="00AF7F7E" w:rsidRDefault="005924C6" w:rsidP="00551457">
      <w:pPr>
        <w:pStyle w:val="BodyText"/>
        <w:rPr>
          <w:rFonts w:asciiTheme="minorHAnsi" w:hAnsiTheme="minorHAnsi" w:cstheme="minorHAnsi"/>
          <w:i/>
          <w:iCs/>
          <w:sz w:val="22"/>
          <w:szCs w:val="22"/>
        </w:rPr>
      </w:pPr>
    </w:p>
    <w:tbl>
      <w:tblPr>
        <w:tblStyle w:val="TableGrid"/>
        <w:tblW w:w="0" w:type="auto"/>
        <w:tblLook w:val="04A0" w:firstRow="1" w:lastRow="0" w:firstColumn="1" w:lastColumn="0" w:noHBand="0" w:noVBand="1"/>
      </w:tblPr>
      <w:tblGrid>
        <w:gridCol w:w="2199"/>
        <w:gridCol w:w="3819"/>
        <w:gridCol w:w="4072"/>
      </w:tblGrid>
      <w:tr w:rsidR="005924C6" w:rsidRPr="00AF7F7E" w14:paraId="5E6A9DE9" w14:textId="77777777" w:rsidTr="005924C6">
        <w:tc>
          <w:tcPr>
            <w:tcW w:w="2245" w:type="dxa"/>
          </w:tcPr>
          <w:p w14:paraId="6BDBEC78" w14:textId="00C0C6F0" w:rsidR="005924C6" w:rsidRPr="00AF7F7E" w:rsidRDefault="005924C6" w:rsidP="00551457">
            <w:pPr>
              <w:pStyle w:val="BodyText"/>
              <w:rPr>
                <w:rFonts w:asciiTheme="minorHAnsi" w:hAnsiTheme="minorHAnsi" w:cstheme="minorHAnsi"/>
                <w:b/>
                <w:bCs/>
                <w:i/>
                <w:iCs/>
                <w:sz w:val="22"/>
                <w:szCs w:val="22"/>
              </w:rPr>
            </w:pPr>
            <w:r w:rsidRPr="00AF7F7E">
              <w:rPr>
                <w:rFonts w:asciiTheme="minorHAnsi" w:hAnsiTheme="minorHAnsi" w:cstheme="minorHAnsi"/>
                <w:b/>
                <w:bCs/>
                <w:i/>
                <w:iCs/>
                <w:sz w:val="22"/>
                <w:szCs w:val="22"/>
              </w:rPr>
              <w:t>Area</w:t>
            </w:r>
          </w:p>
        </w:tc>
        <w:tc>
          <w:tcPr>
            <w:tcW w:w="3960" w:type="dxa"/>
          </w:tcPr>
          <w:p w14:paraId="6F0B9853" w14:textId="4331B4BB" w:rsidR="005924C6" w:rsidRPr="00AF7F7E" w:rsidRDefault="005924C6" w:rsidP="00551457">
            <w:pPr>
              <w:pStyle w:val="BodyText"/>
              <w:rPr>
                <w:rFonts w:asciiTheme="minorHAnsi" w:hAnsiTheme="minorHAnsi" w:cstheme="minorHAnsi"/>
                <w:b/>
                <w:bCs/>
                <w:i/>
                <w:iCs/>
                <w:sz w:val="22"/>
                <w:szCs w:val="22"/>
              </w:rPr>
            </w:pPr>
            <w:r w:rsidRPr="00AF7F7E">
              <w:rPr>
                <w:rFonts w:asciiTheme="minorHAnsi" w:hAnsiTheme="minorHAnsi" w:cstheme="minorHAnsi"/>
                <w:b/>
                <w:bCs/>
                <w:i/>
                <w:iCs/>
                <w:sz w:val="22"/>
                <w:szCs w:val="22"/>
              </w:rPr>
              <w:t xml:space="preserve">Source </w:t>
            </w:r>
          </w:p>
        </w:tc>
        <w:tc>
          <w:tcPr>
            <w:tcW w:w="4225" w:type="dxa"/>
          </w:tcPr>
          <w:p w14:paraId="2ADF952D" w14:textId="7EA36F12" w:rsidR="005924C6" w:rsidRPr="00AF7F7E" w:rsidRDefault="005924C6" w:rsidP="00551457">
            <w:pPr>
              <w:pStyle w:val="BodyText"/>
              <w:rPr>
                <w:rFonts w:asciiTheme="minorHAnsi" w:hAnsiTheme="minorHAnsi" w:cstheme="minorHAnsi"/>
                <w:b/>
                <w:bCs/>
                <w:i/>
                <w:iCs/>
                <w:sz w:val="22"/>
                <w:szCs w:val="22"/>
              </w:rPr>
            </w:pPr>
            <w:r w:rsidRPr="00AF7F7E">
              <w:rPr>
                <w:rFonts w:asciiTheme="minorHAnsi" w:hAnsiTheme="minorHAnsi" w:cstheme="minorHAnsi"/>
                <w:b/>
                <w:bCs/>
                <w:i/>
                <w:iCs/>
                <w:sz w:val="22"/>
                <w:szCs w:val="22"/>
              </w:rPr>
              <w:t>Use</w:t>
            </w:r>
          </w:p>
        </w:tc>
      </w:tr>
      <w:tr w:rsidR="005924C6" w:rsidRPr="00AF7F7E" w14:paraId="77459491" w14:textId="77777777" w:rsidTr="005924C6">
        <w:tc>
          <w:tcPr>
            <w:tcW w:w="2245" w:type="dxa"/>
          </w:tcPr>
          <w:p w14:paraId="3B38E72F" w14:textId="6B115D40" w:rsidR="005924C6" w:rsidRPr="00AF7F7E" w:rsidRDefault="005924C6" w:rsidP="005924C6">
            <w:pPr>
              <w:pStyle w:val="BodyText"/>
              <w:rPr>
                <w:rFonts w:asciiTheme="minorHAnsi" w:hAnsiTheme="minorHAnsi" w:cstheme="minorHAnsi"/>
                <w:i/>
                <w:iCs/>
                <w:sz w:val="22"/>
                <w:szCs w:val="22"/>
              </w:rPr>
            </w:pPr>
            <w:r w:rsidRPr="00AF7F7E">
              <w:rPr>
                <w:rFonts w:asciiTheme="minorHAnsi" w:hAnsiTheme="minorHAnsi" w:cstheme="minorHAnsi"/>
                <w:i/>
                <w:iCs/>
                <w:sz w:val="22"/>
                <w:szCs w:val="22"/>
              </w:rPr>
              <w:t>CTE</w:t>
            </w:r>
          </w:p>
        </w:tc>
        <w:tc>
          <w:tcPr>
            <w:tcW w:w="3960" w:type="dxa"/>
          </w:tcPr>
          <w:p w14:paraId="1109D35D" w14:textId="143351C5" w:rsidR="005924C6" w:rsidRPr="00AF7F7E" w:rsidRDefault="005924C6" w:rsidP="005924C6">
            <w:pPr>
              <w:pStyle w:val="BodyText"/>
              <w:rPr>
                <w:rFonts w:asciiTheme="minorHAnsi" w:hAnsiTheme="minorHAnsi" w:cstheme="minorHAnsi"/>
                <w:i/>
                <w:iCs/>
                <w:sz w:val="22"/>
                <w:szCs w:val="22"/>
              </w:rPr>
            </w:pPr>
            <w:r w:rsidRPr="00AF7F7E">
              <w:rPr>
                <w:rFonts w:asciiTheme="minorHAnsi" w:hAnsiTheme="minorHAnsi" w:cstheme="minorHAnsi"/>
                <w:i/>
                <w:iCs/>
                <w:sz w:val="22"/>
                <w:szCs w:val="22"/>
              </w:rPr>
              <w:t>Is included as an indicator in Virginia’s Perkins V plan</w:t>
            </w:r>
          </w:p>
        </w:tc>
        <w:tc>
          <w:tcPr>
            <w:tcW w:w="4225" w:type="dxa"/>
          </w:tcPr>
          <w:p w14:paraId="40FE4FBB" w14:textId="0FD4AD3D" w:rsidR="005924C6" w:rsidRPr="00AF7F7E" w:rsidRDefault="005924C6" w:rsidP="005924C6">
            <w:pPr>
              <w:pStyle w:val="BodyText"/>
              <w:rPr>
                <w:rFonts w:asciiTheme="minorHAnsi" w:hAnsiTheme="minorHAnsi" w:cstheme="minorHAnsi"/>
                <w:i/>
                <w:iCs/>
                <w:sz w:val="22"/>
                <w:szCs w:val="22"/>
              </w:rPr>
            </w:pPr>
            <w:r w:rsidRPr="00AF7F7E">
              <w:rPr>
                <w:rFonts w:asciiTheme="minorHAnsi" w:hAnsiTheme="minorHAnsi" w:cstheme="minorHAnsi"/>
                <w:i/>
                <w:iCs/>
                <w:sz w:val="22"/>
                <w:szCs w:val="22"/>
              </w:rPr>
              <w:t>For federal and state reporting</w:t>
            </w:r>
          </w:p>
        </w:tc>
      </w:tr>
      <w:tr w:rsidR="005924C6" w:rsidRPr="00AF7F7E" w14:paraId="458FD0FC" w14:textId="77777777" w:rsidTr="005924C6">
        <w:tc>
          <w:tcPr>
            <w:tcW w:w="2245" w:type="dxa"/>
          </w:tcPr>
          <w:p w14:paraId="4361847F" w14:textId="2650E3DD" w:rsidR="005924C6" w:rsidRPr="00AF7F7E" w:rsidRDefault="005924C6" w:rsidP="005924C6">
            <w:pPr>
              <w:pStyle w:val="BodyText"/>
              <w:rPr>
                <w:rFonts w:asciiTheme="minorHAnsi" w:hAnsiTheme="minorHAnsi" w:cstheme="minorHAnsi"/>
                <w:i/>
                <w:iCs/>
                <w:sz w:val="22"/>
                <w:szCs w:val="22"/>
              </w:rPr>
            </w:pPr>
            <w:r w:rsidRPr="00AF7F7E">
              <w:rPr>
                <w:rFonts w:asciiTheme="minorHAnsi" w:hAnsiTheme="minorHAnsi" w:cstheme="minorHAnsi"/>
                <w:i/>
                <w:iCs/>
                <w:sz w:val="22"/>
                <w:szCs w:val="22"/>
              </w:rPr>
              <w:t>School Accreditation</w:t>
            </w:r>
          </w:p>
        </w:tc>
        <w:tc>
          <w:tcPr>
            <w:tcW w:w="3960" w:type="dxa"/>
          </w:tcPr>
          <w:p w14:paraId="0F24E5DD" w14:textId="08425833" w:rsidR="005924C6" w:rsidRPr="00AF7F7E" w:rsidRDefault="005924C6" w:rsidP="005924C6">
            <w:pPr>
              <w:pStyle w:val="BodyText"/>
              <w:rPr>
                <w:rFonts w:asciiTheme="minorHAnsi" w:hAnsiTheme="minorHAnsi" w:cstheme="minorHAnsi"/>
                <w:i/>
                <w:iCs/>
                <w:sz w:val="22"/>
                <w:szCs w:val="22"/>
              </w:rPr>
            </w:pPr>
            <w:r w:rsidRPr="00AF7F7E">
              <w:rPr>
                <w:rFonts w:asciiTheme="minorHAnsi" w:hAnsiTheme="minorHAnsi" w:cstheme="minorHAnsi"/>
                <w:i/>
                <w:iCs/>
                <w:sz w:val="22"/>
                <w:szCs w:val="22"/>
              </w:rPr>
              <w:t>Standards of Accreditation</w:t>
            </w:r>
          </w:p>
        </w:tc>
        <w:tc>
          <w:tcPr>
            <w:tcW w:w="4225" w:type="dxa"/>
          </w:tcPr>
          <w:p w14:paraId="15930E14" w14:textId="743E57DE" w:rsidR="005924C6" w:rsidRPr="00AF7F7E" w:rsidRDefault="005924C6" w:rsidP="005924C6">
            <w:pPr>
              <w:pStyle w:val="BodyText"/>
              <w:rPr>
                <w:rFonts w:asciiTheme="minorHAnsi" w:hAnsiTheme="minorHAnsi" w:cstheme="minorHAnsi"/>
                <w:i/>
                <w:iCs/>
                <w:sz w:val="22"/>
                <w:szCs w:val="22"/>
              </w:rPr>
            </w:pPr>
            <w:r w:rsidRPr="00AF7F7E">
              <w:rPr>
                <w:rFonts w:asciiTheme="minorHAnsi" w:hAnsiTheme="minorHAnsi" w:cstheme="minorHAnsi"/>
                <w:i/>
                <w:iCs/>
                <w:sz w:val="22"/>
                <w:szCs w:val="22"/>
              </w:rPr>
              <w:t>As a component of the College, Career, and Civic Readiness Index</w:t>
            </w:r>
          </w:p>
        </w:tc>
      </w:tr>
      <w:tr w:rsidR="005924C6" w:rsidRPr="00AF7F7E" w14:paraId="64582E8D" w14:textId="77777777" w:rsidTr="005924C6">
        <w:tc>
          <w:tcPr>
            <w:tcW w:w="2245" w:type="dxa"/>
          </w:tcPr>
          <w:p w14:paraId="39512478" w14:textId="5F595BD4" w:rsidR="005924C6" w:rsidRPr="00AF7F7E" w:rsidRDefault="005924C6" w:rsidP="005924C6">
            <w:pPr>
              <w:pStyle w:val="BodyText"/>
              <w:rPr>
                <w:rFonts w:asciiTheme="minorHAnsi" w:hAnsiTheme="minorHAnsi" w:cstheme="minorHAnsi"/>
                <w:i/>
                <w:iCs/>
                <w:sz w:val="22"/>
                <w:szCs w:val="22"/>
              </w:rPr>
            </w:pPr>
            <w:r w:rsidRPr="00AF7F7E">
              <w:rPr>
                <w:rFonts w:asciiTheme="minorHAnsi" w:hAnsiTheme="minorHAnsi" w:cstheme="minorHAnsi"/>
                <w:i/>
                <w:iCs/>
                <w:sz w:val="22"/>
                <w:szCs w:val="22"/>
              </w:rPr>
              <w:t>Graduation</w:t>
            </w:r>
          </w:p>
        </w:tc>
        <w:tc>
          <w:tcPr>
            <w:tcW w:w="3960" w:type="dxa"/>
          </w:tcPr>
          <w:p w14:paraId="0224C0BE" w14:textId="77777777" w:rsidR="005924C6" w:rsidRPr="00AF7F7E" w:rsidRDefault="005924C6" w:rsidP="005924C6">
            <w:pPr>
              <w:pStyle w:val="TableParagraph"/>
              <w:spacing w:line="245" w:lineRule="exact"/>
              <w:ind w:left="0"/>
              <w:rPr>
                <w:rFonts w:asciiTheme="minorHAnsi" w:hAnsiTheme="minorHAnsi" w:cstheme="minorHAnsi"/>
                <w:i/>
                <w:iCs/>
              </w:rPr>
            </w:pPr>
            <w:r w:rsidRPr="00AF7F7E">
              <w:rPr>
                <w:rFonts w:asciiTheme="minorHAnsi" w:hAnsiTheme="minorHAnsi" w:cstheme="minorHAnsi"/>
                <w:i/>
                <w:iCs/>
              </w:rPr>
              <w:t>Standards of Accreditation graduation</w:t>
            </w:r>
          </w:p>
          <w:p w14:paraId="78F0F006" w14:textId="5702DBA4" w:rsidR="005924C6" w:rsidRPr="00AF7F7E" w:rsidRDefault="005924C6" w:rsidP="005924C6">
            <w:pPr>
              <w:pStyle w:val="BodyText"/>
              <w:rPr>
                <w:rFonts w:asciiTheme="minorHAnsi" w:hAnsiTheme="minorHAnsi" w:cstheme="minorHAnsi"/>
                <w:i/>
                <w:iCs/>
                <w:sz w:val="22"/>
                <w:szCs w:val="22"/>
              </w:rPr>
            </w:pPr>
            <w:r w:rsidRPr="00AF7F7E">
              <w:rPr>
                <w:rFonts w:asciiTheme="minorHAnsi" w:hAnsiTheme="minorHAnsi" w:cstheme="minorHAnsi"/>
                <w:i/>
                <w:iCs/>
                <w:sz w:val="22"/>
                <w:szCs w:val="22"/>
              </w:rPr>
              <w:t>requirements (standard and advanced studies diplomas) for students who were first time 9th graders in 2018- 2019 and beyond</w:t>
            </w:r>
          </w:p>
        </w:tc>
        <w:tc>
          <w:tcPr>
            <w:tcW w:w="4225" w:type="dxa"/>
          </w:tcPr>
          <w:p w14:paraId="23B0F946" w14:textId="77777777" w:rsidR="005924C6" w:rsidRPr="00AF7F7E" w:rsidRDefault="005924C6" w:rsidP="005924C6">
            <w:pPr>
              <w:pStyle w:val="TableParagraph"/>
              <w:spacing w:line="245" w:lineRule="exact"/>
              <w:ind w:left="0"/>
              <w:rPr>
                <w:rFonts w:asciiTheme="minorHAnsi" w:hAnsiTheme="minorHAnsi" w:cstheme="minorHAnsi"/>
                <w:i/>
                <w:iCs/>
              </w:rPr>
            </w:pPr>
            <w:r w:rsidRPr="00AF7F7E">
              <w:rPr>
                <w:rFonts w:asciiTheme="minorHAnsi" w:hAnsiTheme="minorHAnsi" w:cstheme="minorHAnsi"/>
                <w:i/>
                <w:iCs/>
              </w:rPr>
              <w:t>Requires that students are provided</w:t>
            </w:r>
          </w:p>
          <w:p w14:paraId="4E350D9D" w14:textId="52E145C6" w:rsidR="005924C6" w:rsidRPr="00AF7F7E" w:rsidRDefault="005924C6" w:rsidP="005924C6">
            <w:pPr>
              <w:pStyle w:val="BodyText"/>
              <w:rPr>
                <w:rFonts w:asciiTheme="minorHAnsi" w:hAnsiTheme="minorHAnsi" w:cstheme="minorHAnsi"/>
                <w:i/>
                <w:iCs/>
                <w:sz w:val="22"/>
                <w:szCs w:val="22"/>
              </w:rPr>
            </w:pPr>
            <w:r w:rsidRPr="00AF7F7E">
              <w:rPr>
                <w:rFonts w:asciiTheme="minorHAnsi" w:hAnsiTheme="minorHAnsi" w:cstheme="minorHAnsi"/>
                <w:i/>
                <w:iCs/>
                <w:sz w:val="22"/>
                <w:szCs w:val="22"/>
              </w:rPr>
              <w:t xml:space="preserve">opportunities tied to instruction to obtain workplace skills through experiences such as internships, externships, </w:t>
            </w:r>
            <w:r w:rsidR="00AF7F7E" w:rsidRPr="00AF7F7E">
              <w:rPr>
                <w:rFonts w:asciiTheme="minorHAnsi" w:hAnsiTheme="minorHAnsi" w:cstheme="minorHAnsi"/>
                <w:i/>
                <w:iCs/>
                <w:sz w:val="22"/>
                <w:szCs w:val="22"/>
              </w:rPr>
              <w:t>credentialing,</w:t>
            </w:r>
            <w:r w:rsidRPr="00AF7F7E">
              <w:rPr>
                <w:rFonts w:asciiTheme="minorHAnsi" w:hAnsiTheme="minorHAnsi" w:cstheme="minorHAnsi"/>
                <w:i/>
                <w:iCs/>
                <w:sz w:val="22"/>
                <w:szCs w:val="22"/>
              </w:rPr>
              <w:t xml:space="preserve"> and blended learning</w:t>
            </w:r>
            <w:r w:rsidR="00AF7F7E">
              <w:rPr>
                <w:rFonts w:asciiTheme="minorHAnsi" w:hAnsiTheme="minorHAnsi" w:cstheme="minorHAnsi"/>
                <w:i/>
                <w:iCs/>
                <w:sz w:val="22"/>
                <w:szCs w:val="22"/>
              </w:rPr>
              <w:t>,</w:t>
            </w:r>
            <w:r w:rsidRPr="00AF7F7E">
              <w:rPr>
                <w:rFonts w:asciiTheme="minorHAnsi" w:hAnsiTheme="minorHAnsi" w:cstheme="minorHAnsi"/>
                <w:i/>
                <w:iCs/>
                <w:sz w:val="22"/>
                <w:szCs w:val="22"/>
              </w:rPr>
              <w:t xml:space="preserve"> which may be offered for credit toward graduation</w:t>
            </w:r>
          </w:p>
        </w:tc>
      </w:tr>
    </w:tbl>
    <w:p w14:paraId="33872E96" w14:textId="77777777" w:rsidR="005924C6" w:rsidRPr="00AF7F7E" w:rsidRDefault="005924C6" w:rsidP="00551457">
      <w:pPr>
        <w:pStyle w:val="BodyText"/>
        <w:rPr>
          <w:rFonts w:asciiTheme="minorHAnsi" w:hAnsiTheme="minorHAnsi" w:cstheme="minorHAnsi"/>
          <w:sz w:val="22"/>
          <w:szCs w:val="22"/>
        </w:rPr>
      </w:pPr>
    </w:p>
    <w:p w14:paraId="3638CBEB" w14:textId="77777777" w:rsidR="000B3DD7" w:rsidRDefault="000B3DD7">
      <w:pPr>
        <w:rPr>
          <w:rFonts w:asciiTheme="minorHAnsi" w:hAnsiTheme="minorHAnsi" w:cstheme="minorHAnsi"/>
          <w:b/>
          <w:bCs/>
        </w:rPr>
      </w:pPr>
      <w:r>
        <w:rPr>
          <w:rFonts w:asciiTheme="minorHAnsi" w:hAnsiTheme="minorHAnsi" w:cstheme="minorHAnsi"/>
          <w:b/>
          <w:bCs/>
        </w:rPr>
        <w:br w:type="page"/>
      </w:r>
    </w:p>
    <w:p w14:paraId="2EE02501" w14:textId="5AEC4C52" w:rsidR="00944A46" w:rsidRPr="00AF7F7E" w:rsidRDefault="005924C6" w:rsidP="00551457">
      <w:pPr>
        <w:pStyle w:val="BodyText"/>
        <w:spacing w:before="9"/>
        <w:rPr>
          <w:rFonts w:asciiTheme="minorHAnsi" w:hAnsiTheme="minorHAnsi" w:cstheme="minorHAnsi"/>
          <w:b/>
          <w:bCs/>
          <w:sz w:val="22"/>
          <w:szCs w:val="22"/>
        </w:rPr>
      </w:pPr>
      <w:r w:rsidRPr="00AF7F7E">
        <w:rPr>
          <w:rFonts w:asciiTheme="minorHAnsi" w:hAnsiTheme="minorHAnsi" w:cstheme="minorHAnsi"/>
          <w:b/>
          <w:bCs/>
          <w:sz w:val="22"/>
          <w:szCs w:val="22"/>
        </w:rPr>
        <w:lastRenderedPageBreak/>
        <w:t xml:space="preserve">Can </w:t>
      </w:r>
      <w:r w:rsidRPr="00AF7F7E">
        <w:rPr>
          <w:rFonts w:asciiTheme="minorHAnsi" w:hAnsiTheme="minorHAnsi" w:cstheme="minorHAnsi"/>
          <w:b/>
          <w:bCs/>
          <w:sz w:val="22"/>
          <w:szCs w:val="22"/>
        </w:rPr>
        <w:t xml:space="preserve">WBL or </w:t>
      </w:r>
      <w:r w:rsidRPr="00AF7F7E">
        <w:rPr>
          <w:rFonts w:asciiTheme="minorHAnsi" w:hAnsiTheme="minorHAnsi" w:cstheme="minorHAnsi"/>
          <w:b/>
          <w:bCs/>
          <w:sz w:val="22"/>
          <w:szCs w:val="22"/>
        </w:rPr>
        <w:t>service-learning</w:t>
      </w:r>
      <w:r w:rsidRPr="00AF7F7E">
        <w:rPr>
          <w:rFonts w:asciiTheme="minorHAnsi" w:hAnsiTheme="minorHAnsi" w:cstheme="minorHAnsi"/>
          <w:b/>
          <w:bCs/>
          <w:sz w:val="22"/>
          <w:szCs w:val="22"/>
        </w:rPr>
        <w:t xml:space="preserve"> experiences that students participate in their community or outside of school-sponsored events be counted as meeting these components to be included in the CCCRI?</w:t>
      </w:r>
    </w:p>
    <w:p w14:paraId="67F85600" w14:textId="0581AD91" w:rsidR="00944A46" w:rsidRPr="00AF7F7E" w:rsidRDefault="00D84B37" w:rsidP="00551457">
      <w:pPr>
        <w:pStyle w:val="BodyText"/>
        <w:ind w:right="896"/>
        <w:rPr>
          <w:rFonts w:asciiTheme="minorHAnsi" w:hAnsiTheme="minorHAnsi" w:cstheme="minorHAnsi"/>
          <w:i/>
          <w:iCs/>
          <w:sz w:val="22"/>
          <w:szCs w:val="22"/>
        </w:rPr>
      </w:pPr>
      <w:r w:rsidRPr="00AF7F7E">
        <w:rPr>
          <w:rFonts w:asciiTheme="minorHAnsi" w:hAnsiTheme="minorHAnsi" w:cstheme="minorHAnsi"/>
          <w:i/>
          <w:iCs/>
          <w:sz w:val="22"/>
          <w:szCs w:val="22"/>
        </w:rPr>
        <w:t>No, the indicator must reflect curriculum and monitored experiences provided to the student by the school. Accreditation is intended to be a comprehensive view of school quality and that includes CCCRI</w:t>
      </w:r>
      <w:r w:rsidR="000B3DD7">
        <w:rPr>
          <w:rFonts w:asciiTheme="minorHAnsi" w:hAnsiTheme="minorHAnsi" w:cstheme="minorHAnsi"/>
          <w:i/>
          <w:iCs/>
          <w:sz w:val="22"/>
          <w:szCs w:val="22"/>
        </w:rPr>
        <w:t xml:space="preserve"> </w:t>
      </w:r>
      <w:r w:rsidRPr="00AF7F7E">
        <w:rPr>
          <w:rFonts w:asciiTheme="minorHAnsi" w:hAnsiTheme="minorHAnsi" w:cstheme="minorHAnsi"/>
          <w:i/>
          <w:iCs/>
          <w:sz w:val="22"/>
          <w:szCs w:val="22"/>
        </w:rPr>
        <w:t>opportunities provided by and supervised by the school in conjunction with a student’s coursework.</w:t>
      </w:r>
    </w:p>
    <w:p w14:paraId="0DC68EE9" w14:textId="77777777" w:rsidR="000B3DD7" w:rsidRDefault="000B3DD7" w:rsidP="00551457">
      <w:pPr>
        <w:pStyle w:val="BodyText"/>
        <w:spacing w:before="2"/>
        <w:rPr>
          <w:rFonts w:asciiTheme="minorHAnsi" w:hAnsiTheme="minorHAnsi" w:cstheme="minorHAnsi"/>
          <w:b/>
          <w:bCs/>
          <w:sz w:val="22"/>
          <w:szCs w:val="22"/>
        </w:rPr>
      </w:pPr>
    </w:p>
    <w:p w14:paraId="7F6CAC63" w14:textId="32CD6C75" w:rsidR="00944A46" w:rsidRPr="00AF7F7E" w:rsidRDefault="00AF7F7E" w:rsidP="00551457">
      <w:pPr>
        <w:pStyle w:val="BodyText"/>
        <w:spacing w:before="2"/>
        <w:rPr>
          <w:rFonts w:asciiTheme="minorHAnsi" w:hAnsiTheme="minorHAnsi" w:cstheme="minorHAnsi"/>
          <w:b/>
          <w:bCs/>
          <w:sz w:val="22"/>
          <w:szCs w:val="22"/>
        </w:rPr>
      </w:pPr>
      <w:r w:rsidRPr="00AF7F7E">
        <w:rPr>
          <w:rFonts w:asciiTheme="minorHAnsi" w:hAnsiTheme="minorHAnsi" w:cstheme="minorHAnsi"/>
          <w:b/>
          <w:bCs/>
          <w:sz w:val="22"/>
          <w:szCs w:val="22"/>
        </w:rPr>
        <w:t>Can WBL or service-learning experiences taking place during the summer be used to meet CCCRI requirements?</w:t>
      </w:r>
    </w:p>
    <w:p w14:paraId="2A7D0E47" w14:textId="0402987F" w:rsidR="00AF7F7E" w:rsidRPr="000B3DD7" w:rsidRDefault="00AF7F7E" w:rsidP="00551457">
      <w:pPr>
        <w:pStyle w:val="BodyText"/>
        <w:spacing w:before="9"/>
        <w:rPr>
          <w:rFonts w:asciiTheme="minorHAnsi" w:hAnsiTheme="minorHAnsi" w:cstheme="minorHAnsi"/>
          <w:b/>
          <w:bCs/>
          <w:i/>
          <w:iCs/>
          <w:sz w:val="22"/>
          <w:szCs w:val="22"/>
        </w:rPr>
      </w:pPr>
      <w:r w:rsidRPr="000B3DD7">
        <w:rPr>
          <w:rFonts w:asciiTheme="minorHAnsi" w:hAnsiTheme="minorHAnsi" w:cstheme="minorHAnsi"/>
          <w:i/>
          <w:iCs/>
          <w:sz w:val="22"/>
          <w:szCs w:val="22"/>
          <w:shd w:val="clear" w:color="auto" w:fill="FFFFFF"/>
        </w:rPr>
        <w:t xml:space="preserve">High Quality </w:t>
      </w:r>
      <w:r w:rsidRPr="000B3DD7">
        <w:rPr>
          <w:rFonts w:asciiTheme="minorHAnsi" w:hAnsiTheme="minorHAnsi" w:cstheme="minorHAnsi"/>
          <w:i/>
          <w:iCs/>
          <w:sz w:val="22"/>
          <w:szCs w:val="22"/>
          <w:shd w:val="clear" w:color="auto" w:fill="FFFFFF"/>
        </w:rPr>
        <w:t xml:space="preserve">WBL experiences taking place during the summer must be reported during the same reporting period (school year) with which the course is associated. WBL experiences can only be counted one time in a reporting period and must be associated with a </w:t>
      </w:r>
      <w:r w:rsidRPr="000B3DD7">
        <w:rPr>
          <w:rFonts w:asciiTheme="minorHAnsi" w:hAnsiTheme="minorHAnsi" w:cstheme="minorHAnsi"/>
          <w:i/>
          <w:iCs/>
          <w:sz w:val="22"/>
          <w:szCs w:val="22"/>
          <w:shd w:val="clear" w:color="auto" w:fill="FFFFFF"/>
        </w:rPr>
        <w:t>c</w:t>
      </w:r>
      <w:r w:rsidRPr="000B3DD7">
        <w:rPr>
          <w:rFonts w:asciiTheme="minorHAnsi" w:hAnsiTheme="minorHAnsi" w:cstheme="minorHAnsi"/>
          <w:i/>
          <w:iCs/>
          <w:sz w:val="22"/>
          <w:szCs w:val="22"/>
          <w:shd w:val="clear" w:color="auto" w:fill="FFFFFF"/>
        </w:rPr>
        <w:t>ourse that takes place during that reporting period.</w:t>
      </w:r>
    </w:p>
    <w:p w14:paraId="0F968CFA" w14:textId="77777777" w:rsidR="00AF7F7E" w:rsidRDefault="00AF7F7E" w:rsidP="00551457">
      <w:pPr>
        <w:pStyle w:val="BodyText"/>
        <w:spacing w:before="9"/>
        <w:rPr>
          <w:rFonts w:asciiTheme="minorHAnsi" w:hAnsiTheme="minorHAnsi" w:cstheme="minorHAnsi"/>
          <w:b/>
          <w:bCs/>
          <w:sz w:val="22"/>
          <w:szCs w:val="22"/>
        </w:rPr>
      </w:pPr>
    </w:p>
    <w:p w14:paraId="32234348" w14:textId="1A998BD8" w:rsidR="00944A46" w:rsidRPr="00AF7F7E" w:rsidRDefault="005924C6" w:rsidP="00551457">
      <w:pPr>
        <w:pStyle w:val="BodyText"/>
        <w:spacing w:before="9"/>
        <w:rPr>
          <w:rFonts w:asciiTheme="minorHAnsi" w:hAnsiTheme="minorHAnsi" w:cstheme="minorHAnsi"/>
          <w:b/>
          <w:bCs/>
          <w:sz w:val="22"/>
          <w:szCs w:val="22"/>
        </w:rPr>
      </w:pPr>
      <w:r w:rsidRPr="00AF7F7E">
        <w:rPr>
          <w:rFonts w:asciiTheme="minorHAnsi" w:hAnsiTheme="minorHAnsi" w:cstheme="minorHAnsi"/>
          <w:b/>
          <w:bCs/>
          <w:sz w:val="22"/>
          <w:szCs w:val="22"/>
        </w:rPr>
        <w:t xml:space="preserve">Do </w:t>
      </w:r>
      <w:r w:rsidRPr="00AF7F7E">
        <w:rPr>
          <w:rFonts w:asciiTheme="minorHAnsi" w:hAnsiTheme="minorHAnsi" w:cstheme="minorHAnsi"/>
          <w:b/>
          <w:bCs/>
          <w:sz w:val="22"/>
          <w:szCs w:val="22"/>
        </w:rPr>
        <w:t>WBL opportunities have to be associated with a CTE course to be included in CCCRI?</w:t>
      </w:r>
    </w:p>
    <w:p w14:paraId="56EE4825" w14:textId="260AB40D" w:rsidR="00944A46" w:rsidRPr="00AF7F7E" w:rsidRDefault="00D84B37" w:rsidP="00AF7F7E">
      <w:pPr>
        <w:pStyle w:val="BodyText"/>
        <w:ind w:right="835"/>
        <w:rPr>
          <w:rFonts w:asciiTheme="minorHAnsi" w:hAnsiTheme="minorHAnsi" w:cstheme="minorHAnsi"/>
          <w:i/>
          <w:iCs/>
          <w:sz w:val="22"/>
          <w:szCs w:val="22"/>
        </w:rPr>
      </w:pPr>
      <w:r w:rsidRPr="00AF7F7E">
        <w:rPr>
          <w:rFonts w:asciiTheme="minorHAnsi" w:hAnsiTheme="minorHAnsi" w:cstheme="minorHAnsi"/>
          <w:i/>
          <w:iCs/>
          <w:sz w:val="22"/>
          <w:szCs w:val="22"/>
        </w:rPr>
        <w:t>No, WBL codes can be associated with any course. WBL codes for CTE courses must follow guidelines outlined in the CTE High-Quality Work-Based Learning Guide. Guidelines for opportunities associated with non-CTE courses will be determined locally. Local guidelines for non-CTE courses should follow the same guidance as CTE opportunities where applicable.</w:t>
      </w:r>
      <w:r w:rsidR="00AF7F7E">
        <w:rPr>
          <w:rFonts w:asciiTheme="minorHAnsi" w:hAnsiTheme="minorHAnsi" w:cstheme="minorHAnsi"/>
          <w:i/>
          <w:iCs/>
          <w:sz w:val="22"/>
          <w:szCs w:val="22"/>
        </w:rPr>
        <w:t xml:space="preserve"> </w:t>
      </w:r>
      <w:r w:rsidRPr="00AF7F7E">
        <w:rPr>
          <w:rFonts w:asciiTheme="minorHAnsi" w:hAnsiTheme="minorHAnsi" w:cstheme="minorHAnsi"/>
          <w:i/>
          <w:iCs/>
          <w:sz w:val="22"/>
          <w:szCs w:val="22"/>
        </w:rPr>
        <w:t xml:space="preserve">School divisions are strongly encouraged to consult with their school board attorneys regarding the implementation of training agreements with the entities where the WBL experience is occurring to ensure compliance with Department of Labor health and safety requirements. The existing CTE training agreements found in the </w:t>
      </w:r>
      <w:hyperlink r:id="rId7" w:tgtFrame="_self" w:history="1">
        <w:r w:rsidR="00AF7F7E" w:rsidRPr="000B3DD7">
          <w:rPr>
            <w:rStyle w:val="Hyperlink"/>
            <w:rFonts w:asciiTheme="minorHAnsi" w:hAnsiTheme="minorHAnsi" w:cstheme="minorHAnsi"/>
            <w:i/>
            <w:iCs/>
            <w:color w:val="003C71"/>
            <w:sz w:val="22"/>
            <w:szCs w:val="22"/>
            <w:shd w:val="clear" w:color="auto" w:fill="FFFFFF"/>
          </w:rPr>
          <w:t>Career and Technical Education High Quality Work-Based Learning Guide</w:t>
        </w:r>
      </w:hyperlink>
      <w:r w:rsidR="00AF7F7E" w:rsidRPr="000B3DD7">
        <w:rPr>
          <w:rFonts w:ascii="Lato" w:hAnsi="Lato"/>
          <w:i/>
          <w:iCs/>
          <w:color w:val="444444"/>
          <w:sz w:val="22"/>
          <w:szCs w:val="22"/>
          <w:shd w:val="clear" w:color="auto" w:fill="FFFFFF"/>
        </w:rPr>
        <w:t> </w:t>
      </w:r>
      <w:r w:rsidRPr="00AF7F7E">
        <w:rPr>
          <w:rFonts w:asciiTheme="minorHAnsi" w:hAnsiTheme="minorHAnsi" w:cstheme="minorHAnsi"/>
          <w:i/>
          <w:iCs/>
          <w:sz w:val="22"/>
          <w:szCs w:val="22"/>
        </w:rPr>
        <w:t>may be used as a model.</w:t>
      </w:r>
    </w:p>
    <w:p w14:paraId="0E529FCB" w14:textId="77777777" w:rsidR="00944A46" w:rsidRPr="00AF7F7E" w:rsidRDefault="00944A46" w:rsidP="00551457">
      <w:pPr>
        <w:pStyle w:val="BodyText"/>
        <w:rPr>
          <w:rFonts w:asciiTheme="minorHAnsi" w:hAnsiTheme="minorHAnsi" w:cstheme="minorHAnsi"/>
          <w:sz w:val="22"/>
          <w:szCs w:val="22"/>
        </w:rPr>
      </w:pPr>
    </w:p>
    <w:p w14:paraId="1D23A018" w14:textId="09CF0676" w:rsidR="00944A46" w:rsidRPr="00AF7F7E" w:rsidRDefault="005924C6" w:rsidP="00551457">
      <w:pPr>
        <w:pStyle w:val="BodyText"/>
        <w:spacing w:before="9"/>
        <w:rPr>
          <w:rFonts w:asciiTheme="minorHAnsi" w:hAnsiTheme="minorHAnsi" w:cstheme="minorHAnsi"/>
          <w:b/>
          <w:sz w:val="22"/>
          <w:szCs w:val="22"/>
        </w:rPr>
      </w:pPr>
      <w:r w:rsidRPr="00AF7F7E">
        <w:rPr>
          <w:rFonts w:asciiTheme="minorHAnsi" w:hAnsiTheme="minorHAnsi" w:cstheme="minorHAnsi"/>
          <w:b/>
          <w:sz w:val="22"/>
          <w:szCs w:val="22"/>
        </w:rPr>
        <w:t xml:space="preserve">If </w:t>
      </w:r>
      <w:r w:rsidRPr="00AF7F7E">
        <w:rPr>
          <w:rFonts w:asciiTheme="minorHAnsi" w:hAnsiTheme="minorHAnsi" w:cstheme="minorHAnsi"/>
          <w:b/>
          <w:bCs/>
          <w:sz w:val="22"/>
          <w:szCs w:val="22"/>
        </w:rPr>
        <w:t xml:space="preserve">a student with a disability, working for an Applied Studies Diploma is in a WBL experience, such as Project SEARCH, where there is a curriculum and the youth is completing an </w:t>
      </w:r>
      <w:r w:rsidRPr="00AF7F7E">
        <w:rPr>
          <w:rFonts w:asciiTheme="minorHAnsi" w:hAnsiTheme="minorHAnsi" w:cstheme="minorHAnsi"/>
          <w:b/>
          <w:bCs/>
          <w:sz w:val="22"/>
          <w:szCs w:val="22"/>
        </w:rPr>
        <w:t>i</w:t>
      </w:r>
      <w:r w:rsidRPr="00AF7F7E">
        <w:rPr>
          <w:rFonts w:asciiTheme="minorHAnsi" w:hAnsiTheme="minorHAnsi" w:cstheme="minorHAnsi"/>
          <w:b/>
          <w:bCs/>
          <w:sz w:val="22"/>
          <w:szCs w:val="22"/>
        </w:rPr>
        <w:t>nternship, under the guidance of a certified teacher and Employment Specialist (Skills Trainer)</w:t>
      </w:r>
      <w:r w:rsidRPr="00AF7F7E">
        <w:rPr>
          <w:rFonts w:asciiTheme="minorHAnsi" w:hAnsiTheme="minorHAnsi" w:cstheme="minorHAnsi"/>
          <w:b/>
          <w:bCs/>
          <w:sz w:val="22"/>
          <w:szCs w:val="22"/>
        </w:rPr>
        <w:t>,</w:t>
      </w:r>
      <w:r w:rsidRPr="00AF7F7E">
        <w:rPr>
          <w:rFonts w:asciiTheme="minorHAnsi" w:hAnsiTheme="minorHAnsi" w:cstheme="minorHAnsi"/>
          <w:b/>
          <w:bCs/>
          <w:sz w:val="22"/>
          <w:szCs w:val="22"/>
        </w:rPr>
        <w:t xml:space="preserve"> will the division be able to count that under CCCRI?</w:t>
      </w:r>
    </w:p>
    <w:p w14:paraId="42226426" w14:textId="77777777" w:rsidR="00AF7F7E" w:rsidRDefault="00D84B37" w:rsidP="00AF7F7E">
      <w:pPr>
        <w:pStyle w:val="BodyText"/>
        <w:ind w:right="763"/>
        <w:rPr>
          <w:rFonts w:asciiTheme="minorHAnsi" w:hAnsiTheme="minorHAnsi" w:cstheme="minorHAnsi"/>
          <w:i/>
          <w:iCs/>
          <w:sz w:val="22"/>
          <w:szCs w:val="22"/>
        </w:rPr>
      </w:pPr>
      <w:r w:rsidRPr="00AF7F7E">
        <w:rPr>
          <w:rFonts w:asciiTheme="minorHAnsi" w:hAnsiTheme="minorHAnsi" w:cstheme="minorHAnsi"/>
          <w:i/>
          <w:iCs/>
          <w:sz w:val="22"/>
          <w:szCs w:val="22"/>
        </w:rPr>
        <w:t>Yes, if a WBL code is associated with the Project SEARCH course in the Master Schedule Collection (MSC). These courses will need to follow the same guidance outlined in the previous question for all other non-CTE courses receiving a WBL code.</w:t>
      </w:r>
    </w:p>
    <w:p w14:paraId="1FC87E10" w14:textId="77777777" w:rsidR="00AF7F7E" w:rsidRDefault="00AF7F7E" w:rsidP="00AF7F7E">
      <w:pPr>
        <w:pStyle w:val="BodyText"/>
        <w:ind w:right="756"/>
        <w:rPr>
          <w:rFonts w:asciiTheme="minorHAnsi" w:hAnsiTheme="minorHAnsi" w:cstheme="minorHAnsi"/>
          <w:i/>
          <w:iCs/>
          <w:sz w:val="22"/>
          <w:szCs w:val="22"/>
        </w:rPr>
      </w:pPr>
    </w:p>
    <w:p w14:paraId="1871B431" w14:textId="023A50B8" w:rsidR="00944A46" w:rsidRPr="00551457" w:rsidRDefault="005924C6">
      <w:pPr>
        <w:pStyle w:val="BodyText"/>
        <w:spacing w:before="9"/>
        <w:rPr>
          <w:rFonts w:asciiTheme="minorHAnsi" w:hAnsiTheme="minorHAnsi" w:cstheme="minorHAnsi"/>
          <w:b/>
        </w:rPr>
      </w:pPr>
      <w:r>
        <w:rPr>
          <w:rFonts w:asciiTheme="minorHAnsi" w:hAnsiTheme="minorHAnsi" w:cstheme="minorHAnsi"/>
          <w:b/>
        </w:rPr>
        <w:t>What are the work-based learning codes?</w:t>
      </w:r>
    </w:p>
    <w:p w14:paraId="5D1A80A9" w14:textId="41FA6248" w:rsidR="00944A46" w:rsidRPr="00AF7F7E" w:rsidRDefault="00D84B37" w:rsidP="00AF7F7E">
      <w:pPr>
        <w:pStyle w:val="BodyText"/>
        <w:ind w:left="360"/>
        <w:rPr>
          <w:rFonts w:asciiTheme="minorHAnsi" w:hAnsiTheme="minorHAnsi" w:cstheme="minorHAnsi"/>
          <w:i/>
          <w:iCs/>
        </w:rPr>
      </w:pPr>
      <w:r w:rsidRPr="00AF7F7E">
        <w:rPr>
          <w:rFonts w:asciiTheme="minorHAnsi" w:hAnsiTheme="minorHAnsi" w:cstheme="minorHAnsi"/>
          <w:i/>
          <w:iCs/>
        </w:rPr>
        <w:t>The following codes in the M</w:t>
      </w:r>
      <w:r w:rsidR="00AF7F7E" w:rsidRPr="00AF7F7E">
        <w:rPr>
          <w:rFonts w:asciiTheme="minorHAnsi" w:hAnsiTheme="minorHAnsi" w:cstheme="minorHAnsi"/>
          <w:i/>
          <w:iCs/>
        </w:rPr>
        <w:t xml:space="preserve">aster Schedule Collection </w:t>
      </w:r>
      <w:r w:rsidRPr="00AF7F7E">
        <w:rPr>
          <w:rFonts w:asciiTheme="minorHAnsi" w:hAnsiTheme="minorHAnsi" w:cstheme="minorHAnsi"/>
          <w:i/>
          <w:iCs/>
        </w:rPr>
        <w:t>will count toward the CCCRI:</w:t>
      </w:r>
    </w:p>
    <w:p w14:paraId="5CC6AA76" w14:textId="77777777" w:rsidR="00944A46" w:rsidRPr="00AF7F7E" w:rsidRDefault="00D84B37" w:rsidP="00AF7F7E">
      <w:pPr>
        <w:pStyle w:val="BodyText"/>
        <w:ind w:left="360"/>
        <w:rPr>
          <w:rFonts w:asciiTheme="minorHAnsi" w:hAnsiTheme="minorHAnsi" w:cstheme="minorHAnsi"/>
          <w:i/>
          <w:iCs/>
        </w:rPr>
      </w:pPr>
      <w:r w:rsidRPr="00AF7F7E">
        <w:rPr>
          <w:rFonts w:asciiTheme="minorHAnsi" w:hAnsiTheme="minorHAnsi" w:cstheme="minorHAnsi"/>
          <w:i/>
          <w:iCs/>
        </w:rPr>
        <w:t>1 = Cooperative Education</w:t>
      </w:r>
    </w:p>
    <w:p w14:paraId="124E8689" w14:textId="7121A866" w:rsidR="00AF7F7E" w:rsidRDefault="00D84B37" w:rsidP="00AF7F7E">
      <w:pPr>
        <w:pStyle w:val="BodyText"/>
        <w:ind w:left="360" w:right="360"/>
        <w:rPr>
          <w:rFonts w:asciiTheme="minorHAnsi" w:hAnsiTheme="minorHAnsi" w:cstheme="minorHAnsi"/>
          <w:i/>
          <w:iCs/>
        </w:rPr>
      </w:pPr>
      <w:r w:rsidRPr="00AF7F7E">
        <w:rPr>
          <w:rFonts w:asciiTheme="minorHAnsi" w:hAnsiTheme="minorHAnsi" w:cstheme="minorHAnsi"/>
          <w:i/>
          <w:iCs/>
        </w:rPr>
        <w:t xml:space="preserve">2 = Registered </w:t>
      </w:r>
      <w:r w:rsidR="00AF7F7E">
        <w:rPr>
          <w:rFonts w:asciiTheme="minorHAnsi" w:hAnsiTheme="minorHAnsi" w:cstheme="minorHAnsi"/>
          <w:i/>
          <w:iCs/>
        </w:rPr>
        <w:t>Appr</w:t>
      </w:r>
      <w:r w:rsidRPr="00AF7F7E">
        <w:rPr>
          <w:rFonts w:asciiTheme="minorHAnsi" w:hAnsiTheme="minorHAnsi" w:cstheme="minorHAnsi"/>
          <w:i/>
          <w:iCs/>
        </w:rPr>
        <w:t xml:space="preserve">enticeship </w:t>
      </w:r>
    </w:p>
    <w:p w14:paraId="4C864D41" w14:textId="489EE1F0" w:rsidR="00944A46" w:rsidRPr="00AF7F7E" w:rsidRDefault="00D84B37" w:rsidP="00AF7F7E">
      <w:pPr>
        <w:pStyle w:val="BodyText"/>
        <w:ind w:left="360" w:right="7113"/>
        <w:rPr>
          <w:rFonts w:asciiTheme="minorHAnsi" w:hAnsiTheme="minorHAnsi" w:cstheme="minorHAnsi"/>
          <w:i/>
          <w:iCs/>
        </w:rPr>
      </w:pPr>
      <w:r w:rsidRPr="00AF7F7E">
        <w:rPr>
          <w:rFonts w:asciiTheme="minorHAnsi" w:hAnsiTheme="minorHAnsi" w:cstheme="minorHAnsi"/>
          <w:i/>
          <w:iCs/>
        </w:rPr>
        <w:t>3 = Internship</w:t>
      </w:r>
    </w:p>
    <w:p w14:paraId="574E8F07" w14:textId="77777777" w:rsidR="00944A46" w:rsidRPr="00AF7F7E" w:rsidRDefault="00D84B37" w:rsidP="00AF7F7E">
      <w:pPr>
        <w:pStyle w:val="BodyText"/>
        <w:ind w:left="360"/>
        <w:rPr>
          <w:rFonts w:asciiTheme="minorHAnsi" w:hAnsiTheme="minorHAnsi" w:cstheme="minorHAnsi"/>
          <w:i/>
          <w:iCs/>
        </w:rPr>
      </w:pPr>
      <w:r w:rsidRPr="00AF7F7E">
        <w:rPr>
          <w:rFonts w:asciiTheme="minorHAnsi" w:hAnsiTheme="minorHAnsi" w:cstheme="minorHAnsi"/>
          <w:i/>
          <w:iCs/>
        </w:rPr>
        <w:t>6 = Service Learning</w:t>
      </w:r>
    </w:p>
    <w:p w14:paraId="7BD1E644" w14:textId="77777777" w:rsidR="00944A46" w:rsidRPr="00AF7F7E" w:rsidRDefault="00D84B37" w:rsidP="00AF7F7E">
      <w:pPr>
        <w:pStyle w:val="BodyText"/>
        <w:ind w:left="360"/>
        <w:rPr>
          <w:rFonts w:asciiTheme="minorHAnsi" w:hAnsiTheme="minorHAnsi" w:cstheme="minorHAnsi"/>
          <w:i/>
          <w:iCs/>
        </w:rPr>
      </w:pPr>
      <w:r w:rsidRPr="00AF7F7E">
        <w:rPr>
          <w:rFonts w:asciiTheme="minorHAnsi" w:hAnsiTheme="minorHAnsi" w:cstheme="minorHAnsi"/>
          <w:i/>
          <w:iCs/>
        </w:rPr>
        <w:t>7 = Clinical Experience</w:t>
      </w:r>
    </w:p>
    <w:p w14:paraId="29215FE6" w14:textId="77777777" w:rsidR="00AF7F7E" w:rsidRDefault="00D84B37" w:rsidP="00AF7F7E">
      <w:pPr>
        <w:pStyle w:val="BodyText"/>
        <w:ind w:left="360" w:right="360"/>
        <w:rPr>
          <w:rFonts w:asciiTheme="minorHAnsi" w:hAnsiTheme="minorHAnsi" w:cstheme="minorHAnsi"/>
          <w:i/>
          <w:iCs/>
        </w:rPr>
      </w:pPr>
      <w:r w:rsidRPr="00AF7F7E">
        <w:rPr>
          <w:rFonts w:asciiTheme="minorHAnsi" w:hAnsiTheme="minorHAnsi" w:cstheme="minorHAnsi"/>
          <w:i/>
          <w:iCs/>
        </w:rPr>
        <w:t xml:space="preserve">8 = Supervised Agricultural Experience (retired after the 2018-2019 school year) </w:t>
      </w:r>
    </w:p>
    <w:p w14:paraId="3E7BC008" w14:textId="33464066" w:rsidR="00944A46" w:rsidRPr="00AF7F7E" w:rsidRDefault="00D84B37" w:rsidP="00AF7F7E">
      <w:pPr>
        <w:pStyle w:val="BodyText"/>
        <w:ind w:left="360" w:right="2268"/>
        <w:rPr>
          <w:rFonts w:asciiTheme="minorHAnsi" w:hAnsiTheme="minorHAnsi" w:cstheme="minorHAnsi"/>
          <w:i/>
          <w:iCs/>
        </w:rPr>
      </w:pPr>
      <w:r w:rsidRPr="00AF7F7E">
        <w:rPr>
          <w:rFonts w:asciiTheme="minorHAnsi" w:hAnsiTheme="minorHAnsi" w:cstheme="minorHAnsi"/>
          <w:i/>
          <w:iCs/>
        </w:rPr>
        <w:t>9 = Youth Registered Apprenticeship</w:t>
      </w:r>
    </w:p>
    <w:p w14:paraId="2C82BA2A" w14:textId="77777777" w:rsidR="00944A46" w:rsidRPr="00AF7F7E" w:rsidRDefault="00D84B37" w:rsidP="00AF7F7E">
      <w:pPr>
        <w:pStyle w:val="BodyText"/>
        <w:ind w:left="360"/>
        <w:rPr>
          <w:rFonts w:asciiTheme="minorHAnsi" w:hAnsiTheme="minorHAnsi" w:cstheme="minorHAnsi"/>
          <w:i/>
          <w:iCs/>
        </w:rPr>
      </w:pPr>
      <w:r w:rsidRPr="00AF7F7E">
        <w:rPr>
          <w:rFonts w:asciiTheme="minorHAnsi" w:hAnsiTheme="minorHAnsi" w:cstheme="minorHAnsi"/>
          <w:i/>
          <w:iCs/>
        </w:rPr>
        <w:t>10 = Externship</w:t>
      </w:r>
    </w:p>
    <w:p w14:paraId="5F0188EA" w14:textId="77777777" w:rsidR="00AF7F7E" w:rsidRDefault="00D84B37" w:rsidP="00AF7F7E">
      <w:pPr>
        <w:pStyle w:val="BodyText"/>
        <w:ind w:left="360" w:right="360"/>
        <w:rPr>
          <w:rFonts w:asciiTheme="minorHAnsi" w:hAnsiTheme="minorHAnsi" w:cstheme="minorHAnsi"/>
          <w:i/>
          <w:iCs/>
        </w:rPr>
      </w:pPr>
      <w:r w:rsidRPr="00AF7F7E">
        <w:rPr>
          <w:rFonts w:asciiTheme="minorHAnsi" w:hAnsiTheme="minorHAnsi" w:cstheme="minorHAnsi"/>
          <w:i/>
          <w:iCs/>
        </w:rPr>
        <w:t xml:space="preserve">11 = School-based Enterprise </w:t>
      </w:r>
    </w:p>
    <w:p w14:paraId="2E2CAD22" w14:textId="68F01FD1" w:rsidR="00944A46" w:rsidRPr="00AF7F7E" w:rsidRDefault="00D84B37" w:rsidP="00AF7F7E">
      <w:pPr>
        <w:pStyle w:val="BodyText"/>
        <w:ind w:left="360" w:right="7206"/>
        <w:rPr>
          <w:rFonts w:asciiTheme="minorHAnsi" w:hAnsiTheme="minorHAnsi" w:cstheme="minorHAnsi"/>
          <w:i/>
          <w:iCs/>
        </w:rPr>
      </w:pPr>
      <w:r w:rsidRPr="00AF7F7E">
        <w:rPr>
          <w:rFonts w:asciiTheme="minorHAnsi" w:hAnsiTheme="minorHAnsi" w:cstheme="minorHAnsi"/>
          <w:i/>
          <w:iCs/>
        </w:rPr>
        <w:t>12 = Entrepreneurship</w:t>
      </w:r>
    </w:p>
    <w:p w14:paraId="02FABCF5" w14:textId="77777777" w:rsidR="00944A46" w:rsidRPr="00AF7F7E" w:rsidRDefault="00D84B37" w:rsidP="00AF7F7E">
      <w:pPr>
        <w:pStyle w:val="BodyText"/>
        <w:spacing w:before="1"/>
        <w:ind w:left="360"/>
        <w:rPr>
          <w:rFonts w:asciiTheme="minorHAnsi" w:hAnsiTheme="minorHAnsi" w:cstheme="minorHAnsi"/>
          <w:i/>
          <w:iCs/>
        </w:rPr>
      </w:pPr>
      <w:r w:rsidRPr="00AF7F7E">
        <w:rPr>
          <w:rFonts w:asciiTheme="minorHAnsi" w:hAnsiTheme="minorHAnsi" w:cstheme="minorHAnsi"/>
          <w:i/>
          <w:iCs/>
        </w:rPr>
        <w:t>13 = Mentorship with 140 contact hours</w:t>
      </w:r>
    </w:p>
    <w:p w14:paraId="682FC10B" w14:textId="77777777" w:rsidR="00944A46" w:rsidRPr="00551457" w:rsidRDefault="00944A46">
      <w:pPr>
        <w:pStyle w:val="BodyText"/>
        <w:rPr>
          <w:rFonts w:asciiTheme="minorHAnsi" w:hAnsiTheme="minorHAnsi" w:cstheme="minorHAnsi"/>
        </w:rPr>
      </w:pPr>
    </w:p>
    <w:p w14:paraId="03F2F244" w14:textId="77777777" w:rsidR="00631FB8" w:rsidRDefault="00631FB8">
      <w:pPr>
        <w:rPr>
          <w:rFonts w:asciiTheme="minorHAnsi" w:hAnsiTheme="minorHAnsi" w:cstheme="minorHAnsi"/>
          <w:b/>
          <w:bCs/>
          <w:sz w:val="24"/>
          <w:szCs w:val="24"/>
        </w:rPr>
      </w:pPr>
      <w:r>
        <w:rPr>
          <w:rFonts w:asciiTheme="minorHAnsi" w:hAnsiTheme="minorHAnsi" w:cstheme="minorHAnsi"/>
          <w:b/>
          <w:bCs/>
        </w:rPr>
        <w:br w:type="page"/>
      </w:r>
    </w:p>
    <w:p w14:paraId="258788E4" w14:textId="0362E4DF" w:rsidR="00944A46" w:rsidRPr="005924C6" w:rsidRDefault="005924C6">
      <w:pPr>
        <w:pStyle w:val="BodyText"/>
        <w:spacing w:before="9"/>
        <w:rPr>
          <w:rFonts w:asciiTheme="minorHAnsi" w:hAnsiTheme="minorHAnsi" w:cstheme="minorHAnsi"/>
          <w:b/>
          <w:bCs/>
        </w:rPr>
      </w:pPr>
      <w:r w:rsidRPr="005924C6">
        <w:rPr>
          <w:rFonts w:asciiTheme="minorHAnsi" w:hAnsiTheme="minorHAnsi" w:cstheme="minorHAnsi"/>
          <w:b/>
          <w:bCs/>
        </w:rPr>
        <w:lastRenderedPageBreak/>
        <w:t xml:space="preserve">Can </w:t>
      </w:r>
      <w:r w:rsidRPr="005924C6">
        <w:rPr>
          <w:rFonts w:asciiTheme="minorHAnsi" w:hAnsiTheme="minorHAnsi" w:cstheme="minorHAnsi"/>
          <w:b/>
          <w:bCs/>
        </w:rPr>
        <w:t>accommodations be provided to students to meet WBL guidelines?</w:t>
      </w:r>
    </w:p>
    <w:p w14:paraId="5B9B6194" w14:textId="25C8593C" w:rsidR="00944A46" w:rsidRPr="00AF7F7E" w:rsidRDefault="00D84B37" w:rsidP="005924C6">
      <w:pPr>
        <w:pStyle w:val="BodyText"/>
        <w:ind w:right="756"/>
        <w:rPr>
          <w:rFonts w:asciiTheme="minorHAnsi" w:hAnsiTheme="minorHAnsi" w:cstheme="minorHAnsi"/>
          <w:i/>
          <w:iCs/>
        </w:rPr>
      </w:pPr>
      <w:r w:rsidRPr="00AF7F7E">
        <w:rPr>
          <w:rFonts w:asciiTheme="minorHAnsi" w:hAnsiTheme="minorHAnsi" w:cstheme="minorHAnsi"/>
          <w:i/>
          <w:iCs/>
        </w:rPr>
        <w:t>Yes, students can receive accommodations if the accommodations are appropriately documented in their Individualized Education Program (IEP), 504 plan</w:t>
      </w:r>
      <w:r w:rsidR="00AF7F7E">
        <w:rPr>
          <w:rFonts w:asciiTheme="minorHAnsi" w:hAnsiTheme="minorHAnsi" w:cstheme="minorHAnsi"/>
          <w:i/>
          <w:iCs/>
        </w:rPr>
        <w:t>,</w:t>
      </w:r>
      <w:r w:rsidRPr="00AF7F7E">
        <w:rPr>
          <w:rFonts w:asciiTheme="minorHAnsi" w:hAnsiTheme="minorHAnsi" w:cstheme="minorHAnsi"/>
          <w:i/>
          <w:iCs/>
        </w:rPr>
        <w:t xml:space="preserve"> or English learner plan.</w:t>
      </w:r>
    </w:p>
    <w:p w14:paraId="72FB40EE" w14:textId="77777777" w:rsidR="00944A46" w:rsidRPr="00551457" w:rsidRDefault="00944A46">
      <w:pPr>
        <w:pStyle w:val="BodyText"/>
        <w:rPr>
          <w:rFonts w:asciiTheme="minorHAnsi" w:hAnsiTheme="minorHAnsi" w:cstheme="minorHAnsi"/>
        </w:rPr>
      </w:pPr>
    </w:p>
    <w:p w14:paraId="39EE9502" w14:textId="79763B97" w:rsidR="00944A46" w:rsidRPr="00551457" w:rsidRDefault="00D84B37" w:rsidP="005924C6">
      <w:pPr>
        <w:rPr>
          <w:rFonts w:asciiTheme="minorHAnsi" w:hAnsiTheme="minorHAnsi" w:cstheme="minorHAnsi"/>
          <w:b/>
          <w:sz w:val="24"/>
          <w:szCs w:val="24"/>
        </w:rPr>
      </w:pPr>
      <w:r w:rsidRPr="00551457">
        <w:rPr>
          <w:rFonts w:asciiTheme="minorHAnsi" w:hAnsiTheme="minorHAnsi" w:cstheme="minorHAnsi"/>
          <w:b/>
          <w:sz w:val="24"/>
          <w:szCs w:val="24"/>
          <w:u w:val="thick"/>
        </w:rPr>
        <w:t>CTE Finisher Component:</w:t>
      </w:r>
    </w:p>
    <w:p w14:paraId="10D73091" w14:textId="77777777" w:rsidR="00944A46" w:rsidRPr="00551457" w:rsidRDefault="00D84B37" w:rsidP="00AF7F7E">
      <w:pPr>
        <w:ind w:right="850"/>
        <w:rPr>
          <w:rFonts w:asciiTheme="minorHAnsi" w:hAnsiTheme="minorHAnsi" w:cstheme="minorHAnsi"/>
          <w:b/>
          <w:sz w:val="24"/>
          <w:szCs w:val="24"/>
        </w:rPr>
      </w:pPr>
      <w:r w:rsidRPr="00551457">
        <w:rPr>
          <w:rFonts w:asciiTheme="minorHAnsi" w:hAnsiTheme="minorHAnsi" w:cstheme="minorHAnsi"/>
          <w:b/>
          <w:sz w:val="24"/>
          <w:szCs w:val="24"/>
        </w:rPr>
        <w:t>Can the Workplace Readiness Skills for the Commonwealth (WRS) assessment be used as a valid assessment in conjunction with being a CTE finisher to count in the numerator of the CCCRI calculation?</w:t>
      </w:r>
    </w:p>
    <w:p w14:paraId="7A6FCE49" w14:textId="77777777" w:rsidR="00944A46" w:rsidRPr="00551457" w:rsidRDefault="00D84B37" w:rsidP="005924C6">
      <w:pPr>
        <w:pStyle w:val="BodyText"/>
        <w:ind w:right="970"/>
        <w:rPr>
          <w:rFonts w:asciiTheme="minorHAnsi" w:hAnsiTheme="minorHAnsi" w:cstheme="minorHAnsi"/>
        </w:rPr>
      </w:pPr>
      <w:r w:rsidRPr="00AF7F7E">
        <w:rPr>
          <w:rFonts w:asciiTheme="minorHAnsi" w:hAnsiTheme="minorHAnsi" w:cstheme="minorHAnsi"/>
          <w:i/>
          <w:iCs/>
        </w:rPr>
        <w:t>Yes, the CTE credential component, could include the successful completion of an industry</w:t>
      </w:r>
      <w:r w:rsidRPr="00551457">
        <w:rPr>
          <w:rFonts w:asciiTheme="minorHAnsi" w:hAnsiTheme="minorHAnsi" w:cstheme="minorHAnsi"/>
        </w:rPr>
        <w:t xml:space="preserve"> </w:t>
      </w:r>
      <w:r w:rsidRPr="00AF7F7E">
        <w:rPr>
          <w:rFonts w:asciiTheme="minorHAnsi" w:hAnsiTheme="minorHAnsi" w:cstheme="minorHAnsi"/>
          <w:i/>
          <w:iCs/>
        </w:rPr>
        <w:t>certification, a state licensure examination, a national occupational competency assessment, or the WRS assessment.</w:t>
      </w:r>
    </w:p>
    <w:p w14:paraId="5D9ECCDE" w14:textId="77777777" w:rsidR="00944A46" w:rsidRPr="00551457" w:rsidRDefault="00944A46" w:rsidP="005924C6">
      <w:pPr>
        <w:pStyle w:val="BodyText"/>
        <w:spacing w:before="2"/>
        <w:rPr>
          <w:rFonts w:asciiTheme="minorHAnsi" w:hAnsiTheme="minorHAnsi" w:cstheme="minorHAnsi"/>
        </w:rPr>
      </w:pPr>
    </w:p>
    <w:p w14:paraId="40BC449D" w14:textId="77777777" w:rsidR="00AF7F7E" w:rsidRPr="00AF7F7E" w:rsidRDefault="00AF7F7E" w:rsidP="005924C6">
      <w:pPr>
        <w:pStyle w:val="BodyText"/>
        <w:ind w:right="782"/>
        <w:rPr>
          <w:rFonts w:asciiTheme="minorHAnsi" w:hAnsiTheme="minorHAnsi" w:cstheme="minorHAnsi"/>
          <w:b/>
          <w:bCs/>
        </w:rPr>
      </w:pPr>
      <w:r w:rsidRPr="00AF7F7E">
        <w:rPr>
          <w:rFonts w:asciiTheme="minorHAnsi" w:hAnsiTheme="minorHAnsi" w:cstheme="minorHAnsi"/>
          <w:b/>
          <w:bCs/>
        </w:rPr>
        <w:t xml:space="preserve">Must </w:t>
      </w:r>
      <w:r w:rsidRPr="00AF7F7E">
        <w:rPr>
          <w:rFonts w:asciiTheme="minorHAnsi" w:hAnsiTheme="minorHAnsi" w:cstheme="minorHAnsi"/>
          <w:b/>
          <w:bCs/>
        </w:rPr>
        <w:t>the certification earned match the CTE completion program for the student to be counted as meeting the requirement for CCCRI</w:t>
      </w:r>
      <w:r w:rsidRPr="00AF7F7E">
        <w:rPr>
          <w:rFonts w:asciiTheme="minorHAnsi" w:hAnsiTheme="minorHAnsi" w:cstheme="minorHAnsi"/>
          <w:b/>
          <w:bCs/>
        </w:rPr>
        <w:t>?</w:t>
      </w:r>
    </w:p>
    <w:p w14:paraId="017E6218" w14:textId="5E0AFC58" w:rsidR="00AF7F7E" w:rsidRDefault="00D84B37" w:rsidP="00631FB8">
      <w:pPr>
        <w:pStyle w:val="BodyText"/>
        <w:ind w:right="782"/>
        <w:rPr>
          <w:rFonts w:asciiTheme="minorHAnsi" w:hAnsiTheme="minorHAnsi" w:cstheme="minorHAnsi"/>
          <w:i/>
          <w:iCs/>
        </w:rPr>
      </w:pPr>
      <w:r w:rsidRPr="00AF7F7E">
        <w:rPr>
          <w:rFonts w:asciiTheme="minorHAnsi" w:hAnsiTheme="minorHAnsi" w:cstheme="minorHAnsi"/>
          <w:i/>
          <w:iCs/>
        </w:rPr>
        <w:t>No, not for inclusion in the CCCRI calculation. For inclusion in CTE data collection and process, yes.</w:t>
      </w:r>
    </w:p>
    <w:p w14:paraId="667FAF6E" w14:textId="77777777" w:rsidR="00631FB8" w:rsidRPr="00631FB8" w:rsidRDefault="00631FB8" w:rsidP="00631FB8">
      <w:pPr>
        <w:pStyle w:val="BodyText"/>
        <w:ind w:right="782"/>
        <w:rPr>
          <w:rFonts w:asciiTheme="minorHAnsi" w:hAnsiTheme="minorHAnsi" w:cstheme="minorHAnsi"/>
          <w:i/>
          <w:iCs/>
        </w:rPr>
      </w:pPr>
    </w:p>
    <w:p w14:paraId="7877C4DD" w14:textId="4CAF01B6" w:rsidR="00AF7F7E" w:rsidRDefault="00AF7F7E" w:rsidP="005924C6">
      <w:pPr>
        <w:pStyle w:val="BodyText"/>
        <w:ind w:right="1328"/>
        <w:rPr>
          <w:rFonts w:asciiTheme="minorHAnsi" w:hAnsiTheme="minorHAnsi" w:cstheme="minorHAnsi"/>
        </w:rPr>
      </w:pPr>
      <w:r>
        <w:rPr>
          <w:rFonts w:asciiTheme="minorHAnsi" w:hAnsiTheme="minorHAnsi" w:cstheme="minorHAnsi"/>
          <w:b/>
          <w:bCs/>
        </w:rPr>
        <w:t>Can an</w:t>
      </w:r>
      <w:r w:rsidRPr="00AF7F7E">
        <w:rPr>
          <w:rFonts w:asciiTheme="minorHAnsi" w:hAnsiTheme="minorHAnsi" w:cstheme="minorHAnsi"/>
          <w:b/>
          <w:bCs/>
        </w:rPr>
        <w:t xml:space="preserve"> industry certification </w:t>
      </w:r>
      <w:r w:rsidR="00631FB8">
        <w:rPr>
          <w:rFonts w:asciiTheme="minorHAnsi" w:hAnsiTheme="minorHAnsi" w:cstheme="minorHAnsi"/>
          <w:b/>
          <w:bCs/>
        </w:rPr>
        <w:t xml:space="preserve">a student </w:t>
      </w:r>
      <w:r w:rsidRPr="00AF7F7E">
        <w:rPr>
          <w:rFonts w:asciiTheme="minorHAnsi" w:hAnsiTheme="minorHAnsi" w:cstheme="minorHAnsi"/>
          <w:b/>
          <w:bCs/>
        </w:rPr>
        <w:t>earned in middle school count for the CCCRI calculations in high school</w:t>
      </w:r>
      <w:r>
        <w:rPr>
          <w:rFonts w:asciiTheme="minorHAnsi" w:hAnsiTheme="minorHAnsi" w:cstheme="minorHAnsi"/>
        </w:rPr>
        <w:t>?</w:t>
      </w:r>
    </w:p>
    <w:p w14:paraId="2C57A93F" w14:textId="5FF94277" w:rsidR="00944A46" w:rsidRPr="00AF7F7E" w:rsidRDefault="00D84B37" w:rsidP="005924C6">
      <w:pPr>
        <w:pStyle w:val="BodyText"/>
        <w:ind w:right="1328"/>
        <w:rPr>
          <w:rFonts w:asciiTheme="minorHAnsi" w:hAnsiTheme="minorHAnsi" w:cstheme="minorHAnsi"/>
          <w:i/>
          <w:iCs/>
        </w:rPr>
      </w:pPr>
      <w:r w:rsidRPr="00AF7F7E">
        <w:rPr>
          <w:rFonts w:asciiTheme="minorHAnsi" w:hAnsiTheme="minorHAnsi" w:cstheme="minorHAnsi"/>
          <w:i/>
          <w:iCs/>
        </w:rPr>
        <w:t>No, the CCCRI must reflect instruction and experiences provided to the student at the high school.</w:t>
      </w:r>
    </w:p>
    <w:sectPr w:rsidR="00944A46" w:rsidRPr="00AF7F7E" w:rsidSect="00631FB8">
      <w:headerReference w:type="default" r:id="rId8"/>
      <w:footerReference w:type="default" r:id="rId9"/>
      <w:pgSz w:w="12240" w:h="15840"/>
      <w:pgMar w:top="1540" w:right="1080" w:bottom="940" w:left="1060" w:header="728"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B9D18" w14:textId="77777777" w:rsidR="00750E76" w:rsidRDefault="00750E76">
      <w:r>
        <w:separator/>
      </w:r>
    </w:p>
  </w:endnote>
  <w:endnote w:type="continuationSeparator" w:id="0">
    <w:p w14:paraId="6AB84CD3" w14:textId="77777777" w:rsidR="00750E76" w:rsidRDefault="00750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670942500"/>
      <w:docPartObj>
        <w:docPartGallery w:val="Page Numbers (Bottom of Page)"/>
        <w:docPartUnique/>
      </w:docPartObj>
    </w:sdtPr>
    <w:sdtEndPr>
      <w:rPr>
        <w:noProof/>
      </w:rPr>
    </w:sdtEndPr>
    <w:sdtContent>
      <w:p w14:paraId="25EDFE4A" w14:textId="69B0EE20" w:rsidR="00AF7F7E" w:rsidRPr="00AF7F7E" w:rsidRDefault="00AF7F7E" w:rsidP="00AF7F7E">
        <w:pPr>
          <w:pStyle w:val="Footer"/>
          <w:rPr>
            <w:rFonts w:asciiTheme="minorHAnsi" w:hAnsiTheme="minorHAnsi" w:cstheme="minorHAnsi"/>
          </w:rPr>
        </w:pPr>
        <w:r w:rsidRPr="00AF7F7E">
          <w:rPr>
            <w:rFonts w:asciiTheme="minorHAnsi" w:hAnsiTheme="minorHAnsi" w:cstheme="minorHAnsi"/>
          </w:rPr>
          <w:t xml:space="preserve">Virginia Department of Education CCCRI FAQ January 2023                                                                                        </w:t>
        </w:r>
        <w:r w:rsidRPr="00AF7F7E">
          <w:rPr>
            <w:rFonts w:asciiTheme="minorHAnsi" w:hAnsiTheme="minorHAnsi" w:cstheme="minorHAnsi"/>
          </w:rPr>
          <w:fldChar w:fldCharType="begin"/>
        </w:r>
        <w:r w:rsidRPr="00AF7F7E">
          <w:rPr>
            <w:rFonts w:asciiTheme="minorHAnsi" w:hAnsiTheme="minorHAnsi" w:cstheme="minorHAnsi"/>
          </w:rPr>
          <w:instrText xml:space="preserve"> PAGE   \* MERGEFORMAT </w:instrText>
        </w:r>
        <w:r w:rsidRPr="00AF7F7E">
          <w:rPr>
            <w:rFonts w:asciiTheme="minorHAnsi" w:hAnsiTheme="minorHAnsi" w:cstheme="minorHAnsi"/>
          </w:rPr>
          <w:fldChar w:fldCharType="separate"/>
        </w:r>
        <w:r w:rsidRPr="00AF7F7E">
          <w:rPr>
            <w:rFonts w:asciiTheme="minorHAnsi" w:hAnsiTheme="minorHAnsi" w:cstheme="minorHAnsi"/>
            <w:noProof/>
          </w:rPr>
          <w:t>2</w:t>
        </w:r>
        <w:r w:rsidRPr="00AF7F7E">
          <w:rPr>
            <w:rFonts w:asciiTheme="minorHAnsi" w:hAnsiTheme="minorHAnsi" w:cstheme="minorHAnsi"/>
            <w:noProof/>
          </w:rPr>
          <w:fldChar w:fldCharType="end"/>
        </w:r>
      </w:p>
    </w:sdtContent>
  </w:sdt>
  <w:p w14:paraId="00FA08EB" w14:textId="5A1655FF" w:rsidR="00944A46" w:rsidRPr="00AF7F7E" w:rsidRDefault="00944A46" w:rsidP="00AF7F7E">
    <w:pPr>
      <w:pStyle w:val="Footer"/>
      <w:rPr>
        <w:rFonts w:asciiTheme="minorHAnsi" w:hAnsiTheme="minorHAnsi" w:cs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CE7C1" w14:textId="77777777" w:rsidR="00750E76" w:rsidRDefault="00750E76">
      <w:r>
        <w:separator/>
      </w:r>
    </w:p>
  </w:footnote>
  <w:footnote w:type="continuationSeparator" w:id="0">
    <w:p w14:paraId="72A04408" w14:textId="77777777" w:rsidR="00750E76" w:rsidRDefault="00750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3F43" w14:textId="78C889B5" w:rsidR="00944A46" w:rsidRDefault="00944A4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27332"/>
    <w:multiLevelType w:val="hybridMultilevel"/>
    <w:tmpl w:val="2A30E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0316B"/>
    <w:multiLevelType w:val="hybridMultilevel"/>
    <w:tmpl w:val="1A78A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4321A4"/>
    <w:multiLevelType w:val="hybridMultilevel"/>
    <w:tmpl w:val="739EF5BA"/>
    <w:lvl w:ilvl="0" w:tplc="97BEF1B8">
      <w:start w:val="1"/>
      <w:numFmt w:val="decimal"/>
      <w:lvlText w:val="%1."/>
      <w:lvlJc w:val="left"/>
      <w:pPr>
        <w:ind w:left="1100" w:hanging="360"/>
        <w:jc w:val="left"/>
      </w:pPr>
      <w:rPr>
        <w:rFonts w:ascii="Times New Roman" w:eastAsia="Times New Roman" w:hAnsi="Times New Roman" w:cs="Times New Roman" w:hint="default"/>
        <w:spacing w:val="-2"/>
        <w:w w:val="99"/>
        <w:sz w:val="24"/>
        <w:szCs w:val="24"/>
      </w:rPr>
    </w:lvl>
    <w:lvl w:ilvl="1" w:tplc="A1CCA1EC">
      <w:numFmt w:val="bullet"/>
      <w:lvlText w:val="•"/>
      <w:lvlJc w:val="left"/>
      <w:pPr>
        <w:ind w:left="2034" w:hanging="360"/>
      </w:pPr>
      <w:rPr>
        <w:rFonts w:hint="default"/>
      </w:rPr>
    </w:lvl>
    <w:lvl w:ilvl="2" w:tplc="812ABA60">
      <w:numFmt w:val="bullet"/>
      <w:lvlText w:val="•"/>
      <w:lvlJc w:val="left"/>
      <w:pPr>
        <w:ind w:left="2968" w:hanging="360"/>
      </w:pPr>
      <w:rPr>
        <w:rFonts w:hint="default"/>
      </w:rPr>
    </w:lvl>
    <w:lvl w:ilvl="3" w:tplc="8F424D10">
      <w:numFmt w:val="bullet"/>
      <w:lvlText w:val="•"/>
      <w:lvlJc w:val="left"/>
      <w:pPr>
        <w:ind w:left="3902" w:hanging="360"/>
      </w:pPr>
      <w:rPr>
        <w:rFonts w:hint="default"/>
      </w:rPr>
    </w:lvl>
    <w:lvl w:ilvl="4" w:tplc="EEDC2580">
      <w:numFmt w:val="bullet"/>
      <w:lvlText w:val="•"/>
      <w:lvlJc w:val="left"/>
      <w:pPr>
        <w:ind w:left="4836" w:hanging="360"/>
      </w:pPr>
      <w:rPr>
        <w:rFonts w:hint="default"/>
      </w:rPr>
    </w:lvl>
    <w:lvl w:ilvl="5" w:tplc="1DCC9002">
      <w:numFmt w:val="bullet"/>
      <w:lvlText w:val="•"/>
      <w:lvlJc w:val="left"/>
      <w:pPr>
        <w:ind w:left="5770" w:hanging="360"/>
      </w:pPr>
      <w:rPr>
        <w:rFonts w:hint="default"/>
      </w:rPr>
    </w:lvl>
    <w:lvl w:ilvl="6" w:tplc="4802C1F4">
      <w:numFmt w:val="bullet"/>
      <w:lvlText w:val="•"/>
      <w:lvlJc w:val="left"/>
      <w:pPr>
        <w:ind w:left="6704" w:hanging="360"/>
      </w:pPr>
      <w:rPr>
        <w:rFonts w:hint="default"/>
      </w:rPr>
    </w:lvl>
    <w:lvl w:ilvl="7" w:tplc="27EE45B2">
      <w:numFmt w:val="bullet"/>
      <w:lvlText w:val="•"/>
      <w:lvlJc w:val="left"/>
      <w:pPr>
        <w:ind w:left="7638" w:hanging="360"/>
      </w:pPr>
      <w:rPr>
        <w:rFonts w:hint="default"/>
      </w:rPr>
    </w:lvl>
    <w:lvl w:ilvl="8" w:tplc="1F569F96">
      <w:numFmt w:val="bullet"/>
      <w:lvlText w:val="•"/>
      <w:lvlJc w:val="left"/>
      <w:pPr>
        <w:ind w:left="8572" w:hanging="360"/>
      </w:pPr>
      <w:rPr>
        <w:rFonts w:hint="default"/>
      </w:rPr>
    </w:lvl>
  </w:abstractNum>
  <w:abstractNum w:abstractNumId="3" w15:restartNumberingAfterBreak="0">
    <w:nsid w:val="48C43B45"/>
    <w:multiLevelType w:val="hybridMultilevel"/>
    <w:tmpl w:val="1DB2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46"/>
    <w:rsid w:val="000B3DD7"/>
    <w:rsid w:val="001E5074"/>
    <w:rsid w:val="00551457"/>
    <w:rsid w:val="005924C6"/>
    <w:rsid w:val="005C656E"/>
    <w:rsid w:val="00613B78"/>
    <w:rsid w:val="00631FB8"/>
    <w:rsid w:val="00750E76"/>
    <w:rsid w:val="00944A46"/>
    <w:rsid w:val="00AF7F7E"/>
    <w:rsid w:val="00B13CD1"/>
    <w:rsid w:val="00B161BD"/>
    <w:rsid w:val="00D27C90"/>
    <w:rsid w:val="00D84B37"/>
    <w:rsid w:val="00E84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AFDB4"/>
  <w15:docId w15:val="{8CABF804-B5DC-4173-8F40-8D562810E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255"/>
      <w:outlineLvl w:val="0"/>
    </w:pPr>
    <w:rPr>
      <w:b/>
      <w:bCs/>
      <w:sz w:val="28"/>
      <w:szCs w:val="28"/>
    </w:rPr>
  </w:style>
  <w:style w:type="paragraph" w:styleId="Heading2">
    <w:name w:val="heading 2"/>
    <w:basedOn w:val="Normal"/>
    <w:uiPriority w:val="1"/>
    <w:qFormat/>
    <w:pPr>
      <w:ind w:left="3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00"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613B78"/>
    <w:pPr>
      <w:tabs>
        <w:tab w:val="center" w:pos="4680"/>
        <w:tab w:val="right" w:pos="9360"/>
      </w:tabs>
    </w:pPr>
  </w:style>
  <w:style w:type="character" w:customStyle="1" w:styleId="HeaderChar">
    <w:name w:val="Header Char"/>
    <w:basedOn w:val="DefaultParagraphFont"/>
    <w:link w:val="Header"/>
    <w:uiPriority w:val="99"/>
    <w:rsid w:val="00613B78"/>
    <w:rPr>
      <w:rFonts w:ascii="Times New Roman" w:eastAsia="Times New Roman" w:hAnsi="Times New Roman" w:cs="Times New Roman"/>
    </w:rPr>
  </w:style>
  <w:style w:type="paragraph" w:styleId="Footer">
    <w:name w:val="footer"/>
    <w:basedOn w:val="Normal"/>
    <w:link w:val="FooterChar"/>
    <w:uiPriority w:val="99"/>
    <w:unhideWhenUsed/>
    <w:rsid w:val="00613B78"/>
    <w:pPr>
      <w:tabs>
        <w:tab w:val="center" w:pos="4680"/>
        <w:tab w:val="right" w:pos="9360"/>
      </w:tabs>
    </w:pPr>
  </w:style>
  <w:style w:type="character" w:customStyle="1" w:styleId="FooterChar">
    <w:name w:val="Footer Char"/>
    <w:basedOn w:val="DefaultParagraphFont"/>
    <w:link w:val="Footer"/>
    <w:uiPriority w:val="99"/>
    <w:rsid w:val="00613B78"/>
    <w:rPr>
      <w:rFonts w:ascii="Times New Roman" w:eastAsia="Times New Roman" w:hAnsi="Times New Roman" w:cs="Times New Roman"/>
    </w:rPr>
  </w:style>
  <w:style w:type="table" w:styleId="TableGrid">
    <w:name w:val="Table Grid"/>
    <w:basedOn w:val="TableNormal"/>
    <w:uiPriority w:val="39"/>
    <w:rsid w:val="00592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F7F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oe.virginia.gov/home/showpublisheddocument/35012/63805420265217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CCCRI FAQ</vt:lpstr>
    </vt:vector>
  </TitlesOfParts>
  <Company>Virginia Information Technologies Agency</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CCCRI FAQ</dc:title>
  <dc:creator>Virginia Dept. of Education</dc:creator>
  <cp:lastModifiedBy>Siepka, Amy (DOE)</cp:lastModifiedBy>
  <cp:revision>8</cp:revision>
  <dcterms:created xsi:type="dcterms:W3CDTF">2023-01-09T15:46:00Z</dcterms:created>
  <dcterms:modified xsi:type="dcterms:W3CDTF">2023-01-09T17:49:00Z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2021-01-13T00:00:00Z</vt:filetime>
  </property>
  <property fmtid="{D5CDD505-2E9C-101B-9397-08002B2CF9AE}" pid="3" name="Creator">
    <vt:lpwstr>Acrobat PDFMaker 17 for Word</vt:lpwstr>
  </property>
  <property fmtid="{D5CDD505-2E9C-101B-9397-08002B2CF9AE}" pid="4" name="LastSaved">
    <vt:filetime>2022-09-19T00:00:00Z</vt:filetime>
  </property>
</Properties>
</file>