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885C05">
        <w:t>Wythe County Public Schools</w:t>
      </w:r>
      <w:r w:rsidR="00885C05">
        <w:tab/>
      </w:r>
      <w:r w:rsidR="00885C05">
        <w:tab/>
      </w:r>
    </w:p>
    <w:p w:rsidR="00E63DC5" w:rsidRDefault="00E63DC5" w:rsidP="00E63DC5">
      <w:pPr>
        <w:pStyle w:val="NormalTNR"/>
      </w:pPr>
      <w:r w:rsidRPr="008B62AA">
        <w:rPr>
          <w:b/>
        </w:rPr>
        <w:t>Report Publication Date:</w:t>
      </w:r>
      <w:r>
        <w:t xml:space="preserve"> </w:t>
      </w:r>
      <w:r w:rsidR="00535257">
        <w:t>April 2, 2019</w:t>
      </w:r>
    </w:p>
    <w:p w:rsidR="00E63DC5" w:rsidRDefault="00E63DC5" w:rsidP="00E63DC5">
      <w:pPr>
        <w:pStyle w:val="NormalTNR"/>
      </w:pPr>
      <w:r w:rsidRPr="008B62AA">
        <w:rPr>
          <w:b/>
        </w:rPr>
        <w:t>Administrative Review Dates:</w:t>
      </w:r>
      <w:r>
        <w:t xml:space="preserve"> </w:t>
      </w:r>
      <w:r w:rsidR="00885C05">
        <w:t>October 16 -19, 2018</w:t>
      </w:r>
    </w:p>
    <w:p w:rsidR="00E63DC5" w:rsidRDefault="00E63DC5" w:rsidP="00E63DC5">
      <w:pPr>
        <w:pStyle w:val="NormalTNR"/>
      </w:pPr>
      <w:r w:rsidRPr="008B62AA">
        <w:rPr>
          <w:b/>
        </w:rPr>
        <w:t>Review Month and Year:</w:t>
      </w:r>
      <w:r>
        <w:t xml:space="preserve"> </w:t>
      </w:r>
      <w:r w:rsidR="00885C05">
        <w:t>September 2018</w:t>
      </w:r>
    </w:p>
    <w:p w:rsidR="00E63DC5" w:rsidRDefault="00E63DC5" w:rsidP="00E63DC5">
      <w:pPr>
        <w:pStyle w:val="NormalTNR"/>
      </w:pPr>
      <w:r w:rsidRPr="008B62AA">
        <w:rPr>
          <w:b/>
        </w:rPr>
        <w:t>Participating Programs:</w:t>
      </w:r>
      <w:r>
        <w:t xml:space="preserve"> </w:t>
      </w:r>
      <w:r w:rsidR="00885C05">
        <w:t>NSLP, SBP</w:t>
      </w:r>
      <w:r w:rsidR="00886D81">
        <w:t>, SFSP</w:t>
      </w:r>
    </w:p>
    <w:p w:rsidR="00E63DC5" w:rsidRPr="00E63DC5" w:rsidRDefault="00E63DC5" w:rsidP="00F70D82">
      <w:pPr>
        <w:pStyle w:val="NormalTNR"/>
        <w:spacing w:after="600"/>
      </w:pPr>
      <w:r w:rsidRPr="008B62AA">
        <w:rPr>
          <w:b/>
        </w:rPr>
        <w:t>Participates in Special Provisions?</w:t>
      </w:r>
      <w:r>
        <w:t xml:space="preserve"> </w:t>
      </w:r>
      <w:r w:rsidR="00F04514">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0B3375">
        <w:rPr>
          <w:sz w:val="28"/>
        </w:rPr>
        <w:t>September 2018</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885C05" w:rsidP="007B68D3">
            <w:pPr>
              <w:pStyle w:val="NormalTNR"/>
              <w:spacing w:after="0"/>
              <w:rPr>
                <w:lang w:eastAsia="ja-JP"/>
              </w:rPr>
            </w:pPr>
            <w:r>
              <w:rPr>
                <w:lang w:eastAsia="ja-JP"/>
              </w:rPr>
              <w:t>1</w:t>
            </w:r>
            <w:r w:rsidR="00A464FE">
              <w:rPr>
                <w:lang w:eastAsia="ja-JP"/>
              </w:rPr>
              <w:t>,</w:t>
            </w:r>
            <w:r>
              <w:rPr>
                <w:lang w:eastAsia="ja-JP"/>
              </w:rPr>
              <w:t>746</w:t>
            </w:r>
          </w:p>
        </w:tc>
        <w:tc>
          <w:tcPr>
            <w:tcW w:w="1563" w:type="dxa"/>
            <w:shd w:val="clear" w:color="auto" w:fill="auto"/>
            <w:vAlign w:val="center"/>
          </w:tcPr>
          <w:p w:rsidR="006C3986" w:rsidRPr="00690A00" w:rsidRDefault="00885C05" w:rsidP="007B68D3">
            <w:pPr>
              <w:pStyle w:val="NormalTNR"/>
              <w:spacing w:after="0"/>
              <w:rPr>
                <w:lang w:eastAsia="ja-JP"/>
              </w:rPr>
            </w:pPr>
            <w:r>
              <w:rPr>
                <w:lang w:eastAsia="ja-JP"/>
              </w:rPr>
              <w:t>1</w:t>
            </w:r>
            <w:r w:rsidR="00A464FE">
              <w:rPr>
                <w:lang w:eastAsia="ja-JP"/>
              </w:rPr>
              <w:t>,</w:t>
            </w:r>
            <w:r>
              <w:rPr>
                <w:lang w:eastAsia="ja-JP"/>
              </w:rPr>
              <w:t>269</w:t>
            </w:r>
          </w:p>
        </w:tc>
        <w:tc>
          <w:tcPr>
            <w:tcW w:w="1027" w:type="dxa"/>
            <w:shd w:val="clear" w:color="auto" w:fill="auto"/>
            <w:vAlign w:val="center"/>
          </w:tcPr>
          <w:p w:rsidR="006C3986" w:rsidRPr="00690A00" w:rsidRDefault="00885C05" w:rsidP="007B68D3">
            <w:pPr>
              <w:pStyle w:val="NormalTNR"/>
              <w:spacing w:after="0"/>
              <w:rPr>
                <w:lang w:eastAsia="ja-JP"/>
              </w:rPr>
            </w:pPr>
            <w:r>
              <w:rPr>
                <w:lang w:eastAsia="ja-JP"/>
              </w:rPr>
              <w:t>62.48</w:t>
            </w:r>
          </w:p>
        </w:tc>
        <w:tc>
          <w:tcPr>
            <w:tcW w:w="1249" w:type="dxa"/>
            <w:shd w:val="clear" w:color="auto" w:fill="auto"/>
            <w:vAlign w:val="center"/>
          </w:tcPr>
          <w:p w:rsidR="006C3986" w:rsidRPr="00690A00" w:rsidRDefault="00885C05" w:rsidP="007B68D3">
            <w:pPr>
              <w:pStyle w:val="NormalTNR"/>
              <w:spacing w:after="0"/>
              <w:rPr>
                <w:lang w:eastAsia="ja-JP"/>
              </w:rPr>
            </w:pPr>
            <w:r>
              <w:rPr>
                <w:lang w:eastAsia="ja-JP"/>
              </w:rPr>
              <w:t>881</w:t>
            </w:r>
          </w:p>
        </w:tc>
        <w:tc>
          <w:tcPr>
            <w:tcW w:w="1216" w:type="dxa"/>
            <w:shd w:val="clear" w:color="auto" w:fill="auto"/>
            <w:vAlign w:val="center"/>
          </w:tcPr>
          <w:p w:rsidR="006C3986" w:rsidRPr="00690A00" w:rsidRDefault="00885C05" w:rsidP="007B68D3">
            <w:pPr>
              <w:pStyle w:val="NormalTNR"/>
              <w:spacing w:after="0"/>
              <w:rPr>
                <w:lang w:eastAsia="ja-JP"/>
              </w:rPr>
            </w:pPr>
            <w:r>
              <w:rPr>
                <w:lang w:eastAsia="ja-JP"/>
              </w:rPr>
              <w:t>67.67</w:t>
            </w:r>
          </w:p>
        </w:tc>
        <w:tc>
          <w:tcPr>
            <w:tcW w:w="1860" w:type="dxa"/>
            <w:shd w:val="clear" w:color="auto" w:fill="auto"/>
            <w:vAlign w:val="center"/>
          </w:tcPr>
          <w:p w:rsidR="006C3986" w:rsidRPr="00690A00" w:rsidRDefault="003261F7" w:rsidP="007B68D3">
            <w:pPr>
              <w:pStyle w:val="NormalTNR"/>
              <w:spacing w:after="0"/>
              <w:rPr>
                <w:lang w:eastAsia="ja-JP"/>
              </w:rPr>
            </w:pPr>
            <w:r>
              <w:rPr>
                <w:lang w:eastAsia="ja-JP"/>
              </w:rPr>
              <w:t>117,583.43</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885C05" w:rsidP="007B68D3">
            <w:pPr>
              <w:pStyle w:val="NormalTNR"/>
              <w:spacing w:after="0"/>
              <w:rPr>
                <w:lang w:eastAsia="ja-JP"/>
              </w:rPr>
            </w:pPr>
            <w:r>
              <w:rPr>
                <w:lang w:eastAsia="ja-JP"/>
              </w:rPr>
              <w:t>281</w:t>
            </w:r>
          </w:p>
        </w:tc>
        <w:tc>
          <w:tcPr>
            <w:tcW w:w="1563" w:type="dxa"/>
            <w:shd w:val="clear" w:color="auto" w:fill="auto"/>
            <w:vAlign w:val="center"/>
          </w:tcPr>
          <w:p w:rsidR="006C3986" w:rsidRPr="00690A00" w:rsidRDefault="00885C05" w:rsidP="007B68D3">
            <w:pPr>
              <w:pStyle w:val="NormalTNR"/>
              <w:spacing w:after="0"/>
              <w:rPr>
                <w:lang w:eastAsia="ja-JP"/>
              </w:rPr>
            </w:pPr>
            <w:r>
              <w:rPr>
                <w:lang w:eastAsia="ja-JP"/>
              </w:rPr>
              <w:t>202</w:t>
            </w:r>
          </w:p>
        </w:tc>
        <w:tc>
          <w:tcPr>
            <w:tcW w:w="1027" w:type="dxa"/>
            <w:shd w:val="clear" w:color="auto" w:fill="auto"/>
            <w:vAlign w:val="center"/>
          </w:tcPr>
          <w:p w:rsidR="006C3986" w:rsidRPr="00690A00" w:rsidRDefault="00885C05" w:rsidP="007B68D3">
            <w:pPr>
              <w:pStyle w:val="NormalTNR"/>
              <w:spacing w:after="0"/>
              <w:rPr>
                <w:lang w:eastAsia="ja-JP"/>
              </w:rPr>
            </w:pPr>
            <w:r>
              <w:rPr>
                <w:lang w:eastAsia="ja-JP"/>
              </w:rPr>
              <w:t>9.95</w:t>
            </w:r>
          </w:p>
        </w:tc>
        <w:tc>
          <w:tcPr>
            <w:tcW w:w="1249" w:type="dxa"/>
            <w:shd w:val="clear" w:color="auto" w:fill="auto"/>
            <w:vAlign w:val="center"/>
          </w:tcPr>
          <w:p w:rsidR="006C3986" w:rsidRPr="00690A00" w:rsidRDefault="00885C05" w:rsidP="007B68D3">
            <w:pPr>
              <w:pStyle w:val="NormalTNR"/>
              <w:spacing w:after="0"/>
              <w:rPr>
                <w:lang w:eastAsia="ja-JP"/>
              </w:rPr>
            </w:pPr>
            <w:r>
              <w:rPr>
                <w:lang w:eastAsia="ja-JP"/>
              </w:rPr>
              <w:t>110</w:t>
            </w:r>
          </w:p>
        </w:tc>
        <w:tc>
          <w:tcPr>
            <w:tcW w:w="1216" w:type="dxa"/>
            <w:shd w:val="clear" w:color="auto" w:fill="auto"/>
            <w:vAlign w:val="center"/>
          </w:tcPr>
          <w:p w:rsidR="006C3986" w:rsidRPr="00690A00" w:rsidRDefault="00885C05" w:rsidP="007B68D3">
            <w:pPr>
              <w:pStyle w:val="NormalTNR"/>
              <w:spacing w:after="0"/>
              <w:rPr>
                <w:lang w:eastAsia="ja-JP"/>
              </w:rPr>
            </w:pPr>
            <w:r>
              <w:rPr>
                <w:lang w:eastAsia="ja-JP"/>
              </w:rPr>
              <w:t>8.45</w:t>
            </w:r>
          </w:p>
        </w:tc>
        <w:tc>
          <w:tcPr>
            <w:tcW w:w="1860" w:type="dxa"/>
            <w:shd w:val="clear" w:color="auto" w:fill="auto"/>
            <w:vAlign w:val="center"/>
          </w:tcPr>
          <w:p w:rsidR="006C3986" w:rsidRPr="00690A00" w:rsidRDefault="003261F7" w:rsidP="007B68D3">
            <w:pPr>
              <w:pStyle w:val="NormalTNR"/>
              <w:spacing w:after="0"/>
              <w:rPr>
                <w:lang w:eastAsia="ja-JP"/>
              </w:rPr>
            </w:pPr>
            <w:r>
              <w:rPr>
                <w:lang w:eastAsia="ja-JP"/>
              </w:rPr>
              <w:t>15,343.30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885C05" w:rsidP="007B68D3">
            <w:pPr>
              <w:pStyle w:val="NormalTNR"/>
              <w:spacing w:after="0"/>
              <w:rPr>
                <w:lang w:eastAsia="ja-JP"/>
              </w:rPr>
            </w:pPr>
            <w:r>
              <w:rPr>
                <w:lang w:eastAsia="ja-JP"/>
              </w:rPr>
              <w:t>2</w:t>
            </w:r>
            <w:r w:rsidR="00A464FE">
              <w:rPr>
                <w:lang w:eastAsia="ja-JP"/>
              </w:rPr>
              <w:t>,</w:t>
            </w:r>
            <w:r>
              <w:rPr>
                <w:lang w:eastAsia="ja-JP"/>
              </w:rPr>
              <w:t>017</w:t>
            </w:r>
          </w:p>
        </w:tc>
        <w:tc>
          <w:tcPr>
            <w:tcW w:w="1563" w:type="dxa"/>
            <w:shd w:val="clear" w:color="auto" w:fill="auto"/>
            <w:vAlign w:val="center"/>
          </w:tcPr>
          <w:p w:rsidR="006C3986" w:rsidRPr="00690A00" w:rsidRDefault="00885C05" w:rsidP="007B68D3">
            <w:pPr>
              <w:pStyle w:val="NormalTNR"/>
              <w:spacing w:after="0"/>
              <w:rPr>
                <w:lang w:eastAsia="ja-JP"/>
              </w:rPr>
            </w:pPr>
            <w:r>
              <w:rPr>
                <w:lang w:eastAsia="ja-JP"/>
              </w:rPr>
              <w:t>560</w:t>
            </w:r>
          </w:p>
        </w:tc>
        <w:tc>
          <w:tcPr>
            <w:tcW w:w="1027" w:type="dxa"/>
            <w:shd w:val="clear" w:color="auto" w:fill="auto"/>
            <w:vAlign w:val="center"/>
          </w:tcPr>
          <w:p w:rsidR="006C3986" w:rsidRPr="00690A00" w:rsidRDefault="00885C05" w:rsidP="007B68D3">
            <w:pPr>
              <w:pStyle w:val="NormalTNR"/>
              <w:spacing w:after="0"/>
              <w:rPr>
                <w:lang w:eastAsia="ja-JP"/>
              </w:rPr>
            </w:pPr>
            <w:r>
              <w:rPr>
                <w:lang w:eastAsia="ja-JP"/>
              </w:rPr>
              <w:t>27.57</w:t>
            </w:r>
          </w:p>
        </w:tc>
        <w:tc>
          <w:tcPr>
            <w:tcW w:w="1249" w:type="dxa"/>
            <w:shd w:val="clear" w:color="auto" w:fill="auto"/>
            <w:vAlign w:val="center"/>
          </w:tcPr>
          <w:p w:rsidR="006C3986" w:rsidRPr="00690A00" w:rsidRDefault="00885C05" w:rsidP="007B68D3">
            <w:pPr>
              <w:pStyle w:val="NormalTNR"/>
              <w:spacing w:after="0"/>
              <w:rPr>
                <w:lang w:eastAsia="ja-JP"/>
              </w:rPr>
            </w:pPr>
            <w:r>
              <w:rPr>
                <w:lang w:eastAsia="ja-JP"/>
              </w:rPr>
              <w:t>311</w:t>
            </w:r>
          </w:p>
        </w:tc>
        <w:tc>
          <w:tcPr>
            <w:tcW w:w="1216" w:type="dxa"/>
            <w:shd w:val="clear" w:color="auto" w:fill="auto"/>
            <w:vAlign w:val="center"/>
          </w:tcPr>
          <w:p w:rsidR="006C3986" w:rsidRPr="00690A00" w:rsidRDefault="00885C05" w:rsidP="007B68D3">
            <w:pPr>
              <w:pStyle w:val="NormalTNR"/>
              <w:spacing w:after="0"/>
              <w:rPr>
                <w:lang w:eastAsia="ja-JP"/>
              </w:rPr>
            </w:pPr>
            <w:r>
              <w:rPr>
                <w:lang w:eastAsia="ja-JP"/>
              </w:rPr>
              <w:t>23.89</w:t>
            </w:r>
          </w:p>
        </w:tc>
        <w:tc>
          <w:tcPr>
            <w:tcW w:w="1860" w:type="dxa"/>
            <w:shd w:val="clear" w:color="auto" w:fill="auto"/>
            <w:vAlign w:val="center"/>
          </w:tcPr>
          <w:p w:rsidR="003261F7" w:rsidRPr="00690A00" w:rsidRDefault="003261F7" w:rsidP="003261F7">
            <w:pPr>
              <w:pStyle w:val="NormalTNR"/>
              <w:spacing w:after="0"/>
              <w:rPr>
                <w:lang w:eastAsia="ja-JP"/>
              </w:rPr>
            </w:pPr>
            <w:r>
              <w:rPr>
                <w:lang w:eastAsia="ja-JP"/>
              </w:rPr>
              <w:t>5,987.39</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885C05" w:rsidP="007B68D3">
            <w:pPr>
              <w:pStyle w:val="NormalTNR"/>
              <w:spacing w:after="0"/>
              <w:rPr>
                <w:b/>
                <w:lang w:eastAsia="ja-JP"/>
              </w:rPr>
            </w:pPr>
            <w:r>
              <w:rPr>
                <w:b/>
                <w:lang w:eastAsia="ja-JP"/>
              </w:rPr>
              <w:t>4</w:t>
            </w:r>
            <w:r w:rsidR="00A464FE">
              <w:rPr>
                <w:b/>
                <w:lang w:eastAsia="ja-JP"/>
              </w:rPr>
              <w:t>,</w:t>
            </w:r>
            <w:r>
              <w:rPr>
                <w:b/>
                <w:lang w:eastAsia="ja-JP"/>
              </w:rPr>
              <w:t>044</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3261F7" w:rsidRPr="00937A7F" w:rsidRDefault="003261F7" w:rsidP="003261F7">
            <w:pPr>
              <w:pStyle w:val="NormalTNR"/>
              <w:spacing w:after="0"/>
              <w:rPr>
                <w:b/>
                <w:lang w:eastAsia="ja-JP"/>
              </w:rPr>
            </w:pPr>
            <w:r>
              <w:rPr>
                <w:b/>
                <w:lang w:eastAsia="ja-JP"/>
              </w:rPr>
              <w:t>138,914.12</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5"/>
        <w:gridCol w:w="4677"/>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0B3375" w:rsidRDefault="002032A0" w:rsidP="00F40718">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0B3375" w:rsidRDefault="002032A0" w:rsidP="00F40718">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0B3375" w:rsidRDefault="002032A0" w:rsidP="00F40718">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0B3375" w:rsidRDefault="002032A0" w:rsidP="00F40718">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0B3375" w:rsidRDefault="002032A0" w:rsidP="00F40718">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0B3375" w:rsidRDefault="002032A0" w:rsidP="00F40718">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0B3375" w:rsidRDefault="00632D31" w:rsidP="00F40718">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0B3375" w:rsidRDefault="002032A0" w:rsidP="00F40718">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lastRenderedPageBreak/>
              <w:t>Competitive Foods</w:t>
            </w:r>
          </w:p>
        </w:tc>
        <w:tc>
          <w:tcPr>
            <w:tcW w:w="4669" w:type="dxa"/>
            <w:vAlign w:val="center"/>
          </w:tcPr>
          <w:p w:rsidR="006475A6" w:rsidRPr="000B3375" w:rsidRDefault="002032A0" w:rsidP="00F40718">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0B3375" w:rsidRDefault="002032A0" w:rsidP="00F40718">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1.75pt;height:21.75pt;visibility:visible;mso-wrap-style:square" o:bullet="t">
        <v:imagedata r:id="rId1" o:title=""/>
      </v:shape>
    </w:pict>
  </w:numPicBullet>
  <w:numPicBullet w:numPicBulletId="1">
    <w:pict>
      <v:shape id="_x0000_i1048" type="#_x0000_t75" alt="Denotes no findings" style="width:15pt;height:15pt;visibility:visible;mso-wrap-style:square" o:bullet="t">
        <v:imagedata r:id="rId2" o:title="Denotes no findings"/>
      </v:shape>
    </w:pict>
  </w:numPicBullet>
  <w:numPicBullet w:numPicBulletId="2">
    <w:pict>
      <v:shape id="_x0000_i1049" type="#_x0000_t75" alt="Denotes findings identified" style="width:21.75pt;height:21.75pt;visibility:visible;mso-wrap-style:square" o:bullet="t">
        <v:imagedata r:id="rId3" o:title="Denotes findings identified"/>
      </v:shape>
    </w:pict>
  </w:numPicBullet>
  <w:numPicBullet w:numPicBulletId="3">
    <w:pict>
      <v:shape id="_x0000_i1050" type="#_x0000_t75" style="width:15.75pt;height:15.75pt;visibility:visible;mso-wrap-style:square" o:bullet="t">
        <v:imagedata r:id="rId4" o:title=""/>
      </v:shape>
    </w:pict>
  </w:numPicBullet>
  <w:numPicBullet w:numPicBulletId="4">
    <w:pict>
      <v:shape id="_x0000_i1051" type="#_x0000_t75" style="width:15pt;height:15pt;visibility:visible;mso-wrap-style:square" o:bullet="t">
        <v:imagedata r:id="rId5" o:title=""/>
      </v:shape>
    </w:pict>
  </w:numPicBullet>
  <w:numPicBullet w:numPicBulletId="5">
    <w:pict>
      <v:shape id="_x0000_i1052" type="#_x0000_t75" alt="Denotes no findings" style="width:15pt;height:15pt;visibility:visible;mso-wrap-style:square" o:bullet="t">
        <v:imagedata r:id="rId6" o:title="Denotes no findings"/>
      </v:shape>
    </w:pict>
  </w:numPicBullet>
  <w:numPicBullet w:numPicBulletId="6">
    <w:pict>
      <v:shape id="_x0000_i1053" type="#_x0000_t75" style="width:15pt;height:15pt;visibility:visible;mso-wrap-style:square" o:bullet="t">
        <v:imagedata r:id="rId7" o:title=""/>
      </v:shape>
    </w:pict>
  </w:numPicBullet>
  <w:abstractNum w:abstractNumId="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70"/>
    <w:rsid w:val="00097AFF"/>
    <w:rsid w:val="000B155A"/>
    <w:rsid w:val="000B3375"/>
    <w:rsid w:val="000C309B"/>
    <w:rsid w:val="000C4495"/>
    <w:rsid w:val="00193A4C"/>
    <w:rsid w:val="001B0603"/>
    <w:rsid w:val="001F75BE"/>
    <w:rsid w:val="002032A0"/>
    <w:rsid w:val="00217886"/>
    <w:rsid w:val="00260CA2"/>
    <w:rsid w:val="00265D36"/>
    <w:rsid w:val="00274A66"/>
    <w:rsid w:val="002D2FED"/>
    <w:rsid w:val="002D4167"/>
    <w:rsid w:val="0031611E"/>
    <w:rsid w:val="003261F7"/>
    <w:rsid w:val="0032739D"/>
    <w:rsid w:val="003507AB"/>
    <w:rsid w:val="003C5AEE"/>
    <w:rsid w:val="00464DF8"/>
    <w:rsid w:val="004A5012"/>
    <w:rsid w:val="004C04E4"/>
    <w:rsid w:val="004C18F7"/>
    <w:rsid w:val="004D45AD"/>
    <w:rsid w:val="00527106"/>
    <w:rsid w:val="00535257"/>
    <w:rsid w:val="00576EFE"/>
    <w:rsid w:val="00593DA0"/>
    <w:rsid w:val="005C2719"/>
    <w:rsid w:val="005E617A"/>
    <w:rsid w:val="005E72E8"/>
    <w:rsid w:val="006070B4"/>
    <w:rsid w:val="00620948"/>
    <w:rsid w:val="00632D31"/>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885C05"/>
    <w:rsid w:val="00886D81"/>
    <w:rsid w:val="00906D57"/>
    <w:rsid w:val="00914162"/>
    <w:rsid w:val="00926804"/>
    <w:rsid w:val="00937A7F"/>
    <w:rsid w:val="00964666"/>
    <w:rsid w:val="00994F2F"/>
    <w:rsid w:val="00997295"/>
    <w:rsid w:val="009A1995"/>
    <w:rsid w:val="00A011BB"/>
    <w:rsid w:val="00A03102"/>
    <w:rsid w:val="00A22EC3"/>
    <w:rsid w:val="00A464FE"/>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514"/>
    <w:rsid w:val="00F04C94"/>
    <w:rsid w:val="00F205EF"/>
    <w:rsid w:val="00F32B5F"/>
    <w:rsid w:val="00F40718"/>
    <w:rsid w:val="00F570B2"/>
    <w:rsid w:val="00F60239"/>
    <w:rsid w:val="00F70D82"/>
    <w:rsid w:val="00F93689"/>
    <w:rsid w:val="00FB055E"/>
    <w:rsid w:val="00FC03D3"/>
    <w:rsid w:val="00FF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E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8.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9687-9C61-48EF-A260-645F05A6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DOE - NUTRITION (DOE)</dc:creator>
  <cp:keywords>wythe-county-fpar-summary-2018</cp:keywords>
  <cp:lastModifiedBy>Judkins, LaDonna (DOE)</cp:lastModifiedBy>
  <cp:revision>11</cp:revision>
  <cp:lastPrinted>2018-03-27T12:01:00Z</cp:lastPrinted>
  <dcterms:created xsi:type="dcterms:W3CDTF">2019-03-04T18:13:00Z</dcterms:created>
  <dcterms:modified xsi:type="dcterms:W3CDTF">2019-04-02T13:16:00Z</dcterms:modified>
</cp:coreProperties>
</file>