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E76D18">
        <w:t>Waynesboro City Public Schools</w:t>
      </w:r>
    </w:p>
    <w:p w:rsidR="00E63DC5" w:rsidRDefault="00E63DC5" w:rsidP="00E63DC5">
      <w:pPr>
        <w:pStyle w:val="NormalTNR"/>
      </w:pPr>
      <w:r w:rsidRPr="008B62AA">
        <w:rPr>
          <w:b/>
        </w:rPr>
        <w:t>Report Publication Date:</w:t>
      </w:r>
      <w:r>
        <w:t xml:space="preserve"> </w:t>
      </w:r>
      <w:r w:rsidR="00E830CE">
        <w:t>July 17</w:t>
      </w:r>
      <w:r w:rsidR="00E76D18">
        <w:t>, 2019</w:t>
      </w:r>
    </w:p>
    <w:p w:rsidR="00E63DC5" w:rsidRDefault="00E63DC5" w:rsidP="00E63DC5">
      <w:pPr>
        <w:pStyle w:val="NormalTNR"/>
      </w:pPr>
      <w:r w:rsidRPr="008B62AA">
        <w:rPr>
          <w:b/>
        </w:rPr>
        <w:t>Administrative Review Dates:</w:t>
      </w:r>
      <w:r>
        <w:t xml:space="preserve"> </w:t>
      </w:r>
      <w:r w:rsidR="00E76D18">
        <w:t>January 29 – February 1, 2019</w:t>
      </w:r>
    </w:p>
    <w:p w:rsidR="00E63DC5" w:rsidRDefault="00E63DC5" w:rsidP="00E63DC5">
      <w:pPr>
        <w:pStyle w:val="NormalTNR"/>
      </w:pPr>
      <w:r w:rsidRPr="008B62AA">
        <w:rPr>
          <w:b/>
        </w:rPr>
        <w:t>Review Month and Year:</w:t>
      </w:r>
      <w:r>
        <w:t xml:space="preserve"> </w:t>
      </w:r>
      <w:r w:rsidR="00E76D18">
        <w:t>November 2018</w:t>
      </w:r>
    </w:p>
    <w:p w:rsidR="00E63DC5" w:rsidRDefault="00E63DC5" w:rsidP="00E63DC5">
      <w:pPr>
        <w:pStyle w:val="NormalTNR"/>
      </w:pPr>
      <w:r w:rsidRPr="008B62AA">
        <w:rPr>
          <w:b/>
        </w:rPr>
        <w:t>Participating Programs:</w:t>
      </w:r>
      <w:r>
        <w:t xml:space="preserve"> </w:t>
      </w:r>
      <w:r w:rsidR="00E76D18">
        <w:t>NSLP, SBP, ASCP, FFVP</w:t>
      </w:r>
      <w:r w:rsidR="00E830CE">
        <w:t>, SFSP</w:t>
      </w:r>
    </w:p>
    <w:p w:rsidR="00E63DC5" w:rsidRPr="00E63DC5" w:rsidRDefault="00E63DC5" w:rsidP="00F70D82">
      <w:pPr>
        <w:pStyle w:val="NormalTNR"/>
        <w:spacing w:after="600"/>
      </w:pPr>
      <w:r w:rsidRPr="008B62AA">
        <w:rPr>
          <w:b/>
        </w:rPr>
        <w:t>Participates in Special Provisions?</w:t>
      </w:r>
      <w:r>
        <w:t xml:space="preserve"> </w:t>
      </w:r>
      <w:r w:rsidR="00E830CE">
        <w:t>CEP</w:t>
      </w:r>
    </w:p>
    <w:p w:rsidR="0031611E" w:rsidRPr="00A72169" w:rsidRDefault="0031611E" w:rsidP="00F70D82">
      <w:pPr>
        <w:pStyle w:val="Heading2"/>
        <w:spacing w:after="120"/>
      </w:pPr>
      <w:r w:rsidRPr="00A61E27">
        <w:rPr>
          <w:sz w:val="28"/>
        </w:rPr>
        <w:t>Enrollm</w:t>
      </w:r>
      <w:r w:rsidR="003B7693">
        <w:rPr>
          <w:sz w:val="28"/>
        </w:rPr>
        <w:t xml:space="preserve">ent and Participation Data for </w:t>
      </w:r>
      <w:r w:rsidR="00E830CE">
        <w:rPr>
          <w:sz w:val="28"/>
        </w:rPr>
        <w:t>November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72729A" w:rsidP="00E830CE">
            <w:pPr>
              <w:pStyle w:val="NormalTNR"/>
              <w:spacing w:after="0"/>
              <w:rPr>
                <w:lang w:eastAsia="ja-JP"/>
              </w:rPr>
            </w:pPr>
            <w:r>
              <w:rPr>
                <w:lang w:eastAsia="ja-JP"/>
              </w:rPr>
              <w:t>1</w:t>
            </w:r>
            <w:r w:rsidR="00E830CE">
              <w:rPr>
                <w:lang w:eastAsia="ja-JP"/>
              </w:rPr>
              <w:t>,</w:t>
            </w:r>
            <w:r>
              <w:rPr>
                <w:lang w:eastAsia="ja-JP"/>
              </w:rPr>
              <w:t>745</w:t>
            </w:r>
          </w:p>
        </w:tc>
        <w:tc>
          <w:tcPr>
            <w:tcW w:w="1563" w:type="dxa"/>
            <w:shd w:val="clear" w:color="auto" w:fill="auto"/>
            <w:vAlign w:val="center"/>
          </w:tcPr>
          <w:p w:rsidR="006C3986" w:rsidRPr="00690A00" w:rsidRDefault="00E830CE" w:rsidP="00E830CE">
            <w:pPr>
              <w:pStyle w:val="NormalTNR"/>
              <w:spacing w:after="0"/>
              <w:rPr>
                <w:lang w:eastAsia="ja-JP"/>
              </w:rPr>
            </w:pPr>
            <w:r>
              <w:rPr>
                <w:lang w:eastAsia="ja-JP"/>
              </w:rPr>
              <w:t>1,237</w:t>
            </w:r>
          </w:p>
        </w:tc>
        <w:tc>
          <w:tcPr>
            <w:tcW w:w="1027" w:type="dxa"/>
            <w:shd w:val="clear" w:color="auto" w:fill="auto"/>
            <w:vAlign w:val="center"/>
          </w:tcPr>
          <w:p w:rsidR="006C3986" w:rsidRPr="00690A00" w:rsidRDefault="00E830CE" w:rsidP="00E830CE">
            <w:pPr>
              <w:pStyle w:val="NormalTNR"/>
              <w:spacing w:after="0"/>
              <w:rPr>
                <w:lang w:eastAsia="ja-JP"/>
              </w:rPr>
            </w:pPr>
            <w:r>
              <w:rPr>
                <w:lang w:eastAsia="ja-JP"/>
              </w:rPr>
              <w:t>72.21</w:t>
            </w:r>
          </w:p>
        </w:tc>
        <w:tc>
          <w:tcPr>
            <w:tcW w:w="1249" w:type="dxa"/>
            <w:shd w:val="clear" w:color="auto" w:fill="auto"/>
            <w:vAlign w:val="center"/>
          </w:tcPr>
          <w:p w:rsidR="006C3986" w:rsidRPr="00690A00" w:rsidRDefault="00E830CE" w:rsidP="00E830CE">
            <w:pPr>
              <w:pStyle w:val="NormalTNR"/>
              <w:spacing w:after="0"/>
              <w:rPr>
                <w:lang w:eastAsia="ja-JP"/>
              </w:rPr>
            </w:pPr>
            <w:r>
              <w:rPr>
                <w:lang w:eastAsia="ja-JP"/>
              </w:rPr>
              <w:t>931</w:t>
            </w:r>
          </w:p>
        </w:tc>
        <w:tc>
          <w:tcPr>
            <w:tcW w:w="1216" w:type="dxa"/>
            <w:shd w:val="clear" w:color="auto" w:fill="auto"/>
            <w:vAlign w:val="center"/>
          </w:tcPr>
          <w:p w:rsidR="006C3986" w:rsidRPr="00690A00" w:rsidRDefault="00E830CE" w:rsidP="00E830CE">
            <w:pPr>
              <w:pStyle w:val="NormalTNR"/>
              <w:spacing w:after="0"/>
              <w:rPr>
                <w:lang w:eastAsia="ja-JP"/>
              </w:rPr>
            </w:pPr>
            <w:r>
              <w:rPr>
                <w:lang w:eastAsia="ja-JP"/>
              </w:rPr>
              <w:t>80.82</w:t>
            </w:r>
          </w:p>
        </w:tc>
        <w:tc>
          <w:tcPr>
            <w:tcW w:w="1860" w:type="dxa"/>
            <w:shd w:val="clear" w:color="auto" w:fill="auto"/>
            <w:vAlign w:val="center"/>
          </w:tcPr>
          <w:p w:rsidR="006C3986" w:rsidRPr="00690A00" w:rsidRDefault="00E830CE" w:rsidP="00E830CE">
            <w:pPr>
              <w:pStyle w:val="NormalTNR"/>
              <w:spacing w:after="0"/>
              <w:rPr>
                <w:lang w:eastAsia="ja-JP"/>
              </w:rPr>
            </w:pPr>
            <w:r>
              <w:rPr>
                <w:lang w:eastAsia="ja-JP"/>
              </w:rPr>
              <w:t>105,378.75</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3B7693" w:rsidP="00E830CE">
            <w:pPr>
              <w:pStyle w:val="NormalTNR"/>
              <w:spacing w:after="0"/>
              <w:rPr>
                <w:lang w:eastAsia="ja-JP"/>
              </w:rPr>
            </w:pPr>
            <w:r>
              <w:rPr>
                <w:lang w:eastAsia="ja-JP"/>
              </w:rPr>
              <w:t>186</w:t>
            </w:r>
          </w:p>
        </w:tc>
        <w:tc>
          <w:tcPr>
            <w:tcW w:w="1563" w:type="dxa"/>
            <w:shd w:val="clear" w:color="auto" w:fill="auto"/>
            <w:vAlign w:val="center"/>
          </w:tcPr>
          <w:p w:rsidR="006C3986" w:rsidRPr="00690A00" w:rsidRDefault="00E830CE" w:rsidP="00E830CE">
            <w:pPr>
              <w:pStyle w:val="NormalTNR"/>
              <w:spacing w:after="0"/>
              <w:rPr>
                <w:lang w:eastAsia="ja-JP"/>
              </w:rPr>
            </w:pPr>
            <w:r>
              <w:rPr>
                <w:lang w:eastAsia="ja-JP"/>
              </w:rPr>
              <w:t>120</w:t>
            </w:r>
          </w:p>
        </w:tc>
        <w:tc>
          <w:tcPr>
            <w:tcW w:w="1027" w:type="dxa"/>
            <w:shd w:val="clear" w:color="auto" w:fill="auto"/>
            <w:vAlign w:val="center"/>
          </w:tcPr>
          <w:p w:rsidR="006C3986" w:rsidRPr="00690A00" w:rsidRDefault="00E830CE" w:rsidP="00E830CE">
            <w:pPr>
              <w:pStyle w:val="NormalTNR"/>
              <w:spacing w:after="0"/>
              <w:rPr>
                <w:lang w:eastAsia="ja-JP"/>
              </w:rPr>
            </w:pPr>
            <w:r>
              <w:rPr>
                <w:lang w:eastAsia="ja-JP"/>
              </w:rPr>
              <w:t>7.01</w:t>
            </w:r>
          </w:p>
        </w:tc>
        <w:tc>
          <w:tcPr>
            <w:tcW w:w="1249" w:type="dxa"/>
            <w:shd w:val="clear" w:color="auto" w:fill="auto"/>
            <w:vAlign w:val="center"/>
          </w:tcPr>
          <w:p w:rsidR="006C3986" w:rsidRPr="00690A00" w:rsidRDefault="00E830CE" w:rsidP="00E830CE">
            <w:pPr>
              <w:pStyle w:val="NormalTNR"/>
              <w:spacing w:after="0"/>
              <w:rPr>
                <w:lang w:eastAsia="ja-JP"/>
              </w:rPr>
            </w:pPr>
            <w:r>
              <w:rPr>
                <w:lang w:eastAsia="ja-JP"/>
              </w:rPr>
              <w:t>64</w:t>
            </w:r>
          </w:p>
        </w:tc>
        <w:tc>
          <w:tcPr>
            <w:tcW w:w="1216" w:type="dxa"/>
            <w:shd w:val="clear" w:color="auto" w:fill="auto"/>
            <w:vAlign w:val="center"/>
          </w:tcPr>
          <w:p w:rsidR="006C3986" w:rsidRPr="00690A00" w:rsidRDefault="00E830CE" w:rsidP="00E830CE">
            <w:pPr>
              <w:pStyle w:val="NormalTNR"/>
              <w:spacing w:after="0"/>
              <w:rPr>
                <w:lang w:eastAsia="ja-JP"/>
              </w:rPr>
            </w:pPr>
            <w:r>
              <w:rPr>
                <w:lang w:eastAsia="ja-JP"/>
              </w:rPr>
              <w:t>5.56</w:t>
            </w:r>
          </w:p>
        </w:tc>
        <w:tc>
          <w:tcPr>
            <w:tcW w:w="1860" w:type="dxa"/>
            <w:shd w:val="clear" w:color="auto" w:fill="auto"/>
            <w:vAlign w:val="center"/>
          </w:tcPr>
          <w:p w:rsidR="006C3986" w:rsidRPr="00690A00" w:rsidRDefault="00E830CE" w:rsidP="00E830CE">
            <w:pPr>
              <w:pStyle w:val="NormalTNR"/>
              <w:spacing w:after="0"/>
              <w:rPr>
                <w:lang w:eastAsia="ja-JP"/>
              </w:rPr>
            </w:pPr>
            <w:r>
              <w:rPr>
                <w:lang w:eastAsia="ja-JP"/>
              </w:rPr>
              <w:t>8,122.68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E830CE" w:rsidP="00E830CE">
            <w:pPr>
              <w:pStyle w:val="NormalTNR"/>
              <w:spacing w:after="0"/>
              <w:rPr>
                <w:lang w:eastAsia="ja-JP"/>
              </w:rPr>
            </w:pPr>
            <w:r>
              <w:rPr>
                <w:lang w:eastAsia="ja-JP"/>
              </w:rPr>
              <w:t>1,163</w:t>
            </w:r>
          </w:p>
        </w:tc>
        <w:tc>
          <w:tcPr>
            <w:tcW w:w="1563" w:type="dxa"/>
            <w:shd w:val="clear" w:color="auto" w:fill="auto"/>
            <w:vAlign w:val="center"/>
          </w:tcPr>
          <w:p w:rsidR="006C3986" w:rsidRPr="00690A00" w:rsidRDefault="00E830CE" w:rsidP="00E830CE">
            <w:pPr>
              <w:pStyle w:val="NormalTNR"/>
              <w:spacing w:after="0"/>
              <w:rPr>
                <w:lang w:eastAsia="ja-JP"/>
              </w:rPr>
            </w:pPr>
            <w:r>
              <w:rPr>
                <w:lang w:eastAsia="ja-JP"/>
              </w:rPr>
              <w:t>356</w:t>
            </w:r>
          </w:p>
        </w:tc>
        <w:tc>
          <w:tcPr>
            <w:tcW w:w="1027" w:type="dxa"/>
            <w:shd w:val="clear" w:color="auto" w:fill="auto"/>
            <w:vAlign w:val="center"/>
          </w:tcPr>
          <w:p w:rsidR="006C3986" w:rsidRPr="00690A00" w:rsidRDefault="00E830CE" w:rsidP="00E830CE">
            <w:pPr>
              <w:pStyle w:val="NormalTNR"/>
              <w:spacing w:after="0"/>
              <w:rPr>
                <w:lang w:eastAsia="ja-JP"/>
              </w:rPr>
            </w:pPr>
            <w:r>
              <w:rPr>
                <w:lang w:eastAsia="ja-JP"/>
              </w:rPr>
              <w:t>20.78</w:t>
            </w:r>
          </w:p>
        </w:tc>
        <w:tc>
          <w:tcPr>
            <w:tcW w:w="1249" w:type="dxa"/>
            <w:shd w:val="clear" w:color="auto" w:fill="auto"/>
            <w:vAlign w:val="center"/>
          </w:tcPr>
          <w:p w:rsidR="006C3986" w:rsidRPr="00690A00" w:rsidRDefault="00E830CE" w:rsidP="00E830CE">
            <w:pPr>
              <w:pStyle w:val="NormalTNR"/>
              <w:spacing w:after="0"/>
              <w:rPr>
                <w:lang w:eastAsia="ja-JP"/>
              </w:rPr>
            </w:pPr>
            <w:r>
              <w:rPr>
                <w:lang w:eastAsia="ja-JP"/>
              </w:rPr>
              <w:t>157</w:t>
            </w:r>
          </w:p>
        </w:tc>
        <w:tc>
          <w:tcPr>
            <w:tcW w:w="1216" w:type="dxa"/>
            <w:shd w:val="clear" w:color="auto" w:fill="auto"/>
            <w:vAlign w:val="center"/>
          </w:tcPr>
          <w:p w:rsidR="006C3986" w:rsidRPr="00690A00" w:rsidRDefault="00E830CE" w:rsidP="00E830CE">
            <w:pPr>
              <w:pStyle w:val="NormalTNR"/>
              <w:spacing w:after="0"/>
              <w:rPr>
                <w:lang w:eastAsia="ja-JP"/>
              </w:rPr>
            </w:pPr>
            <w:r>
              <w:rPr>
                <w:lang w:eastAsia="ja-JP"/>
              </w:rPr>
              <w:t>13.63</w:t>
            </w:r>
          </w:p>
        </w:tc>
        <w:tc>
          <w:tcPr>
            <w:tcW w:w="1860" w:type="dxa"/>
            <w:shd w:val="clear" w:color="auto" w:fill="auto"/>
            <w:vAlign w:val="center"/>
          </w:tcPr>
          <w:p w:rsidR="006C3986" w:rsidRPr="00690A00" w:rsidRDefault="00E830CE" w:rsidP="00E830CE">
            <w:pPr>
              <w:pStyle w:val="NormalTNR"/>
              <w:spacing w:after="0"/>
              <w:rPr>
                <w:lang w:eastAsia="ja-JP"/>
              </w:rPr>
            </w:pPr>
            <w:r>
              <w:rPr>
                <w:lang w:eastAsia="ja-JP"/>
              </w:rPr>
              <w:t>3,193.66</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E830CE" w:rsidP="00E830CE">
            <w:pPr>
              <w:pStyle w:val="NormalTNR"/>
              <w:spacing w:after="0"/>
              <w:rPr>
                <w:b/>
                <w:lang w:eastAsia="ja-JP"/>
              </w:rPr>
            </w:pPr>
            <w:r>
              <w:rPr>
                <w:b/>
                <w:lang w:eastAsia="ja-JP"/>
              </w:rPr>
              <w:t>3,094</w:t>
            </w:r>
          </w:p>
        </w:tc>
        <w:tc>
          <w:tcPr>
            <w:tcW w:w="1563" w:type="dxa"/>
            <w:shd w:val="clear" w:color="auto" w:fill="auto"/>
            <w:vAlign w:val="center"/>
          </w:tcPr>
          <w:p w:rsidR="006C3986" w:rsidRPr="00E71C1B" w:rsidRDefault="0072729A" w:rsidP="00D34E33">
            <w:pPr>
              <w:pStyle w:val="NormalTNR"/>
              <w:spacing w:after="0"/>
              <w:jc w:val="right"/>
              <w:rPr>
                <w:color w:val="FFFFFF" w:themeColor="background1"/>
                <w:sz w:val="10"/>
                <w:lang w:eastAsia="ja-JP"/>
              </w:rPr>
            </w:pPr>
            <w:r>
              <w:rPr>
                <w:color w:val="FFFFFF" w:themeColor="background1"/>
                <w:sz w:val="10"/>
                <w:lang w:eastAsia="ja-JP"/>
              </w:rPr>
              <w:t>3</w:t>
            </w:r>
          </w:p>
        </w:tc>
        <w:tc>
          <w:tcPr>
            <w:tcW w:w="1027" w:type="dxa"/>
            <w:shd w:val="clear" w:color="auto" w:fill="auto"/>
          </w:tcPr>
          <w:p w:rsidR="006C3986" w:rsidRPr="00E71C1B" w:rsidRDefault="00E71C1B" w:rsidP="00D34E33">
            <w:pPr>
              <w:pStyle w:val="NormalTNR"/>
              <w:spacing w:after="0"/>
              <w:jc w:val="right"/>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D34E33">
            <w:pPr>
              <w:pStyle w:val="NormalTNR"/>
              <w:spacing w:after="0"/>
              <w:jc w:val="right"/>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D34E33">
            <w:pPr>
              <w:pStyle w:val="NormalTNR"/>
              <w:spacing w:after="0"/>
              <w:jc w:val="right"/>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E830CE" w:rsidP="00E830CE">
            <w:pPr>
              <w:pStyle w:val="NormalTNR"/>
              <w:spacing w:after="0"/>
              <w:rPr>
                <w:b/>
                <w:lang w:eastAsia="ja-JP"/>
              </w:rPr>
            </w:pPr>
            <w:r>
              <w:rPr>
                <w:b/>
                <w:lang w:eastAsia="ja-JP"/>
              </w:rPr>
              <w:t>116,695.09</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443107"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4310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4310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43107"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43107"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4310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443107" w:rsidRDefault="008C09CF" w:rsidP="00BC0516">
            <w:pPr>
              <w:rPr>
                <w:rFonts w:ascii="Times New Roman" w:eastAsia="Times New Roman" w:hAnsi="Times New Roman"/>
                <w:b/>
                <w:color w:val="005E20"/>
                <w:szCs w:val="16"/>
                <w:lang w:eastAsia="ja-JP"/>
              </w:rPr>
            </w:pPr>
            <w:r>
              <w:rPr>
                <w:noProof/>
              </w:rPr>
              <w:pict>
                <v:shape id="_x0000_i1032"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4F5B20" w:rsidRDefault="008D33DE" w:rsidP="00FC03D3">
            <w:pPr>
              <w:rPr>
                <w:rFonts w:ascii="Times New Roman" w:eastAsia="Times New Roman" w:hAnsi="Times New Roman"/>
                <w:noProof/>
                <w:color w:val="000000"/>
                <w:szCs w:val="24"/>
              </w:rPr>
            </w:pPr>
            <w:r>
              <w:rPr>
                <w:rFonts w:ascii="Times New Roman" w:eastAsia="Times New Roman" w:hAnsi="Times New Roman"/>
                <w:color w:val="000000"/>
                <w:szCs w:val="16"/>
                <w:lang w:eastAsia="ja-JP"/>
              </w:rPr>
              <w:t>The Local School Wellness Policy did not include all the required components.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8D33D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8D33D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6pt;height:21.6pt;visibility:visible;mso-wrap-style:square" o:bullet="t">
        <v:imagedata r:id="rId1" o:title=""/>
      </v:shape>
    </w:pict>
  </w:numPicBullet>
  <w:numPicBullet w:numPicBulletId="1">
    <w:pict>
      <v:shape id="_x0000_i1069" type="#_x0000_t75" alt="Denotes no findings" style="width:15.2pt;height:15.2pt;visibility:visible;mso-wrap-style:square" o:bullet="t">
        <v:imagedata r:id="rId2" o:title="Denotes no findings"/>
      </v:shape>
    </w:pict>
  </w:numPicBullet>
  <w:numPicBullet w:numPicBulletId="2">
    <w:pict>
      <v:shape id="_x0000_i1070" type="#_x0000_t75" alt="Denotes findings identified" style="width:21.6pt;height:21.6pt;visibility:visible;mso-wrap-style:square" o:bullet="t">
        <v:imagedata r:id="rId3" o:title="Denotes findings identified"/>
      </v:shape>
    </w:pict>
  </w:numPicBullet>
  <w:numPicBullet w:numPicBulletId="3">
    <w:pict>
      <v:shape id="_x0000_i1071" type="#_x0000_t75" style="width:16pt;height:16pt;visibility:visible;mso-wrap-style:square" o:bullet="t">
        <v:imagedata r:id="rId4" o:title=""/>
      </v:shape>
    </w:pict>
  </w:numPicBullet>
  <w:numPicBullet w:numPicBulletId="4">
    <w:pict>
      <v:shape id="_x0000_i1072" type="#_x0000_t75" style="width:15.2pt;height:15.2pt;visibility:visible;mso-wrap-style:square" o:bullet="t">
        <v:imagedata r:id="rId5" o:title=""/>
      </v:shape>
    </w:pict>
  </w:numPicBullet>
  <w:numPicBullet w:numPicBulletId="5">
    <w:pict>
      <v:shape id="_x0000_i1073" type="#_x0000_t75" alt="Denotes no findings" style="width:15.2pt;height:15.2pt;visibility:visible;mso-wrap-style:square" o:bullet="t">
        <v:imagedata r:id="rId6" o:title="Denotes no findings"/>
      </v:shape>
    </w:pict>
  </w:numPicBullet>
  <w:numPicBullet w:numPicBulletId="6">
    <w:pict>
      <v:shape id="_x0000_i1074"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274A0"/>
    <w:rsid w:val="003507AB"/>
    <w:rsid w:val="003B7693"/>
    <w:rsid w:val="003C5AEE"/>
    <w:rsid w:val="00443107"/>
    <w:rsid w:val="00464DF8"/>
    <w:rsid w:val="004A5012"/>
    <w:rsid w:val="004C04E4"/>
    <w:rsid w:val="004C18F7"/>
    <w:rsid w:val="004D45AD"/>
    <w:rsid w:val="004D73B8"/>
    <w:rsid w:val="004F5B20"/>
    <w:rsid w:val="004F70BE"/>
    <w:rsid w:val="00527106"/>
    <w:rsid w:val="00576EFE"/>
    <w:rsid w:val="00593DA0"/>
    <w:rsid w:val="005A1A00"/>
    <w:rsid w:val="005C2719"/>
    <w:rsid w:val="005E617A"/>
    <w:rsid w:val="005E72E8"/>
    <w:rsid w:val="006070B4"/>
    <w:rsid w:val="00620948"/>
    <w:rsid w:val="006475A6"/>
    <w:rsid w:val="0065108F"/>
    <w:rsid w:val="00680BAE"/>
    <w:rsid w:val="00690A00"/>
    <w:rsid w:val="00694D91"/>
    <w:rsid w:val="006C3986"/>
    <w:rsid w:val="006D0B91"/>
    <w:rsid w:val="006E68D8"/>
    <w:rsid w:val="00705097"/>
    <w:rsid w:val="0072729A"/>
    <w:rsid w:val="0073582B"/>
    <w:rsid w:val="00767813"/>
    <w:rsid w:val="007B68D3"/>
    <w:rsid w:val="007D26AA"/>
    <w:rsid w:val="007D3AFD"/>
    <w:rsid w:val="007F1384"/>
    <w:rsid w:val="00806AE0"/>
    <w:rsid w:val="00846C3D"/>
    <w:rsid w:val="008C09CF"/>
    <w:rsid w:val="008D33DE"/>
    <w:rsid w:val="00900388"/>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86A61"/>
    <w:rsid w:val="00AA5A0C"/>
    <w:rsid w:val="00AC433F"/>
    <w:rsid w:val="00B130AE"/>
    <w:rsid w:val="00B2489A"/>
    <w:rsid w:val="00B34186"/>
    <w:rsid w:val="00B37355"/>
    <w:rsid w:val="00B62C03"/>
    <w:rsid w:val="00BC0516"/>
    <w:rsid w:val="00BC5B3A"/>
    <w:rsid w:val="00C450BF"/>
    <w:rsid w:val="00C55670"/>
    <w:rsid w:val="00C75889"/>
    <w:rsid w:val="00CC5420"/>
    <w:rsid w:val="00D34E33"/>
    <w:rsid w:val="00D8766D"/>
    <w:rsid w:val="00DB68F3"/>
    <w:rsid w:val="00DB6A28"/>
    <w:rsid w:val="00DD07D9"/>
    <w:rsid w:val="00DE1159"/>
    <w:rsid w:val="00DF70F6"/>
    <w:rsid w:val="00E63DC5"/>
    <w:rsid w:val="00E71C1B"/>
    <w:rsid w:val="00E74FFA"/>
    <w:rsid w:val="00E76D18"/>
    <w:rsid w:val="00E830CE"/>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639E-9446-FD43-AC6C-141F5E2D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1729</Characters>
  <Application>Microsoft Office Word</Application>
  <DocSecurity>0</DocSecurity>
  <Lines>116</Lines>
  <Paragraphs>86</Paragraphs>
  <ScaleCrop>false</ScaleCrop>
  <HeadingPairs>
    <vt:vector size="2" baseType="variant">
      <vt:variant>
        <vt:lpstr>Title</vt:lpstr>
      </vt:variant>
      <vt:variant>
        <vt:i4>1</vt:i4>
      </vt:variant>
    </vt:vector>
  </HeadingPairs>
  <TitlesOfParts>
    <vt:vector size="1" baseType="lpstr">
      <vt:lpstr>fpar-summary-2019-waynesboro</vt:lpstr>
    </vt:vector>
  </TitlesOfParts>
  <Manager/>
  <Company>Virginia IT Infrastructure Partnership</Company>
  <LinksUpToDate>false</LinksUpToDate>
  <CharactersWithSpaces>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waynesboro-fpar-summary-2019</dc:title>
  <dc:subject/>
  <dc:creator>DOE - NUTRITION (DOE)</dc:creator>
  <cp:keywords/>
  <dc:description/>
  <cp:lastModifiedBy>Kelly Bowman</cp:lastModifiedBy>
  <cp:revision>3</cp:revision>
  <cp:lastPrinted>2018-03-27T12:01:00Z</cp:lastPrinted>
  <dcterms:created xsi:type="dcterms:W3CDTF">2019-07-19T17:23:00Z</dcterms:created>
  <dcterms:modified xsi:type="dcterms:W3CDTF">2019-07-19T18:05:00Z</dcterms:modified>
  <cp:category/>
</cp:coreProperties>
</file>