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01" w:rsidRPr="003B2618" w:rsidRDefault="00A45501" w:rsidP="003B2618">
      <w:pPr>
        <w:pStyle w:val="Heading1"/>
      </w:pPr>
      <w:r w:rsidRPr="007B5E4D">
        <w:rPr>
          <w:sz w:val="28"/>
          <w:szCs w:val="28"/>
        </w:rPr>
        <w:t>Correlation</w:t>
      </w:r>
      <w:r w:rsidRPr="003B2618">
        <w:t xml:space="preserve"> to the 2016 Mathematics Standards of Learning and Curriculum Framework – Grade K</w:t>
      </w:r>
    </w:p>
    <w:p w:rsidR="00A45501" w:rsidRDefault="00A45501" w:rsidP="00A45501">
      <w:pPr>
        <w:pStyle w:val="Header"/>
        <w:jc w:val="center"/>
        <w:rPr>
          <w:b/>
        </w:rPr>
      </w:pPr>
    </w:p>
    <w:p w:rsidR="00A45501" w:rsidRDefault="00A45501" w:rsidP="00A45501">
      <w:pPr>
        <w:pStyle w:val="Header"/>
        <w:rPr>
          <w:b/>
        </w:rPr>
      </w:pPr>
      <w:r>
        <w:rPr>
          <w:b/>
        </w:rPr>
        <w:t>Text/Instructional Material Title: ______________________</w:t>
      </w:r>
      <w:r w:rsidR="00A44AC3">
        <w:rPr>
          <w:b/>
        </w:rPr>
        <w:t xml:space="preserve"> </w:t>
      </w:r>
    </w:p>
    <w:p w:rsidR="00A45501" w:rsidRDefault="00A45501" w:rsidP="00A45501">
      <w:pPr>
        <w:pStyle w:val="Header"/>
        <w:rPr>
          <w:b/>
        </w:rPr>
      </w:pPr>
    </w:p>
    <w:p w:rsidR="00A45501" w:rsidRDefault="00A45501" w:rsidP="00A45501">
      <w:pPr>
        <w:pStyle w:val="Header"/>
        <w:rPr>
          <w:b/>
        </w:rPr>
      </w:pPr>
      <w:r>
        <w:rPr>
          <w:b/>
        </w:rPr>
        <w:t>Publisher: __________________________________________</w:t>
      </w:r>
    </w:p>
    <w:p w:rsidR="00A45501" w:rsidRDefault="00A45501" w:rsidP="00A45501">
      <w:pPr>
        <w:pStyle w:val="Header"/>
        <w:rPr>
          <w:b/>
        </w:rPr>
      </w:pPr>
    </w:p>
    <w:p w:rsidR="00A45501" w:rsidRDefault="00A45501" w:rsidP="00A44AC3">
      <w:pPr>
        <w:pStyle w:val="Header"/>
        <w:tabs>
          <w:tab w:val="clear" w:pos="8640"/>
          <w:tab w:val="left" w:pos="10800"/>
          <w:tab w:val="left" w:pos="12600"/>
        </w:tabs>
        <w:rPr>
          <w:b/>
        </w:rPr>
      </w:pPr>
      <w:r>
        <w:rPr>
          <w:b/>
        </w:rPr>
        <w:t>Committee Member: ____</w:t>
      </w:r>
      <w:r w:rsidR="00A44AC3">
        <w:rPr>
          <w:b/>
        </w:rPr>
        <w:t>_____________________________</w:t>
      </w:r>
      <w:r w:rsidR="00A44AC3">
        <w:rPr>
          <w:b/>
        </w:rPr>
        <w:tab/>
      </w:r>
      <w:r>
        <w:rPr>
          <w:b/>
        </w:rPr>
        <w:t>Date: ________</w:t>
      </w:r>
    </w:p>
    <w:p w:rsidR="0051444F" w:rsidRPr="00466E4F" w:rsidRDefault="0051444F"/>
    <w:p w:rsidR="00E950F7" w:rsidRPr="00E950F7" w:rsidRDefault="00E950F7" w:rsidP="00E950F7">
      <w:pPr>
        <w:rPr>
          <w:b/>
        </w:rPr>
      </w:pPr>
      <w:r w:rsidRPr="00E950F7">
        <w:rPr>
          <w:b/>
        </w:rPr>
        <w:t>NOTE:  The rating cells in the tables below are empty in order for division-level review teams to utilize this form.</w:t>
      </w:r>
    </w:p>
    <w:p w:rsidR="00E950F7" w:rsidRDefault="00E950F7" w:rsidP="00E950F7">
      <w:pPr>
        <w:keepNext/>
        <w:spacing w:before="240" w:after="60"/>
        <w:outlineLvl w:val="1"/>
        <w:rPr>
          <w:rFonts w:eastAsiaTheme="majorEastAsia"/>
          <w:b/>
          <w:bCs/>
          <w:iCs/>
        </w:rPr>
      </w:pPr>
    </w:p>
    <w:p w:rsidR="00E950F7" w:rsidRPr="00E950F7" w:rsidRDefault="00E950F7" w:rsidP="00E950F7">
      <w:pPr>
        <w:keepNext/>
        <w:spacing w:before="240" w:after="60"/>
        <w:outlineLvl w:val="1"/>
        <w:rPr>
          <w:rFonts w:eastAsiaTheme="majorEastAsia"/>
          <w:b/>
          <w:bCs/>
          <w:iCs/>
        </w:rPr>
      </w:pPr>
      <w:r w:rsidRPr="00E950F7">
        <w:rPr>
          <w:rFonts w:eastAsiaTheme="majorEastAsia"/>
          <w:b/>
          <w:bCs/>
          <w:iCs/>
        </w:rPr>
        <w:t>Section I.  Correlation with the Mathematics 2016 SOL and Curriculum Framework</w:t>
      </w:r>
    </w:p>
    <w:p w:rsidR="00E950F7" w:rsidRPr="00E950F7" w:rsidRDefault="00E950F7" w:rsidP="00E950F7"/>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tandards of learning correlation rating chart"/>
      </w:tblPr>
      <w:tblGrid>
        <w:gridCol w:w="8508"/>
        <w:gridCol w:w="1560"/>
        <w:gridCol w:w="1560"/>
        <w:gridCol w:w="1560"/>
      </w:tblGrid>
      <w:tr w:rsidR="00E950F7" w:rsidRPr="00E950F7" w:rsidTr="00CA253E">
        <w:trPr>
          <w:trHeight w:val="323"/>
        </w:trPr>
        <w:tc>
          <w:tcPr>
            <w:tcW w:w="8508" w:type="dxa"/>
            <w:vAlign w:val="center"/>
          </w:tcPr>
          <w:p w:rsidR="00E950F7" w:rsidRPr="00E950F7" w:rsidRDefault="00E950F7" w:rsidP="00E950F7">
            <w:pPr>
              <w:rPr>
                <w:b/>
              </w:rPr>
            </w:pPr>
            <w:r w:rsidRPr="00E950F7">
              <w:rPr>
                <w:b/>
              </w:rPr>
              <w:t>Mathematics Standard of Learning</w:t>
            </w:r>
          </w:p>
        </w:tc>
        <w:tc>
          <w:tcPr>
            <w:tcW w:w="1560" w:type="dxa"/>
            <w:vAlign w:val="center"/>
          </w:tcPr>
          <w:p w:rsidR="00E950F7" w:rsidRPr="00E950F7" w:rsidRDefault="00E950F7" w:rsidP="00E950F7">
            <w:pPr>
              <w:jc w:val="center"/>
              <w:rPr>
                <w:b/>
              </w:rPr>
            </w:pPr>
            <w:r w:rsidRPr="00E950F7">
              <w:rPr>
                <w:b/>
              </w:rPr>
              <w:t>Adequate</w:t>
            </w:r>
          </w:p>
          <w:p w:rsidR="00E950F7" w:rsidRPr="00E950F7" w:rsidRDefault="00E950F7" w:rsidP="00E950F7">
            <w:pPr>
              <w:jc w:val="center"/>
              <w:rPr>
                <w:b/>
              </w:rPr>
            </w:pPr>
            <w:r w:rsidRPr="00E950F7">
              <w:rPr>
                <w:b/>
              </w:rPr>
              <w:t>Rating</w:t>
            </w:r>
          </w:p>
        </w:tc>
        <w:tc>
          <w:tcPr>
            <w:tcW w:w="1560" w:type="dxa"/>
            <w:vAlign w:val="center"/>
          </w:tcPr>
          <w:p w:rsidR="00E950F7" w:rsidRPr="00E950F7" w:rsidRDefault="00E950F7" w:rsidP="00E950F7">
            <w:pPr>
              <w:jc w:val="center"/>
              <w:rPr>
                <w:b/>
              </w:rPr>
            </w:pPr>
            <w:r w:rsidRPr="00E950F7">
              <w:rPr>
                <w:b/>
              </w:rPr>
              <w:t>Limited</w:t>
            </w:r>
          </w:p>
          <w:p w:rsidR="00E950F7" w:rsidRPr="00E950F7" w:rsidRDefault="00E950F7" w:rsidP="00E950F7">
            <w:pPr>
              <w:jc w:val="center"/>
              <w:rPr>
                <w:b/>
              </w:rPr>
            </w:pPr>
            <w:r w:rsidRPr="00E950F7">
              <w:rPr>
                <w:b/>
              </w:rPr>
              <w:t>Rating</w:t>
            </w:r>
          </w:p>
        </w:tc>
        <w:tc>
          <w:tcPr>
            <w:tcW w:w="1560" w:type="dxa"/>
            <w:vAlign w:val="center"/>
          </w:tcPr>
          <w:p w:rsidR="00E950F7" w:rsidRPr="00E950F7" w:rsidRDefault="00E950F7" w:rsidP="00E950F7">
            <w:pPr>
              <w:jc w:val="center"/>
              <w:rPr>
                <w:b/>
              </w:rPr>
            </w:pPr>
            <w:r w:rsidRPr="00E950F7">
              <w:rPr>
                <w:b/>
              </w:rPr>
              <w:t>No Evidence Rating</w:t>
            </w:r>
          </w:p>
        </w:tc>
      </w:tr>
      <w:tr w:rsidR="00E950F7" w:rsidRPr="00E950F7" w:rsidTr="00CA253E">
        <w:trPr>
          <w:trHeight w:val="323"/>
        </w:trPr>
        <w:tc>
          <w:tcPr>
            <w:tcW w:w="8508" w:type="dxa"/>
            <w:vAlign w:val="center"/>
          </w:tcPr>
          <w:p w:rsidR="00E950F7" w:rsidRPr="00466E4F" w:rsidRDefault="00E950F7" w:rsidP="00E950F7">
            <w:pPr>
              <w:rPr>
                <w:b/>
              </w:rPr>
            </w:pPr>
            <w:r w:rsidRPr="00466E4F">
              <w:rPr>
                <w:b/>
              </w:rPr>
              <w:t>K.1</w:t>
            </w:r>
          </w:p>
        </w:tc>
        <w:tc>
          <w:tcPr>
            <w:tcW w:w="1560" w:type="dxa"/>
          </w:tcPr>
          <w:p w:rsidR="00E950F7" w:rsidRPr="00E950F7" w:rsidRDefault="00E950F7" w:rsidP="00E950F7">
            <w:pPr>
              <w:jc w:val="center"/>
              <w:rPr>
                <w:b/>
              </w:rPr>
            </w:pPr>
            <w:r w:rsidRPr="00E950F7">
              <w:rPr>
                <w:b/>
              </w:rPr>
              <w:t xml:space="preserve"> </w:t>
            </w:r>
          </w:p>
        </w:tc>
        <w:tc>
          <w:tcPr>
            <w:tcW w:w="1560" w:type="dxa"/>
          </w:tcPr>
          <w:p w:rsidR="00E950F7" w:rsidRPr="00E950F7" w:rsidRDefault="00E950F7" w:rsidP="00E950F7">
            <w:pPr>
              <w:jc w:val="center"/>
              <w:rPr>
                <w:b/>
              </w:rPr>
            </w:pPr>
            <w:r w:rsidRPr="00E950F7">
              <w:rPr>
                <w:b/>
              </w:rPr>
              <w:t xml:space="preserve"> </w:t>
            </w:r>
          </w:p>
        </w:tc>
        <w:tc>
          <w:tcPr>
            <w:tcW w:w="1560" w:type="dxa"/>
          </w:tcPr>
          <w:p w:rsidR="00E950F7" w:rsidRPr="00E950F7" w:rsidRDefault="00E950F7" w:rsidP="00E950F7">
            <w:pPr>
              <w:jc w:val="center"/>
              <w:rPr>
                <w:b/>
              </w:rPr>
            </w:pPr>
            <w:r w:rsidRPr="00E950F7">
              <w:rPr>
                <w:b/>
              </w:rPr>
              <w:t xml:space="preserve"> </w:t>
            </w:r>
          </w:p>
        </w:tc>
      </w:tr>
      <w:tr w:rsidR="00E950F7" w:rsidRPr="00E950F7" w:rsidTr="00CA253E">
        <w:trPr>
          <w:trHeight w:val="295"/>
        </w:trPr>
        <w:tc>
          <w:tcPr>
            <w:tcW w:w="8508" w:type="dxa"/>
            <w:vAlign w:val="center"/>
          </w:tcPr>
          <w:p w:rsidR="00E950F7" w:rsidRPr="00466E4F" w:rsidRDefault="00E950F7" w:rsidP="00E950F7">
            <w:pPr>
              <w:rPr>
                <w:b/>
              </w:rPr>
            </w:pPr>
            <w:r w:rsidRPr="00466E4F">
              <w:rPr>
                <w:b/>
              </w:rPr>
              <w:t>K.2</w:t>
            </w:r>
          </w:p>
        </w:tc>
        <w:tc>
          <w:tcPr>
            <w:tcW w:w="1560" w:type="dxa"/>
          </w:tcPr>
          <w:p w:rsidR="00E950F7" w:rsidRPr="00E950F7" w:rsidRDefault="00E950F7" w:rsidP="00E950F7">
            <w:pPr>
              <w:jc w:val="center"/>
              <w:rPr>
                <w:b/>
              </w:rPr>
            </w:pPr>
            <w:r w:rsidRPr="00E950F7">
              <w:rPr>
                <w:b/>
              </w:rPr>
              <w:t xml:space="preserve"> </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323"/>
        </w:trPr>
        <w:tc>
          <w:tcPr>
            <w:tcW w:w="8508" w:type="dxa"/>
            <w:vAlign w:val="center"/>
          </w:tcPr>
          <w:p w:rsidR="00E950F7" w:rsidRPr="00466E4F" w:rsidRDefault="00E950F7" w:rsidP="00E950F7">
            <w:pPr>
              <w:rPr>
                <w:b/>
              </w:rPr>
            </w:pPr>
            <w:r w:rsidRPr="00466E4F">
              <w:rPr>
                <w:b/>
              </w:rPr>
              <w:t>K.3</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295"/>
        </w:trPr>
        <w:tc>
          <w:tcPr>
            <w:tcW w:w="8508" w:type="dxa"/>
            <w:vAlign w:val="center"/>
          </w:tcPr>
          <w:p w:rsidR="00E950F7" w:rsidRPr="00466E4F" w:rsidRDefault="00E950F7" w:rsidP="00E950F7">
            <w:pPr>
              <w:rPr>
                <w:b/>
              </w:rPr>
            </w:pPr>
            <w:r w:rsidRPr="00466E4F">
              <w:rPr>
                <w:b/>
              </w:rPr>
              <w:t>K.4</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323"/>
        </w:trPr>
        <w:tc>
          <w:tcPr>
            <w:tcW w:w="8508" w:type="dxa"/>
            <w:vAlign w:val="center"/>
          </w:tcPr>
          <w:p w:rsidR="00E950F7" w:rsidRPr="00466E4F" w:rsidRDefault="00E950F7" w:rsidP="00E950F7">
            <w:pPr>
              <w:rPr>
                <w:b/>
              </w:rPr>
            </w:pPr>
            <w:r w:rsidRPr="00466E4F">
              <w:rPr>
                <w:b/>
              </w:rPr>
              <w:t>K.5</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295"/>
        </w:trPr>
        <w:tc>
          <w:tcPr>
            <w:tcW w:w="8508" w:type="dxa"/>
            <w:vAlign w:val="center"/>
          </w:tcPr>
          <w:p w:rsidR="00E950F7" w:rsidRPr="00466E4F" w:rsidRDefault="00E950F7" w:rsidP="00E950F7">
            <w:pPr>
              <w:rPr>
                <w:b/>
              </w:rPr>
            </w:pPr>
            <w:r w:rsidRPr="00466E4F">
              <w:rPr>
                <w:b/>
              </w:rPr>
              <w:t>K.6</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323"/>
        </w:trPr>
        <w:tc>
          <w:tcPr>
            <w:tcW w:w="8508" w:type="dxa"/>
            <w:vAlign w:val="center"/>
          </w:tcPr>
          <w:p w:rsidR="00E950F7" w:rsidRPr="00466E4F" w:rsidRDefault="00E950F7" w:rsidP="00E950F7">
            <w:pPr>
              <w:rPr>
                <w:b/>
              </w:rPr>
            </w:pPr>
            <w:r w:rsidRPr="00466E4F">
              <w:rPr>
                <w:b/>
              </w:rPr>
              <w:t>K.7</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295"/>
        </w:trPr>
        <w:tc>
          <w:tcPr>
            <w:tcW w:w="8508" w:type="dxa"/>
            <w:vAlign w:val="center"/>
          </w:tcPr>
          <w:p w:rsidR="00E950F7" w:rsidRPr="00466E4F" w:rsidRDefault="00E950F7" w:rsidP="00E950F7">
            <w:pPr>
              <w:rPr>
                <w:b/>
              </w:rPr>
            </w:pPr>
            <w:r w:rsidRPr="00466E4F">
              <w:rPr>
                <w:b/>
              </w:rPr>
              <w:t>K.8</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323"/>
        </w:trPr>
        <w:tc>
          <w:tcPr>
            <w:tcW w:w="8508" w:type="dxa"/>
            <w:vAlign w:val="center"/>
          </w:tcPr>
          <w:p w:rsidR="00E950F7" w:rsidRPr="00466E4F" w:rsidRDefault="00E950F7" w:rsidP="00E950F7">
            <w:pPr>
              <w:rPr>
                <w:b/>
              </w:rPr>
            </w:pPr>
            <w:r w:rsidRPr="00466E4F">
              <w:rPr>
                <w:b/>
              </w:rPr>
              <w:t>K.9</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295"/>
        </w:trPr>
        <w:tc>
          <w:tcPr>
            <w:tcW w:w="8508" w:type="dxa"/>
            <w:vAlign w:val="center"/>
          </w:tcPr>
          <w:p w:rsidR="00E950F7" w:rsidRPr="00466E4F" w:rsidRDefault="00E950F7" w:rsidP="00E950F7">
            <w:pPr>
              <w:rPr>
                <w:b/>
              </w:rPr>
            </w:pPr>
            <w:r w:rsidRPr="00466E4F">
              <w:rPr>
                <w:b/>
              </w:rPr>
              <w:t>K.10</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295"/>
        </w:trPr>
        <w:tc>
          <w:tcPr>
            <w:tcW w:w="8508" w:type="dxa"/>
            <w:vAlign w:val="center"/>
          </w:tcPr>
          <w:p w:rsidR="00E950F7" w:rsidRPr="00466E4F" w:rsidRDefault="00E950F7" w:rsidP="00E950F7">
            <w:pPr>
              <w:rPr>
                <w:b/>
              </w:rPr>
            </w:pPr>
            <w:r w:rsidRPr="00466E4F">
              <w:rPr>
                <w:b/>
              </w:rPr>
              <w:t>K.11</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295"/>
        </w:trPr>
        <w:tc>
          <w:tcPr>
            <w:tcW w:w="8508" w:type="dxa"/>
            <w:vAlign w:val="center"/>
          </w:tcPr>
          <w:p w:rsidR="00E950F7" w:rsidRPr="00466E4F" w:rsidRDefault="00E950F7" w:rsidP="00E950F7">
            <w:pPr>
              <w:rPr>
                <w:b/>
              </w:rPr>
            </w:pPr>
            <w:r w:rsidRPr="00466E4F">
              <w:rPr>
                <w:b/>
              </w:rPr>
              <w:t>K.12</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r w:rsidR="00E950F7" w:rsidRPr="00E950F7" w:rsidTr="00CA253E">
        <w:trPr>
          <w:trHeight w:val="295"/>
        </w:trPr>
        <w:tc>
          <w:tcPr>
            <w:tcW w:w="8508" w:type="dxa"/>
            <w:vAlign w:val="center"/>
          </w:tcPr>
          <w:p w:rsidR="00E950F7" w:rsidRPr="00466E4F" w:rsidRDefault="00E950F7" w:rsidP="00E950F7">
            <w:pPr>
              <w:rPr>
                <w:b/>
              </w:rPr>
            </w:pPr>
            <w:r w:rsidRPr="00466E4F">
              <w:rPr>
                <w:b/>
              </w:rPr>
              <w:t>K.13</w:t>
            </w: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c>
          <w:tcPr>
            <w:tcW w:w="1560" w:type="dxa"/>
          </w:tcPr>
          <w:p w:rsidR="00E950F7" w:rsidRPr="00E950F7" w:rsidRDefault="00E950F7" w:rsidP="00E950F7">
            <w:pPr>
              <w:jc w:val="center"/>
              <w:rPr>
                <w:b/>
              </w:rPr>
            </w:pPr>
          </w:p>
        </w:tc>
      </w:tr>
    </w:tbl>
    <w:p w:rsidR="00E950F7" w:rsidRDefault="00E950F7" w:rsidP="00E950F7">
      <w:pPr>
        <w:rPr>
          <w:b/>
        </w:rPr>
      </w:pPr>
    </w:p>
    <w:p w:rsidR="00C26DAB" w:rsidRPr="005A2771" w:rsidRDefault="00C26DAB" w:rsidP="00C26DAB">
      <w:pPr>
        <w:pStyle w:val="Heading2"/>
      </w:pPr>
      <w:r>
        <w:lastRenderedPageBreak/>
        <w:t xml:space="preserve">Section </w:t>
      </w:r>
      <w:r w:rsidRPr="005A2771">
        <w:t>II.  Additional Criteria: Instructional Planning and Support</w:t>
      </w:r>
    </w:p>
    <w:p w:rsidR="00E950F7" w:rsidRDefault="00E950F7"/>
    <w:tbl>
      <w:tblPr>
        <w:tblW w:w="133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ating table for Instructional Planning and Support Criteria"/>
      </w:tblPr>
      <w:tblGrid>
        <w:gridCol w:w="8667"/>
        <w:gridCol w:w="1560"/>
        <w:gridCol w:w="1560"/>
        <w:gridCol w:w="1560"/>
      </w:tblGrid>
      <w:tr w:rsidR="00A45501" w:rsidRPr="00466E4F" w:rsidTr="001925F5">
        <w:trPr>
          <w:trHeight w:val="440"/>
        </w:trPr>
        <w:tc>
          <w:tcPr>
            <w:tcW w:w="8667" w:type="dxa"/>
            <w:tcBorders>
              <w:top w:val="single" w:sz="4" w:space="0" w:color="auto"/>
              <w:left w:val="single" w:sz="4" w:space="0" w:color="auto"/>
              <w:bottom w:val="single" w:sz="4" w:space="0" w:color="auto"/>
              <w:right w:val="single" w:sz="4" w:space="0" w:color="auto"/>
            </w:tcBorders>
            <w:vAlign w:val="center"/>
          </w:tcPr>
          <w:p w:rsidR="00A45501" w:rsidRPr="00466E4F" w:rsidRDefault="00C26DAB" w:rsidP="00A45501">
            <w:pPr>
              <w:rPr>
                <w:b/>
              </w:rPr>
            </w:pPr>
            <w:r>
              <w:rPr>
                <w:b/>
              </w:rPr>
              <w:t>Criteria</w:t>
            </w:r>
          </w:p>
        </w:tc>
        <w:tc>
          <w:tcPr>
            <w:tcW w:w="1560" w:type="dxa"/>
            <w:tcBorders>
              <w:top w:val="single" w:sz="4" w:space="0" w:color="auto"/>
              <w:left w:val="single" w:sz="4" w:space="0" w:color="auto"/>
              <w:bottom w:val="single" w:sz="4" w:space="0" w:color="auto"/>
              <w:right w:val="single" w:sz="4" w:space="0" w:color="auto"/>
            </w:tcBorders>
            <w:vAlign w:val="center"/>
          </w:tcPr>
          <w:p w:rsidR="00A45501" w:rsidRDefault="00A45501" w:rsidP="00A45501">
            <w:pPr>
              <w:jc w:val="center"/>
              <w:rPr>
                <w:b/>
              </w:rPr>
            </w:pPr>
            <w:r w:rsidRPr="00466E4F">
              <w:rPr>
                <w:b/>
              </w:rPr>
              <w:t>Adequate</w:t>
            </w:r>
          </w:p>
          <w:p w:rsidR="00A45501" w:rsidRPr="00466E4F" w:rsidRDefault="00A45501" w:rsidP="00A45501">
            <w:pPr>
              <w:jc w:val="center"/>
              <w:rPr>
                <w:b/>
              </w:rPr>
            </w:pPr>
            <w:r>
              <w:rPr>
                <w:b/>
              </w:rPr>
              <w:t>Rating</w:t>
            </w:r>
          </w:p>
        </w:tc>
        <w:tc>
          <w:tcPr>
            <w:tcW w:w="1560" w:type="dxa"/>
            <w:tcBorders>
              <w:top w:val="single" w:sz="4" w:space="0" w:color="auto"/>
              <w:left w:val="single" w:sz="4" w:space="0" w:color="auto"/>
              <w:bottom w:val="single" w:sz="4" w:space="0" w:color="auto"/>
              <w:right w:val="single" w:sz="4" w:space="0" w:color="auto"/>
            </w:tcBorders>
            <w:vAlign w:val="center"/>
          </w:tcPr>
          <w:p w:rsidR="00A45501" w:rsidRDefault="00A45501" w:rsidP="00A45501">
            <w:pPr>
              <w:jc w:val="center"/>
              <w:rPr>
                <w:b/>
              </w:rPr>
            </w:pPr>
            <w:r w:rsidRPr="00466E4F">
              <w:rPr>
                <w:b/>
              </w:rPr>
              <w:t>Limited</w:t>
            </w:r>
          </w:p>
          <w:p w:rsidR="00A45501" w:rsidRPr="00466E4F" w:rsidRDefault="00A45501" w:rsidP="00A45501">
            <w:pPr>
              <w:jc w:val="center"/>
              <w:rPr>
                <w:b/>
              </w:rPr>
            </w:pPr>
            <w:r>
              <w:rPr>
                <w:b/>
              </w:rPr>
              <w:t>Rating</w:t>
            </w:r>
          </w:p>
        </w:tc>
        <w:tc>
          <w:tcPr>
            <w:tcW w:w="1560" w:type="dxa"/>
            <w:tcBorders>
              <w:top w:val="single" w:sz="4" w:space="0" w:color="auto"/>
              <w:left w:val="single" w:sz="4" w:space="0" w:color="auto"/>
              <w:bottom w:val="single" w:sz="4" w:space="0" w:color="auto"/>
              <w:right w:val="single" w:sz="4" w:space="0" w:color="auto"/>
            </w:tcBorders>
            <w:vAlign w:val="center"/>
          </w:tcPr>
          <w:p w:rsidR="00A45501" w:rsidRPr="00466E4F" w:rsidRDefault="00A45501" w:rsidP="00A45501">
            <w:pPr>
              <w:jc w:val="center"/>
              <w:rPr>
                <w:b/>
              </w:rPr>
            </w:pPr>
            <w:r w:rsidRPr="00466E4F">
              <w:rPr>
                <w:b/>
              </w:rPr>
              <w:t>No Evidence</w:t>
            </w:r>
            <w:r>
              <w:rPr>
                <w:b/>
              </w:rPr>
              <w:t xml:space="preserve"> Rating</w:t>
            </w:r>
          </w:p>
        </w:tc>
      </w:tr>
      <w:tr w:rsidR="00253475" w:rsidRPr="00466E4F" w:rsidTr="00C26DAB">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A44AC3">
            <w:pPr>
              <w:tabs>
                <w:tab w:val="left" w:pos="390"/>
              </w:tabs>
            </w:pPr>
            <w:r w:rsidRPr="00466E4F">
              <w:rPr>
                <w:b/>
              </w:rPr>
              <w:t>1.</w:t>
            </w:r>
            <w:r w:rsidRPr="00466E4F">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53475" w:rsidRPr="00466E4F" w:rsidRDefault="00253475">
            <w:pPr>
              <w:jc w:val="center"/>
              <w:rPr>
                <w:b/>
              </w:rPr>
            </w:pPr>
          </w:p>
        </w:tc>
      </w:tr>
      <w:tr w:rsidR="00253475" w:rsidRPr="00466E4F" w:rsidTr="00253475">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C26DAB">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0"/>
                <w:numId w:val="3"/>
              </w:numPr>
              <w:rPr>
                <w:b/>
              </w:rPr>
            </w:pPr>
            <w:r w:rsidRPr="00466E4F">
              <w:rPr>
                <w:b/>
              </w:rPr>
              <w:t xml:space="preserve"> </w:t>
            </w:r>
            <w:r w:rsidRPr="00466E4F">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53475" w:rsidRPr="00466E4F" w:rsidRDefault="00253475">
            <w:pPr>
              <w:jc w:val="center"/>
              <w:rPr>
                <w:b/>
              </w:rPr>
            </w:pPr>
          </w:p>
        </w:tc>
      </w:tr>
      <w:tr w:rsidR="00253475" w:rsidRPr="00466E4F"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Materials are presented in an organized, logical manner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1"/>
                <w:numId w:val="3"/>
              </w:numPr>
            </w:pPr>
            <w:r w:rsidRPr="00466E4F">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r w:rsidR="00253475" w:rsidRPr="00466E4F"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sidP="006C718E">
            <w:pPr>
              <w:numPr>
                <w:ilvl w:val="0"/>
                <w:numId w:val="3"/>
              </w:numPr>
              <w:rPr>
                <w:b/>
              </w:rPr>
            </w:pPr>
            <w:r w:rsidRPr="00466E4F">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53475" w:rsidRPr="00466E4F" w:rsidRDefault="00253475">
            <w:pPr>
              <w:jc w:val="center"/>
              <w:rPr>
                <w:b/>
              </w:rPr>
            </w:pPr>
          </w:p>
        </w:tc>
      </w:tr>
    </w:tbl>
    <w:p w:rsidR="00A45501" w:rsidRDefault="00A45501"/>
    <w:p w:rsidR="00FB1E45" w:rsidRPr="00466E4F" w:rsidRDefault="00A45501">
      <w:r>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 rating table"/>
      </w:tblPr>
      <w:tblGrid>
        <w:gridCol w:w="7954"/>
        <w:gridCol w:w="1658"/>
        <w:gridCol w:w="1653"/>
        <w:gridCol w:w="1645"/>
      </w:tblGrid>
      <w:tr w:rsidR="00A45501" w:rsidRPr="00466E4F" w:rsidTr="00B25F74">
        <w:trPr>
          <w:cantSplit/>
        </w:trPr>
        <w:tc>
          <w:tcPr>
            <w:tcW w:w="8028" w:type="dxa"/>
            <w:vAlign w:val="center"/>
          </w:tcPr>
          <w:p w:rsidR="00A45501" w:rsidRPr="00466E4F" w:rsidRDefault="00A45501" w:rsidP="00A45501">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A45501" w:rsidRDefault="00A45501" w:rsidP="00A45501">
            <w:pPr>
              <w:jc w:val="center"/>
              <w:rPr>
                <w:b/>
              </w:rPr>
            </w:pPr>
            <w:r w:rsidRPr="00466E4F">
              <w:rPr>
                <w:b/>
              </w:rPr>
              <w:t>Adequate</w:t>
            </w:r>
          </w:p>
          <w:p w:rsidR="00A45501" w:rsidRPr="00466E4F" w:rsidRDefault="00A45501" w:rsidP="00A45501">
            <w:pPr>
              <w:jc w:val="center"/>
              <w:rPr>
                <w:b/>
              </w:rPr>
            </w:pPr>
            <w:r>
              <w:rPr>
                <w:b/>
              </w:rPr>
              <w:t>Rating</w:t>
            </w:r>
          </w:p>
        </w:tc>
        <w:tc>
          <w:tcPr>
            <w:tcW w:w="1663" w:type="dxa"/>
            <w:shd w:val="clear" w:color="auto" w:fill="auto"/>
            <w:vAlign w:val="center"/>
          </w:tcPr>
          <w:p w:rsidR="00A45501" w:rsidRDefault="00A45501" w:rsidP="00A45501">
            <w:pPr>
              <w:jc w:val="center"/>
              <w:rPr>
                <w:b/>
              </w:rPr>
            </w:pPr>
            <w:r w:rsidRPr="00466E4F">
              <w:rPr>
                <w:b/>
              </w:rPr>
              <w:t>Limited</w:t>
            </w:r>
          </w:p>
          <w:p w:rsidR="00A45501" w:rsidRPr="00466E4F" w:rsidRDefault="00A45501" w:rsidP="00A45501">
            <w:pPr>
              <w:jc w:val="center"/>
              <w:rPr>
                <w:b/>
              </w:rPr>
            </w:pPr>
            <w:r>
              <w:rPr>
                <w:b/>
              </w:rPr>
              <w:t>Rating</w:t>
            </w:r>
          </w:p>
        </w:tc>
        <w:tc>
          <w:tcPr>
            <w:tcW w:w="1653" w:type="dxa"/>
            <w:shd w:val="clear" w:color="auto" w:fill="auto"/>
            <w:vAlign w:val="center"/>
          </w:tcPr>
          <w:p w:rsidR="00A45501" w:rsidRPr="00466E4F" w:rsidRDefault="00A45501" w:rsidP="00A45501">
            <w:pPr>
              <w:jc w:val="center"/>
              <w:rPr>
                <w:b/>
              </w:rPr>
            </w:pPr>
            <w:r w:rsidRPr="00466E4F">
              <w:rPr>
                <w:b/>
              </w:rPr>
              <w:t>No Evidence</w:t>
            </w:r>
            <w:r>
              <w:rPr>
                <w:b/>
              </w:rPr>
              <w:t xml:space="preserve"> Rating</w:t>
            </w:r>
          </w:p>
        </w:tc>
      </w:tr>
      <w:tr w:rsidR="00FB1E45" w:rsidRPr="00466E4F" w:rsidTr="00BF1F3B">
        <w:trPr>
          <w:cantSplit/>
        </w:trPr>
        <w:tc>
          <w:tcPr>
            <w:tcW w:w="8028" w:type="dxa"/>
            <w:vAlign w:val="center"/>
          </w:tcPr>
          <w:p w:rsidR="00FB1E45" w:rsidRPr="00466E4F" w:rsidRDefault="00BF1F3B" w:rsidP="00D7054E">
            <w:pPr>
              <w:pStyle w:val="SOLNumber"/>
              <w:spacing w:before="0"/>
              <w:rPr>
                <w:sz w:val="24"/>
                <w:szCs w:val="24"/>
              </w:rPr>
            </w:pPr>
            <w:r w:rsidRPr="00466E4F">
              <w:rPr>
                <w:sz w:val="24"/>
                <w:szCs w:val="24"/>
              </w:rPr>
              <w:t xml:space="preserve">K.1 </w:t>
            </w:r>
            <w:r w:rsidR="003A6308" w:rsidRPr="00466E4F">
              <w:rPr>
                <w:sz w:val="24"/>
                <w:szCs w:val="24"/>
              </w:rPr>
              <w:t xml:space="preserve">      </w:t>
            </w:r>
            <w:r w:rsidRPr="00466E4F">
              <w:rPr>
                <w:sz w:val="24"/>
                <w:szCs w:val="24"/>
              </w:rPr>
              <w:t xml:space="preserve">The student will </w:t>
            </w:r>
          </w:p>
        </w:tc>
        <w:tc>
          <w:tcPr>
            <w:tcW w:w="1666" w:type="dxa"/>
            <w:shd w:val="clear" w:color="auto" w:fill="BFBFBF" w:themeFill="background1" w:themeFillShade="BF"/>
          </w:tcPr>
          <w:p w:rsidR="00FB1E45" w:rsidRPr="00466E4F" w:rsidRDefault="00FB1E45" w:rsidP="00E234B9">
            <w:pPr>
              <w:pStyle w:val="Title"/>
              <w:rPr>
                <w:sz w:val="24"/>
                <w:szCs w:val="24"/>
              </w:rPr>
            </w:pPr>
          </w:p>
        </w:tc>
        <w:tc>
          <w:tcPr>
            <w:tcW w:w="1663" w:type="dxa"/>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c>
          <w:tcPr>
            <w:tcW w:w="1653" w:type="dxa"/>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r>
      <w:tr w:rsidR="00BF1F3B" w:rsidRPr="00466E4F" w:rsidTr="00BF1F3B">
        <w:trPr>
          <w:cantSplit/>
        </w:trPr>
        <w:tc>
          <w:tcPr>
            <w:tcW w:w="8028" w:type="dxa"/>
            <w:vAlign w:val="center"/>
          </w:tcPr>
          <w:p w:rsidR="00BF1F3B" w:rsidRPr="00466E4F" w:rsidRDefault="00BF1F3B" w:rsidP="00D7054E">
            <w:pPr>
              <w:pStyle w:val="Default"/>
              <w:ind w:left="1181" w:hanging="360"/>
              <w:rPr>
                <w:rFonts w:ascii="Times New Roman" w:hAnsi="Times New Roman" w:cs="Times New Roman"/>
              </w:rPr>
            </w:pPr>
            <w:r w:rsidRPr="00466E4F">
              <w:rPr>
                <w:rFonts w:ascii="Times New Roman" w:hAnsi="Times New Roman" w:cs="Times New Roman"/>
              </w:rPr>
              <w:t>a</w:t>
            </w:r>
            <w:r w:rsidR="003A6308" w:rsidRPr="00466E4F">
              <w:rPr>
                <w:rFonts w:ascii="Times New Roman" w:hAnsi="Times New Roman" w:cs="Times New Roman"/>
              </w:rPr>
              <w:t xml:space="preserve"> </w:t>
            </w:r>
            <w:r w:rsidRPr="00466E4F">
              <w:rPr>
                <w:rFonts w:ascii="Times New Roman" w:hAnsi="Times New Roman" w:cs="Times New Roman"/>
              </w:rPr>
              <w:t xml:space="preserve">) </w:t>
            </w:r>
            <w:r w:rsidR="00D7054E">
              <w:rPr>
                <w:rFonts w:ascii="Times New Roman" w:hAnsi="Times New Roman" w:cs="Times New Roman"/>
              </w:rPr>
              <w:t xml:space="preserve"> </w:t>
            </w:r>
            <w:r w:rsidRPr="00466E4F">
              <w:rPr>
                <w:rFonts w:ascii="Times New Roman" w:hAnsi="Times New Roman" w:cs="Times New Roman"/>
              </w:rPr>
              <w:t>tell how many are in a given set of 20 or fewer objects by counting orally; and</w:t>
            </w:r>
          </w:p>
        </w:tc>
        <w:tc>
          <w:tcPr>
            <w:tcW w:w="1666" w:type="dxa"/>
          </w:tcPr>
          <w:p w:rsidR="00BF1F3B" w:rsidRPr="00466E4F" w:rsidRDefault="00BF1F3B" w:rsidP="00E234B9">
            <w:pPr>
              <w:pStyle w:val="Title"/>
              <w:rPr>
                <w:sz w:val="24"/>
                <w:szCs w:val="24"/>
              </w:rPr>
            </w:pPr>
          </w:p>
        </w:tc>
        <w:tc>
          <w:tcPr>
            <w:tcW w:w="1663" w:type="dxa"/>
          </w:tcPr>
          <w:p w:rsidR="00BF1F3B" w:rsidRPr="00466E4F" w:rsidRDefault="00BF1F3B" w:rsidP="00E234B9">
            <w:pPr>
              <w:pStyle w:val="BodyText2"/>
              <w:jc w:val="center"/>
              <w:rPr>
                <w:rFonts w:ascii="Times New Roman" w:hAnsi="Times New Roman"/>
                <w:sz w:val="24"/>
                <w:szCs w:val="24"/>
              </w:rPr>
            </w:pPr>
          </w:p>
        </w:tc>
        <w:tc>
          <w:tcPr>
            <w:tcW w:w="1653" w:type="dxa"/>
          </w:tcPr>
          <w:p w:rsidR="00BF1F3B" w:rsidRPr="00466E4F" w:rsidRDefault="00BF1F3B" w:rsidP="00E234B9">
            <w:pPr>
              <w:pStyle w:val="BodyText2"/>
              <w:jc w:val="center"/>
              <w:rPr>
                <w:rFonts w:ascii="Times New Roman" w:hAnsi="Times New Roman"/>
                <w:sz w:val="24"/>
                <w:szCs w:val="24"/>
              </w:rPr>
            </w:pPr>
          </w:p>
        </w:tc>
      </w:tr>
      <w:tr w:rsidR="00BF1F3B" w:rsidRPr="00466E4F" w:rsidTr="00BF1F3B">
        <w:trPr>
          <w:cantSplit/>
        </w:trPr>
        <w:tc>
          <w:tcPr>
            <w:tcW w:w="8028" w:type="dxa"/>
            <w:vAlign w:val="center"/>
          </w:tcPr>
          <w:p w:rsidR="00BF1F3B" w:rsidRPr="00466E4F" w:rsidRDefault="00BF1F3B" w:rsidP="003A6308">
            <w:pPr>
              <w:pStyle w:val="Default"/>
              <w:ind w:firstLine="821"/>
              <w:rPr>
                <w:rFonts w:ascii="Times New Roman" w:hAnsi="Times New Roman" w:cs="Times New Roman"/>
              </w:rPr>
            </w:pPr>
            <w:r w:rsidRPr="00466E4F">
              <w:rPr>
                <w:rFonts w:ascii="Times New Roman" w:hAnsi="Times New Roman" w:cs="Times New Roman"/>
              </w:rPr>
              <w:t xml:space="preserve">b) </w:t>
            </w:r>
            <w:r w:rsidR="003A6308" w:rsidRPr="00466E4F">
              <w:rPr>
                <w:rFonts w:ascii="Times New Roman" w:hAnsi="Times New Roman" w:cs="Times New Roman"/>
              </w:rPr>
              <w:t xml:space="preserve"> </w:t>
            </w:r>
            <w:r w:rsidR="00D7054E">
              <w:rPr>
                <w:rFonts w:ascii="Times New Roman" w:hAnsi="Times New Roman" w:cs="Times New Roman"/>
              </w:rPr>
              <w:t xml:space="preserve"> </w:t>
            </w:r>
            <w:r w:rsidRPr="00466E4F">
              <w:rPr>
                <w:rFonts w:ascii="Times New Roman" w:hAnsi="Times New Roman" w:cs="Times New Roman"/>
              </w:rPr>
              <w:t>read, write, and represent numbers from 0 through 20.</w:t>
            </w:r>
          </w:p>
        </w:tc>
        <w:tc>
          <w:tcPr>
            <w:tcW w:w="1666" w:type="dxa"/>
          </w:tcPr>
          <w:p w:rsidR="00BF1F3B" w:rsidRDefault="00BF1F3B" w:rsidP="00E234B9">
            <w:pPr>
              <w:pStyle w:val="Title"/>
              <w:rPr>
                <w:sz w:val="24"/>
                <w:szCs w:val="24"/>
              </w:rPr>
            </w:pPr>
          </w:p>
          <w:p w:rsidR="00A45501" w:rsidRPr="00466E4F" w:rsidRDefault="00A45501" w:rsidP="00E234B9">
            <w:pPr>
              <w:pStyle w:val="Title"/>
              <w:rPr>
                <w:sz w:val="24"/>
                <w:szCs w:val="24"/>
              </w:rPr>
            </w:pPr>
          </w:p>
        </w:tc>
        <w:tc>
          <w:tcPr>
            <w:tcW w:w="1663" w:type="dxa"/>
          </w:tcPr>
          <w:p w:rsidR="00BF1F3B" w:rsidRPr="00466E4F" w:rsidRDefault="00BF1F3B" w:rsidP="00E234B9">
            <w:pPr>
              <w:pStyle w:val="BodyText2"/>
              <w:jc w:val="center"/>
              <w:rPr>
                <w:rFonts w:ascii="Times New Roman" w:hAnsi="Times New Roman"/>
                <w:sz w:val="24"/>
                <w:szCs w:val="24"/>
              </w:rPr>
            </w:pPr>
          </w:p>
        </w:tc>
        <w:tc>
          <w:tcPr>
            <w:tcW w:w="1653" w:type="dxa"/>
          </w:tcPr>
          <w:p w:rsidR="00BF1F3B" w:rsidRPr="00466E4F" w:rsidRDefault="00BF1F3B"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2 rating table"/>
      </w:tblPr>
      <w:tblGrid>
        <w:gridCol w:w="7954"/>
        <w:gridCol w:w="1661"/>
        <w:gridCol w:w="1652"/>
        <w:gridCol w:w="1643"/>
      </w:tblGrid>
      <w:tr w:rsidR="00B25F74" w:rsidRPr="00466E4F" w:rsidTr="00B25F74">
        <w:trPr>
          <w:cantSplit/>
        </w:trPr>
        <w:tc>
          <w:tcPr>
            <w:tcW w:w="8027" w:type="dxa"/>
            <w:vAlign w:val="center"/>
          </w:tcPr>
          <w:p w:rsidR="00B25F74" w:rsidRPr="00466E4F" w:rsidRDefault="00B25F74" w:rsidP="00502210">
            <w:pPr>
              <w:pStyle w:val="SOLNumber"/>
              <w:spacing w:before="0"/>
              <w:rPr>
                <w:sz w:val="24"/>
                <w:szCs w:val="24"/>
              </w:rPr>
            </w:pPr>
            <w:r w:rsidRPr="00C26DAB">
              <w:rPr>
                <w:b/>
                <w:sz w:val="24"/>
                <w:szCs w:val="24"/>
              </w:rPr>
              <w:lastRenderedPageBreak/>
              <w:t>Mathematics Standard of Learning</w:t>
            </w:r>
          </w:p>
        </w:tc>
        <w:tc>
          <w:tcPr>
            <w:tcW w:w="1669" w:type="dxa"/>
            <w:shd w:val="clear" w:color="auto" w:fill="auto"/>
            <w:vAlign w:val="center"/>
          </w:tcPr>
          <w:p w:rsidR="00B25F74" w:rsidRDefault="00B25F74" w:rsidP="00502210">
            <w:pPr>
              <w:jc w:val="center"/>
              <w:rPr>
                <w:b/>
              </w:rPr>
            </w:pPr>
            <w:r w:rsidRPr="00466E4F">
              <w:rPr>
                <w:b/>
              </w:rPr>
              <w:t>Adequate</w:t>
            </w:r>
          </w:p>
          <w:p w:rsidR="00B25F74" w:rsidRPr="00466E4F" w:rsidRDefault="00B25F74" w:rsidP="00502210">
            <w:pPr>
              <w:jc w:val="center"/>
              <w:rPr>
                <w:b/>
              </w:rPr>
            </w:pPr>
            <w:r>
              <w:rPr>
                <w:b/>
              </w:rPr>
              <w:t>Rating</w:t>
            </w:r>
          </w:p>
        </w:tc>
        <w:tc>
          <w:tcPr>
            <w:tcW w:w="1662" w:type="dxa"/>
            <w:shd w:val="clear" w:color="auto" w:fill="auto"/>
            <w:vAlign w:val="center"/>
          </w:tcPr>
          <w:p w:rsidR="00B25F74" w:rsidRDefault="00B25F74" w:rsidP="00502210">
            <w:pPr>
              <w:jc w:val="center"/>
              <w:rPr>
                <w:b/>
              </w:rPr>
            </w:pPr>
            <w:r w:rsidRPr="00466E4F">
              <w:rPr>
                <w:b/>
              </w:rPr>
              <w:t>Limited</w:t>
            </w:r>
          </w:p>
          <w:p w:rsidR="00B25F74" w:rsidRPr="00466E4F" w:rsidRDefault="00B25F74" w:rsidP="00502210">
            <w:pPr>
              <w:jc w:val="center"/>
              <w:rPr>
                <w:b/>
              </w:rPr>
            </w:pPr>
            <w:r>
              <w:rPr>
                <w:b/>
              </w:rPr>
              <w:t>Rating</w:t>
            </w:r>
          </w:p>
        </w:tc>
        <w:tc>
          <w:tcPr>
            <w:tcW w:w="1652" w:type="dxa"/>
            <w:shd w:val="clear" w:color="auto" w:fill="auto"/>
            <w:vAlign w:val="center"/>
          </w:tcPr>
          <w:p w:rsidR="00B25F74" w:rsidRPr="00466E4F" w:rsidRDefault="00B25F74" w:rsidP="00502210">
            <w:pPr>
              <w:jc w:val="center"/>
              <w:rPr>
                <w:b/>
              </w:rPr>
            </w:pPr>
            <w:r w:rsidRPr="00466E4F">
              <w:rPr>
                <w:b/>
              </w:rPr>
              <w:t>No Evidence</w:t>
            </w:r>
            <w:r>
              <w:rPr>
                <w:b/>
              </w:rPr>
              <w:t xml:space="preserve"> Rating</w:t>
            </w:r>
          </w:p>
        </w:tc>
      </w:tr>
      <w:tr w:rsidR="00FB1E45" w:rsidRPr="00466E4F" w:rsidTr="00B25F74">
        <w:trPr>
          <w:cantSplit/>
        </w:trPr>
        <w:tc>
          <w:tcPr>
            <w:tcW w:w="8027" w:type="dxa"/>
          </w:tcPr>
          <w:p w:rsidR="00E234B9" w:rsidRPr="00466E4F" w:rsidRDefault="00EA432C" w:rsidP="00D7054E">
            <w:pPr>
              <w:pStyle w:val="SOLNumber"/>
              <w:spacing w:before="0"/>
              <w:rPr>
                <w:sz w:val="24"/>
                <w:szCs w:val="24"/>
              </w:rPr>
            </w:pPr>
            <w:r w:rsidRPr="00466E4F">
              <w:rPr>
                <w:sz w:val="24"/>
                <w:szCs w:val="24"/>
              </w:rPr>
              <w:t>K</w:t>
            </w:r>
            <w:r w:rsidR="00F255E0" w:rsidRPr="00466E4F">
              <w:rPr>
                <w:sz w:val="24"/>
                <w:szCs w:val="24"/>
              </w:rPr>
              <w:t>.2</w:t>
            </w:r>
            <w:r w:rsidR="00D37937" w:rsidRPr="00466E4F">
              <w:rPr>
                <w:sz w:val="24"/>
                <w:szCs w:val="24"/>
              </w:rPr>
              <w:t xml:space="preserve">      </w:t>
            </w:r>
            <w:r w:rsidR="000913F0" w:rsidRPr="00466E4F">
              <w:rPr>
                <w:sz w:val="24"/>
                <w:szCs w:val="24"/>
              </w:rPr>
              <w:t xml:space="preserve"> </w:t>
            </w:r>
            <w:r w:rsidR="00D7054E">
              <w:rPr>
                <w:sz w:val="24"/>
                <w:szCs w:val="24"/>
              </w:rPr>
              <w:t xml:space="preserve">  </w:t>
            </w:r>
            <w:r w:rsidRPr="00466E4F">
              <w:rPr>
                <w:sz w:val="24"/>
                <w:szCs w:val="24"/>
              </w:rPr>
              <w:t xml:space="preserve">The student, </w:t>
            </w:r>
            <w:r w:rsidR="00BF1F3B" w:rsidRPr="00466E4F">
              <w:rPr>
                <w:sz w:val="24"/>
                <w:szCs w:val="24"/>
              </w:rPr>
              <w:t xml:space="preserve">given no more than three sets, each set containing 10 or fewer </w:t>
            </w:r>
            <w:r w:rsidR="000913F0" w:rsidRPr="00466E4F">
              <w:rPr>
                <w:sz w:val="24"/>
                <w:szCs w:val="24"/>
              </w:rPr>
              <w:t xml:space="preserve"> </w:t>
            </w:r>
            <w:r w:rsidR="00BF1F3B" w:rsidRPr="00466E4F">
              <w:rPr>
                <w:sz w:val="24"/>
                <w:szCs w:val="24"/>
              </w:rPr>
              <w:t>concrete objects, will</w:t>
            </w:r>
          </w:p>
        </w:tc>
        <w:tc>
          <w:tcPr>
            <w:tcW w:w="1669" w:type="dxa"/>
            <w:tcBorders>
              <w:top w:val="single" w:sz="4" w:space="0" w:color="auto"/>
              <w:bottom w:val="single" w:sz="4" w:space="0" w:color="auto"/>
            </w:tcBorders>
            <w:shd w:val="clear" w:color="auto" w:fill="BFBFBF" w:themeFill="background1" w:themeFillShade="BF"/>
          </w:tcPr>
          <w:p w:rsidR="00FB1E45" w:rsidRPr="00466E4F" w:rsidRDefault="00FB1E45" w:rsidP="00E234B9">
            <w:pPr>
              <w:pStyle w:val="Title"/>
              <w:rPr>
                <w:sz w:val="24"/>
                <w:szCs w:val="24"/>
              </w:rPr>
            </w:pPr>
          </w:p>
        </w:tc>
        <w:tc>
          <w:tcPr>
            <w:tcW w:w="1662" w:type="dxa"/>
            <w:tcBorders>
              <w:top w:val="single" w:sz="4" w:space="0" w:color="auto"/>
              <w:bottom w:val="single" w:sz="4" w:space="0" w:color="auto"/>
            </w:tcBorders>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c>
          <w:tcPr>
            <w:tcW w:w="1652" w:type="dxa"/>
            <w:tcBorders>
              <w:top w:val="single" w:sz="4" w:space="0" w:color="auto"/>
              <w:bottom w:val="single" w:sz="4" w:space="0" w:color="auto"/>
            </w:tcBorders>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r>
      <w:tr w:rsidR="00F255E0" w:rsidRPr="00466E4F" w:rsidTr="00B25F74">
        <w:trPr>
          <w:cantSplit/>
        </w:trPr>
        <w:tc>
          <w:tcPr>
            <w:tcW w:w="8027" w:type="dxa"/>
          </w:tcPr>
          <w:p w:rsidR="00F255E0" w:rsidRPr="00466E4F" w:rsidRDefault="000913F0" w:rsidP="000913F0">
            <w:pPr>
              <w:pStyle w:val="SOLBullet"/>
              <w:numPr>
                <w:ilvl w:val="0"/>
                <w:numId w:val="4"/>
              </w:numPr>
              <w:rPr>
                <w:sz w:val="24"/>
                <w:szCs w:val="24"/>
              </w:rPr>
            </w:pPr>
            <w:r w:rsidRPr="00466E4F">
              <w:rPr>
                <w:sz w:val="24"/>
                <w:szCs w:val="24"/>
              </w:rPr>
              <w:t>compare and describe one set as having more, fewer, or the same number of objects as the other set(s); and</w:t>
            </w:r>
          </w:p>
        </w:tc>
        <w:tc>
          <w:tcPr>
            <w:tcW w:w="1669" w:type="dxa"/>
            <w:tcBorders>
              <w:top w:val="single" w:sz="4" w:space="0" w:color="auto"/>
            </w:tcBorders>
          </w:tcPr>
          <w:p w:rsidR="00F255E0" w:rsidRPr="00466E4F" w:rsidRDefault="00F255E0" w:rsidP="00E234B9">
            <w:pPr>
              <w:pStyle w:val="Title"/>
              <w:rPr>
                <w:sz w:val="24"/>
                <w:szCs w:val="24"/>
              </w:rPr>
            </w:pPr>
          </w:p>
        </w:tc>
        <w:tc>
          <w:tcPr>
            <w:tcW w:w="1662" w:type="dxa"/>
            <w:tcBorders>
              <w:top w:val="single" w:sz="4" w:space="0" w:color="auto"/>
            </w:tcBorders>
          </w:tcPr>
          <w:p w:rsidR="00F255E0" w:rsidRPr="00466E4F" w:rsidRDefault="00F255E0" w:rsidP="00E234B9">
            <w:pPr>
              <w:pStyle w:val="BodyText2"/>
              <w:jc w:val="center"/>
              <w:rPr>
                <w:rFonts w:ascii="Times New Roman" w:hAnsi="Times New Roman"/>
                <w:sz w:val="24"/>
                <w:szCs w:val="24"/>
              </w:rPr>
            </w:pPr>
          </w:p>
        </w:tc>
        <w:tc>
          <w:tcPr>
            <w:tcW w:w="1652" w:type="dxa"/>
            <w:tcBorders>
              <w:top w:val="single" w:sz="4" w:space="0" w:color="auto"/>
            </w:tcBorders>
          </w:tcPr>
          <w:p w:rsidR="00F255E0" w:rsidRPr="00466E4F" w:rsidRDefault="00F255E0" w:rsidP="00E234B9">
            <w:pPr>
              <w:pStyle w:val="BodyText2"/>
              <w:jc w:val="center"/>
              <w:rPr>
                <w:rFonts w:ascii="Times New Roman" w:hAnsi="Times New Roman"/>
                <w:sz w:val="24"/>
                <w:szCs w:val="24"/>
              </w:rPr>
            </w:pPr>
          </w:p>
        </w:tc>
      </w:tr>
      <w:tr w:rsidR="00F255E0" w:rsidRPr="00466E4F" w:rsidTr="00B25F74">
        <w:trPr>
          <w:cantSplit/>
        </w:trPr>
        <w:tc>
          <w:tcPr>
            <w:tcW w:w="8027" w:type="dxa"/>
          </w:tcPr>
          <w:p w:rsidR="00F255E0" w:rsidRPr="00466E4F" w:rsidRDefault="00F255E0" w:rsidP="00F255E0">
            <w:pPr>
              <w:pStyle w:val="SOLBullet"/>
              <w:rPr>
                <w:sz w:val="24"/>
                <w:szCs w:val="24"/>
              </w:rPr>
            </w:pPr>
            <w:r w:rsidRPr="00466E4F">
              <w:rPr>
                <w:sz w:val="24"/>
                <w:szCs w:val="24"/>
              </w:rPr>
              <w:t>b)</w:t>
            </w:r>
            <w:r w:rsidRPr="00466E4F">
              <w:rPr>
                <w:sz w:val="24"/>
                <w:szCs w:val="24"/>
              </w:rPr>
              <w:tab/>
            </w:r>
            <w:proofErr w:type="gramStart"/>
            <w:r w:rsidR="000913F0" w:rsidRPr="00466E4F">
              <w:rPr>
                <w:sz w:val="24"/>
                <w:szCs w:val="24"/>
              </w:rPr>
              <w:t>compare</w:t>
            </w:r>
            <w:proofErr w:type="gramEnd"/>
            <w:r w:rsidR="000913F0" w:rsidRPr="00466E4F">
              <w:rPr>
                <w:sz w:val="24"/>
                <w:szCs w:val="24"/>
              </w:rPr>
              <w:t xml:space="preserve"> and order sets from least to greatest and greatest to least.</w:t>
            </w:r>
          </w:p>
        </w:tc>
        <w:tc>
          <w:tcPr>
            <w:tcW w:w="1669" w:type="dxa"/>
          </w:tcPr>
          <w:p w:rsidR="00F255E0" w:rsidRDefault="00F255E0" w:rsidP="00E234B9">
            <w:pPr>
              <w:pStyle w:val="Title"/>
              <w:rPr>
                <w:sz w:val="24"/>
                <w:szCs w:val="24"/>
              </w:rPr>
            </w:pPr>
          </w:p>
          <w:p w:rsidR="00A45501" w:rsidRPr="00466E4F" w:rsidRDefault="00A45501" w:rsidP="00E234B9">
            <w:pPr>
              <w:pStyle w:val="Title"/>
              <w:rPr>
                <w:sz w:val="24"/>
                <w:szCs w:val="24"/>
              </w:rPr>
            </w:pPr>
          </w:p>
        </w:tc>
        <w:tc>
          <w:tcPr>
            <w:tcW w:w="1662" w:type="dxa"/>
          </w:tcPr>
          <w:p w:rsidR="00F255E0" w:rsidRPr="00466E4F" w:rsidRDefault="00F255E0" w:rsidP="00E234B9">
            <w:pPr>
              <w:pStyle w:val="BodyText2"/>
              <w:jc w:val="center"/>
              <w:rPr>
                <w:rFonts w:ascii="Times New Roman" w:hAnsi="Times New Roman"/>
                <w:sz w:val="24"/>
                <w:szCs w:val="24"/>
              </w:rPr>
            </w:pPr>
          </w:p>
        </w:tc>
        <w:tc>
          <w:tcPr>
            <w:tcW w:w="1652" w:type="dxa"/>
          </w:tcPr>
          <w:p w:rsidR="00F255E0" w:rsidRPr="00466E4F" w:rsidRDefault="00F255E0"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3 rating table"/>
      </w:tblPr>
      <w:tblGrid>
        <w:gridCol w:w="7955"/>
        <w:gridCol w:w="1658"/>
        <w:gridCol w:w="1653"/>
        <w:gridCol w:w="1644"/>
      </w:tblGrid>
      <w:tr w:rsidR="00B25F74" w:rsidRPr="00466E4F" w:rsidTr="00B25F74">
        <w:trPr>
          <w:cantSplit/>
        </w:trPr>
        <w:tc>
          <w:tcPr>
            <w:tcW w:w="8028" w:type="dxa"/>
            <w:vAlign w:val="center"/>
          </w:tcPr>
          <w:p w:rsidR="00B25F74" w:rsidRPr="00466E4F" w:rsidRDefault="00B25F74" w:rsidP="00502210">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B25F74" w:rsidRDefault="00B25F74" w:rsidP="00502210">
            <w:pPr>
              <w:jc w:val="center"/>
              <w:rPr>
                <w:b/>
              </w:rPr>
            </w:pPr>
            <w:r w:rsidRPr="00466E4F">
              <w:rPr>
                <w:b/>
              </w:rPr>
              <w:t>Adequate</w:t>
            </w:r>
          </w:p>
          <w:p w:rsidR="00B25F74" w:rsidRPr="00466E4F" w:rsidRDefault="00B25F74" w:rsidP="00502210">
            <w:pPr>
              <w:jc w:val="center"/>
              <w:rPr>
                <w:b/>
              </w:rPr>
            </w:pPr>
            <w:r>
              <w:rPr>
                <w:b/>
              </w:rPr>
              <w:t>Rating</w:t>
            </w:r>
          </w:p>
        </w:tc>
        <w:tc>
          <w:tcPr>
            <w:tcW w:w="1663" w:type="dxa"/>
            <w:shd w:val="clear" w:color="auto" w:fill="auto"/>
            <w:vAlign w:val="center"/>
          </w:tcPr>
          <w:p w:rsidR="00B25F74" w:rsidRDefault="00B25F74" w:rsidP="00502210">
            <w:pPr>
              <w:jc w:val="center"/>
              <w:rPr>
                <w:b/>
              </w:rPr>
            </w:pPr>
            <w:r w:rsidRPr="00466E4F">
              <w:rPr>
                <w:b/>
              </w:rPr>
              <w:t>Limited</w:t>
            </w:r>
          </w:p>
          <w:p w:rsidR="00B25F74" w:rsidRPr="00466E4F" w:rsidRDefault="00B25F74" w:rsidP="00502210">
            <w:pPr>
              <w:jc w:val="center"/>
              <w:rPr>
                <w:b/>
              </w:rPr>
            </w:pPr>
            <w:r>
              <w:rPr>
                <w:b/>
              </w:rPr>
              <w:t>Rating</w:t>
            </w:r>
          </w:p>
        </w:tc>
        <w:tc>
          <w:tcPr>
            <w:tcW w:w="1653" w:type="dxa"/>
            <w:shd w:val="clear" w:color="auto" w:fill="auto"/>
            <w:vAlign w:val="center"/>
          </w:tcPr>
          <w:p w:rsidR="00B25F74" w:rsidRPr="00466E4F" w:rsidRDefault="00B25F74" w:rsidP="00502210">
            <w:pPr>
              <w:jc w:val="center"/>
              <w:rPr>
                <w:b/>
              </w:rPr>
            </w:pPr>
            <w:r w:rsidRPr="00466E4F">
              <w:rPr>
                <w:b/>
              </w:rPr>
              <w:t>No Evidence</w:t>
            </w:r>
            <w:r>
              <w:rPr>
                <w:b/>
              </w:rPr>
              <w:t xml:space="preserve"> Rating</w:t>
            </w:r>
          </w:p>
        </w:tc>
      </w:tr>
      <w:tr w:rsidR="00FB1E45" w:rsidRPr="00466E4F" w:rsidTr="00B25F74">
        <w:trPr>
          <w:cantSplit/>
          <w:trHeight w:val="291"/>
        </w:trPr>
        <w:tc>
          <w:tcPr>
            <w:tcW w:w="8028" w:type="dxa"/>
            <w:vAlign w:val="center"/>
          </w:tcPr>
          <w:p w:rsidR="00FB1E45" w:rsidRPr="00466E4F" w:rsidRDefault="000B4614" w:rsidP="00D7054E">
            <w:pPr>
              <w:ind w:firstLine="11"/>
            </w:pPr>
            <w:r w:rsidRPr="00466E4F">
              <w:t>K</w:t>
            </w:r>
            <w:r w:rsidR="00F255E0" w:rsidRPr="00466E4F">
              <w:t>.3</w:t>
            </w:r>
            <w:r w:rsidR="00D37937" w:rsidRPr="00466E4F">
              <w:t xml:space="preserve">       </w:t>
            </w:r>
            <w:r w:rsidR="00D7054E">
              <w:t xml:space="preserve"> </w:t>
            </w:r>
            <w:r w:rsidR="000913F0" w:rsidRPr="00466E4F">
              <w:rPr>
                <w:rFonts w:eastAsia="Times"/>
              </w:rPr>
              <w:t>The student will</w:t>
            </w:r>
          </w:p>
        </w:tc>
        <w:tc>
          <w:tcPr>
            <w:tcW w:w="1666" w:type="dxa"/>
            <w:tcBorders>
              <w:top w:val="single" w:sz="4" w:space="0" w:color="auto"/>
              <w:bottom w:val="single" w:sz="4" w:space="0" w:color="auto"/>
            </w:tcBorders>
            <w:shd w:val="clear" w:color="auto" w:fill="BFBFBF" w:themeFill="background1" w:themeFillShade="BF"/>
          </w:tcPr>
          <w:p w:rsidR="00FB1E45" w:rsidRPr="00466E4F" w:rsidRDefault="00FB1E45" w:rsidP="00E234B9">
            <w:pPr>
              <w:pStyle w:val="Title"/>
              <w:rPr>
                <w:sz w:val="24"/>
                <w:szCs w:val="24"/>
              </w:rPr>
            </w:pPr>
          </w:p>
        </w:tc>
        <w:tc>
          <w:tcPr>
            <w:tcW w:w="1663" w:type="dxa"/>
            <w:tcBorders>
              <w:top w:val="single" w:sz="4" w:space="0" w:color="auto"/>
              <w:bottom w:val="single" w:sz="4" w:space="0" w:color="auto"/>
            </w:tcBorders>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c>
          <w:tcPr>
            <w:tcW w:w="1653" w:type="dxa"/>
            <w:tcBorders>
              <w:top w:val="single" w:sz="4" w:space="0" w:color="auto"/>
              <w:bottom w:val="single" w:sz="4" w:space="0" w:color="auto"/>
            </w:tcBorders>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r>
      <w:tr w:rsidR="000913F0" w:rsidRPr="00466E4F" w:rsidTr="00B25F74">
        <w:trPr>
          <w:cantSplit/>
          <w:trHeight w:val="291"/>
        </w:trPr>
        <w:tc>
          <w:tcPr>
            <w:tcW w:w="8028" w:type="dxa"/>
            <w:vAlign w:val="center"/>
          </w:tcPr>
          <w:p w:rsidR="000913F0" w:rsidRPr="00466E4F" w:rsidRDefault="000913F0" w:rsidP="000913F0">
            <w:pPr>
              <w:ind w:left="911"/>
            </w:pPr>
            <w:r w:rsidRPr="00466E4F">
              <w:t>a) count forward orally by ones from 0 to 100;</w:t>
            </w:r>
          </w:p>
        </w:tc>
        <w:tc>
          <w:tcPr>
            <w:tcW w:w="1666" w:type="dxa"/>
            <w:tcBorders>
              <w:top w:val="single" w:sz="4" w:space="0" w:color="auto"/>
              <w:bottom w:val="single" w:sz="4" w:space="0" w:color="auto"/>
            </w:tcBorders>
            <w:shd w:val="clear" w:color="auto" w:fill="FFFFFF" w:themeFill="background1"/>
          </w:tcPr>
          <w:p w:rsidR="000913F0" w:rsidRPr="00466E4F" w:rsidRDefault="000913F0" w:rsidP="00E234B9">
            <w:pPr>
              <w:pStyle w:val="Title"/>
              <w:rPr>
                <w:sz w:val="24"/>
                <w:szCs w:val="24"/>
              </w:rPr>
            </w:pPr>
          </w:p>
        </w:tc>
        <w:tc>
          <w:tcPr>
            <w:tcW w:w="1663" w:type="dxa"/>
            <w:tcBorders>
              <w:top w:val="single" w:sz="4" w:space="0" w:color="auto"/>
              <w:bottom w:val="single" w:sz="4" w:space="0" w:color="auto"/>
            </w:tcBorders>
            <w:shd w:val="clear" w:color="auto" w:fill="FFFFFF" w:themeFill="background1"/>
          </w:tcPr>
          <w:p w:rsidR="000913F0" w:rsidRPr="00466E4F" w:rsidRDefault="000913F0" w:rsidP="00E234B9">
            <w:pPr>
              <w:pStyle w:val="BodyText2"/>
              <w:jc w:val="center"/>
              <w:rPr>
                <w:rFonts w:ascii="Times New Roman" w:hAnsi="Times New Roman"/>
                <w:sz w:val="24"/>
                <w:szCs w:val="24"/>
              </w:rPr>
            </w:pPr>
          </w:p>
        </w:tc>
        <w:tc>
          <w:tcPr>
            <w:tcW w:w="1653" w:type="dxa"/>
            <w:tcBorders>
              <w:top w:val="single" w:sz="4" w:space="0" w:color="auto"/>
              <w:bottom w:val="single" w:sz="4" w:space="0" w:color="auto"/>
            </w:tcBorders>
            <w:shd w:val="clear" w:color="auto" w:fill="FFFFFF" w:themeFill="background1"/>
          </w:tcPr>
          <w:p w:rsidR="000913F0" w:rsidRPr="00466E4F" w:rsidRDefault="000913F0" w:rsidP="00E234B9">
            <w:pPr>
              <w:pStyle w:val="BodyText2"/>
              <w:jc w:val="center"/>
              <w:rPr>
                <w:rFonts w:ascii="Times New Roman" w:hAnsi="Times New Roman"/>
                <w:sz w:val="24"/>
                <w:szCs w:val="24"/>
              </w:rPr>
            </w:pPr>
          </w:p>
        </w:tc>
      </w:tr>
      <w:tr w:rsidR="000913F0" w:rsidRPr="00466E4F" w:rsidTr="00B25F74">
        <w:trPr>
          <w:cantSplit/>
          <w:trHeight w:val="291"/>
        </w:trPr>
        <w:tc>
          <w:tcPr>
            <w:tcW w:w="8028" w:type="dxa"/>
            <w:vAlign w:val="center"/>
          </w:tcPr>
          <w:p w:rsidR="000913F0" w:rsidRPr="00466E4F" w:rsidRDefault="000913F0" w:rsidP="000913F0">
            <w:pPr>
              <w:ind w:left="1181" w:hanging="270"/>
            </w:pPr>
            <w:r w:rsidRPr="00466E4F">
              <w:t>b) count backward orally by ones when given any number between 1 and 10;</w:t>
            </w:r>
          </w:p>
        </w:tc>
        <w:tc>
          <w:tcPr>
            <w:tcW w:w="1666" w:type="dxa"/>
            <w:tcBorders>
              <w:top w:val="single" w:sz="4" w:space="0" w:color="auto"/>
              <w:bottom w:val="single" w:sz="4" w:space="0" w:color="auto"/>
            </w:tcBorders>
            <w:shd w:val="clear" w:color="auto" w:fill="FFFFFF" w:themeFill="background1"/>
          </w:tcPr>
          <w:p w:rsidR="000913F0" w:rsidRPr="00466E4F" w:rsidRDefault="000913F0" w:rsidP="00E234B9">
            <w:pPr>
              <w:pStyle w:val="Title"/>
              <w:rPr>
                <w:sz w:val="24"/>
                <w:szCs w:val="24"/>
              </w:rPr>
            </w:pPr>
          </w:p>
        </w:tc>
        <w:tc>
          <w:tcPr>
            <w:tcW w:w="1663" w:type="dxa"/>
            <w:tcBorders>
              <w:top w:val="single" w:sz="4" w:space="0" w:color="auto"/>
              <w:bottom w:val="single" w:sz="4" w:space="0" w:color="auto"/>
            </w:tcBorders>
            <w:shd w:val="clear" w:color="auto" w:fill="FFFFFF" w:themeFill="background1"/>
          </w:tcPr>
          <w:p w:rsidR="000913F0" w:rsidRPr="00466E4F" w:rsidRDefault="000913F0" w:rsidP="00E234B9">
            <w:pPr>
              <w:pStyle w:val="BodyText2"/>
              <w:jc w:val="center"/>
              <w:rPr>
                <w:rFonts w:ascii="Times New Roman" w:hAnsi="Times New Roman"/>
                <w:sz w:val="24"/>
                <w:szCs w:val="24"/>
              </w:rPr>
            </w:pPr>
          </w:p>
        </w:tc>
        <w:tc>
          <w:tcPr>
            <w:tcW w:w="1653" w:type="dxa"/>
            <w:tcBorders>
              <w:top w:val="single" w:sz="4" w:space="0" w:color="auto"/>
              <w:bottom w:val="single" w:sz="4" w:space="0" w:color="auto"/>
            </w:tcBorders>
            <w:shd w:val="clear" w:color="auto" w:fill="FFFFFF" w:themeFill="background1"/>
          </w:tcPr>
          <w:p w:rsidR="000913F0" w:rsidRPr="00466E4F" w:rsidRDefault="000913F0" w:rsidP="00E234B9">
            <w:pPr>
              <w:pStyle w:val="BodyText2"/>
              <w:jc w:val="center"/>
              <w:rPr>
                <w:rFonts w:ascii="Times New Roman" w:hAnsi="Times New Roman"/>
                <w:sz w:val="24"/>
                <w:szCs w:val="24"/>
              </w:rPr>
            </w:pPr>
          </w:p>
        </w:tc>
      </w:tr>
      <w:tr w:rsidR="000913F0" w:rsidRPr="00466E4F" w:rsidTr="00B25F74">
        <w:trPr>
          <w:cantSplit/>
          <w:trHeight w:val="291"/>
        </w:trPr>
        <w:tc>
          <w:tcPr>
            <w:tcW w:w="8028" w:type="dxa"/>
            <w:vAlign w:val="center"/>
          </w:tcPr>
          <w:p w:rsidR="000913F0" w:rsidRPr="00466E4F" w:rsidRDefault="000913F0" w:rsidP="000913F0">
            <w:pPr>
              <w:ind w:left="1181" w:hanging="270"/>
            </w:pPr>
            <w:r w:rsidRPr="00466E4F">
              <w:t>c) identify the number after, without counting, when given any number between 0 and100 and identify the number before, without counting, when given any number between 1 and 10; and</w:t>
            </w:r>
          </w:p>
        </w:tc>
        <w:tc>
          <w:tcPr>
            <w:tcW w:w="1666" w:type="dxa"/>
            <w:tcBorders>
              <w:top w:val="single" w:sz="4" w:space="0" w:color="auto"/>
              <w:bottom w:val="single" w:sz="4" w:space="0" w:color="auto"/>
            </w:tcBorders>
            <w:shd w:val="clear" w:color="auto" w:fill="FFFFFF" w:themeFill="background1"/>
          </w:tcPr>
          <w:p w:rsidR="000913F0" w:rsidRPr="00466E4F" w:rsidRDefault="000913F0" w:rsidP="00E234B9">
            <w:pPr>
              <w:pStyle w:val="Title"/>
              <w:rPr>
                <w:sz w:val="24"/>
                <w:szCs w:val="24"/>
              </w:rPr>
            </w:pPr>
          </w:p>
        </w:tc>
        <w:tc>
          <w:tcPr>
            <w:tcW w:w="1663" w:type="dxa"/>
            <w:tcBorders>
              <w:top w:val="single" w:sz="4" w:space="0" w:color="auto"/>
              <w:bottom w:val="single" w:sz="4" w:space="0" w:color="auto"/>
            </w:tcBorders>
            <w:shd w:val="clear" w:color="auto" w:fill="FFFFFF" w:themeFill="background1"/>
          </w:tcPr>
          <w:p w:rsidR="000913F0" w:rsidRPr="00466E4F" w:rsidRDefault="000913F0" w:rsidP="00E234B9">
            <w:pPr>
              <w:pStyle w:val="BodyText2"/>
              <w:jc w:val="center"/>
              <w:rPr>
                <w:rFonts w:ascii="Times New Roman" w:hAnsi="Times New Roman"/>
                <w:sz w:val="24"/>
                <w:szCs w:val="24"/>
              </w:rPr>
            </w:pPr>
          </w:p>
        </w:tc>
        <w:tc>
          <w:tcPr>
            <w:tcW w:w="1653" w:type="dxa"/>
            <w:tcBorders>
              <w:top w:val="single" w:sz="4" w:space="0" w:color="auto"/>
              <w:bottom w:val="single" w:sz="4" w:space="0" w:color="auto"/>
            </w:tcBorders>
            <w:shd w:val="clear" w:color="auto" w:fill="FFFFFF" w:themeFill="background1"/>
          </w:tcPr>
          <w:p w:rsidR="000913F0" w:rsidRPr="00466E4F" w:rsidRDefault="000913F0" w:rsidP="00E234B9">
            <w:pPr>
              <w:pStyle w:val="BodyText2"/>
              <w:jc w:val="center"/>
              <w:rPr>
                <w:rFonts w:ascii="Times New Roman" w:hAnsi="Times New Roman"/>
                <w:sz w:val="24"/>
                <w:szCs w:val="24"/>
              </w:rPr>
            </w:pPr>
          </w:p>
        </w:tc>
      </w:tr>
      <w:tr w:rsidR="000913F0" w:rsidRPr="00466E4F" w:rsidTr="00B25F74">
        <w:trPr>
          <w:cantSplit/>
          <w:trHeight w:val="291"/>
        </w:trPr>
        <w:tc>
          <w:tcPr>
            <w:tcW w:w="8028" w:type="dxa"/>
            <w:vAlign w:val="center"/>
          </w:tcPr>
          <w:p w:rsidR="000913F0" w:rsidRPr="00466E4F" w:rsidRDefault="000913F0" w:rsidP="000913F0">
            <w:pPr>
              <w:ind w:left="911"/>
            </w:pPr>
            <w:r w:rsidRPr="00466E4F">
              <w:t xml:space="preserve">d) </w:t>
            </w:r>
            <w:proofErr w:type="gramStart"/>
            <w:r w:rsidRPr="00466E4F">
              <w:t>count</w:t>
            </w:r>
            <w:proofErr w:type="gramEnd"/>
            <w:r w:rsidRPr="00466E4F">
              <w:t xml:space="preserve"> forward by tens to determine the total number of objects to 100.</w:t>
            </w:r>
          </w:p>
        </w:tc>
        <w:tc>
          <w:tcPr>
            <w:tcW w:w="1666" w:type="dxa"/>
            <w:tcBorders>
              <w:top w:val="single" w:sz="4" w:space="0" w:color="auto"/>
              <w:bottom w:val="triple" w:sz="4" w:space="0" w:color="auto"/>
            </w:tcBorders>
            <w:shd w:val="clear" w:color="auto" w:fill="FFFFFF" w:themeFill="background1"/>
          </w:tcPr>
          <w:p w:rsidR="000913F0" w:rsidRDefault="000913F0" w:rsidP="00E234B9">
            <w:pPr>
              <w:pStyle w:val="Title"/>
              <w:rPr>
                <w:sz w:val="24"/>
                <w:szCs w:val="24"/>
              </w:rPr>
            </w:pPr>
          </w:p>
          <w:p w:rsidR="00A45501" w:rsidRPr="00466E4F" w:rsidRDefault="00A45501" w:rsidP="00E234B9">
            <w:pPr>
              <w:pStyle w:val="Title"/>
              <w:rPr>
                <w:sz w:val="24"/>
                <w:szCs w:val="24"/>
              </w:rPr>
            </w:pPr>
          </w:p>
        </w:tc>
        <w:tc>
          <w:tcPr>
            <w:tcW w:w="1663" w:type="dxa"/>
            <w:tcBorders>
              <w:top w:val="single" w:sz="4" w:space="0" w:color="auto"/>
              <w:bottom w:val="triple" w:sz="4" w:space="0" w:color="auto"/>
            </w:tcBorders>
            <w:shd w:val="clear" w:color="auto" w:fill="FFFFFF" w:themeFill="background1"/>
          </w:tcPr>
          <w:p w:rsidR="000913F0" w:rsidRPr="00466E4F" w:rsidRDefault="000913F0" w:rsidP="00E234B9">
            <w:pPr>
              <w:pStyle w:val="BodyText2"/>
              <w:jc w:val="center"/>
              <w:rPr>
                <w:rFonts w:ascii="Times New Roman" w:hAnsi="Times New Roman"/>
                <w:sz w:val="24"/>
                <w:szCs w:val="24"/>
              </w:rPr>
            </w:pPr>
          </w:p>
        </w:tc>
        <w:tc>
          <w:tcPr>
            <w:tcW w:w="1653" w:type="dxa"/>
            <w:tcBorders>
              <w:top w:val="single" w:sz="4" w:space="0" w:color="auto"/>
              <w:bottom w:val="triple" w:sz="4" w:space="0" w:color="auto"/>
            </w:tcBorders>
            <w:shd w:val="clear" w:color="auto" w:fill="FFFFFF" w:themeFill="background1"/>
          </w:tcPr>
          <w:p w:rsidR="000913F0" w:rsidRPr="00466E4F" w:rsidRDefault="000913F0"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K.4 rating table"/>
      </w:tblPr>
      <w:tblGrid>
        <w:gridCol w:w="8125"/>
        <w:gridCol w:w="1703"/>
        <w:gridCol w:w="7"/>
        <w:gridCol w:w="1620"/>
        <w:gridCol w:w="1710"/>
        <w:gridCol w:w="11"/>
      </w:tblGrid>
      <w:tr w:rsidR="00464936" w:rsidRPr="00466E4F" w:rsidTr="00464936">
        <w:trPr>
          <w:gridAfter w:val="1"/>
          <w:wAfter w:w="11" w:type="dxa"/>
          <w:cantSplit/>
        </w:trPr>
        <w:tc>
          <w:tcPr>
            <w:tcW w:w="8125" w:type="dxa"/>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710" w:type="dxa"/>
            <w:gridSpan w:val="2"/>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20"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710"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125" w:type="dxa"/>
            <w:vAlign w:val="center"/>
          </w:tcPr>
          <w:p w:rsidR="00FB1E45" w:rsidRPr="00466E4F" w:rsidRDefault="000B4614" w:rsidP="000913F0">
            <w:pPr>
              <w:pStyle w:val="SOLNumber"/>
              <w:spacing w:before="0"/>
              <w:rPr>
                <w:sz w:val="24"/>
                <w:szCs w:val="24"/>
              </w:rPr>
            </w:pPr>
            <w:r w:rsidRPr="00466E4F">
              <w:rPr>
                <w:sz w:val="24"/>
                <w:szCs w:val="24"/>
              </w:rPr>
              <w:t>K</w:t>
            </w:r>
            <w:r w:rsidR="00F255E0" w:rsidRPr="00466E4F">
              <w:rPr>
                <w:sz w:val="24"/>
                <w:szCs w:val="24"/>
              </w:rPr>
              <w:t>.4</w:t>
            </w:r>
            <w:r w:rsidR="00F255E0" w:rsidRPr="00466E4F">
              <w:rPr>
                <w:sz w:val="24"/>
                <w:szCs w:val="24"/>
              </w:rPr>
              <w:tab/>
            </w:r>
            <w:r w:rsidR="000C5C31" w:rsidRPr="00466E4F">
              <w:rPr>
                <w:sz w:val="24"/>
                <w:szCs w:val="24"/>
              </w:rPr>
              <w:t xml:space="preserve">The student will </w:t>
            </w:r>
          </w:p>
        </w:tc>
        <w:tc>
          <w:tcPr>
            <w:tcW w:w="1703" w:type="dxa"/>
            <w:shd w:val="clear" w:color="auto" w:fill="BFBFBF" w:themeFill="background1" w:themeFillShade="BF"/>
          </w:tcPr>
          <w:p w:rsidR="00FB1E45" w:rsidRPr="00466E4F" w:rsidRDefault="00FB1E45" w:rsidP="00E234B9">
            <w:pPr>
              <w:pStyle w:val="Title"/>
              <w:rPr>
                <w:sz w:val="24"/>
                <w:szCs w:val="24"/>
              </w:rPr>
            </w:pPr>
          </w:p>
        </w:tc>
        <w:tc>
          <w:tcPr>
            <w:tcW w:w="1627" w:type="dxa"/>
            <w:gridSpan w:val="2"/>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c>
          <w:tcPr>
            <w:tcW w:w="1721" w:type="dxa"/>
            <w:gridSpan w:val="2"/>
            <w:shd w:val="clear" w:color="auto" w:fill="BFBFBF" w:themeFill="background1" w:themeFillShade="BF"/>
          </w:tcPr>
          <w:p w:rsidR="00FB1E45" w:rsidRPr="00466E4F" w:rsidRDefault="00FB1E45" w:rsidP="00E234B9">
            <w:pPr>
              <w:pStyle w:val="BodyText2"/>
              <w:jc w:val="center"/>
              <w:rPr>
                <w:rFonts w:ascii="Times New Roman" w:hAnsi="Times New Roman"/>
                <w:sz w:val="24"/>
                <w:szCs w:val="24"/>
              </w:rPr>
            </w:pPr>
          </w:p>
        </w:tc>
      </w:tr>
      <w:tr w:rsidR="000B4614" w:rsidRPr="00466E4F" w:rsidTr="00464936">
        <w:trPr>
          <w:cantSplit/>
        </w:trPr>
        <w:tc>
          <w:tcPr>
            <w:tcW w:w="8125" w:type="dxa"/>
            <w:vAlign w:val="center"/>
          </w:tcPr>
          <w:p w:rsidR="000B4614" w:rsidRPr="00466E4F" w:rsidRDefault="000B4614" w:rsidP="000B4614">
            <w:pPr>
              <w:ind w:left="1260" w:hanging="353"/>
            </w:pPr>
            <w:r w:rsidRPr="00466E4F">
              <w:rPr>
                <w:rFonts w:eastAsia="Times"/>
              </w:rPr>
              <w:t>a)</w:t>
            </w:r>
            <w:r w:rsidRPr="00466E4F">
              <w:rPr>
                <w:rFonts w:eastAsia="Times"/>
              </w:rPr>
              <w:tab/>
            </w:r>
            <w:r w:rsidR="000913F0" w:rsidRPr="00466E4F">
              <w:rPr>
                <w:rFonts w:eastAsia="Times"/>
              </w:rPr>
              <w:t>recognize and describe with fluency part-whole relationships for numbers up to 5; and</w:t>
            </w:r>
          </w:p>
        </w:tc>
        <w:tc>
          <w:tcPr>
            <w:tcW w:w="1703" w:type="dxa"/>
          </w:tcPr>
          <w:p w:rsidR="000B4614" w:rsidRPr="00466E4F" w:rsidRDefault="000B4614" w:rsidP="00E234B9">
            <w:pPr>
              <w:pStyle w:val="Title"/>
              <w:rPr>
                <w:sz w:val="24"/>
                <w:szCs w:val="24"/>
              </w:rPr>
            </w:pPr>
          </w:p>
        </w:tc>
        <w:tc>
          <w:tcPr>
            <w:tcW w:w="1627" w:type="dxa"/>
            <w:gridSpan w:val="2"/>
          </w:tcPr>
          <w:p w:rsidR="000B4614" w:rsidRPr="00466E4F" w:rsidRDefault="000B4614" w:rsidP="00E234B9">
            <w:pPr>
              <w:pStyle w:val="BodyText2"/>
              <w:jc w:val="center"/>
              <w:rPr>
                <w:rFonts w:ascii="Times New Roman" w:hAnsi="Times New Roman"/>
                <w:sz w:val="24"/>
                <w:szCs w:val="24"/>
              </w:rPr>
            </w:pPr>
          </w:p>
        </w:tc>
        <w:tc>
          <w:tcPr>
            <w:tcW w:w="1721" w:type="dxa"/>
            <w:gridSpan w:val="2"/>
          </w:tcPr>
          <w:p w:rsidR="000B4614" w:rsidRPr="00466E4F" w:rsidRDefault="000B4614" w:rsidP="00E234B9">
            <w:pPr>
              <w:pStyle w:val="BodyText2"/>
              <w:jc w:val="center"/>
              <w:rPr>
                <w:rFonts w:ascii="Times New Roman" w:hAnsi="Times New Roman"/>
                <w:sz w:val="24"/>
                <w:szCs w:val="24"/>
              </w:rPr>
            </w:pPr>
          </w:p>
        </w:tc>
      </w:tr>
      <w:tr w:rsidR="000B4614" w:rsidRPr="00466E4F" w:rsidTr="00464936">
        <w:trPr>
          <w:cantSplit/>
        </w:trPr>
        <w:tc>
          <w:tcPr>
            <w:tcW w:w="8125" w:type="dxa"/>
            <w:vAlign w:val="center"/>
          </w:tcPr>
          <w:p w:rsidR="000B4614" w:rsidRPr="00466E4F" w:rsidRDefault="000B4614" w:rsidP="000B4614">
            <w:pPr>
              <w:ind w:left="1260" w:hanging="353"/>
            </w:pPr>
            <w:r w:rsidRPr="00466E4F">
              <w:rPr>
                <w:rFonts w:eastAsia="Times"/>
              </w:rPr>
              <w:t>b)</w:t>
            </w:r>
            <w:r w:rsidRPr="00466E4F">
              <w:rPr>
                <w:rFonts w:eastAsia="Times"/>
              </w:rPr>
              <w:tab/>
            </w:r>
            <w:proofErr w:type="gramStart"/>
            <w:r w:rsidR="000913F0" w:rsidRPr="00466E4F">
              <w:rPr>
                <w:rFonts w:eastAsia="Times"/>
              </w:rPr>
              <w:t>investigate</w:t>
            </w:r>
            <w:proofErr w:type="gramEnd"/>
            <w:r w:rsidR="000913F0" w:rsidRPr="00466E4F">
              <w:rPr>
                <w:rFonts w:eastAsia="Times"/>
              </w:rPr>
              <w:t xml:space="preserve"> and describe part-whole relationships for numbers up to 10.</w:t>
            </w:r>
          </w:p>
        </w:tc>
        <w:tc>
          <w:tcPr>
            <w:tcW w:w="1703" w:type="dxa"/>
          </w:tcPr>
          <w:p w:rsidR="000B4614" w:rsidRDefault="000B4614" w:rsidP="00E234B9">
            <w:pPr>
              <w:pStyle w:val="Title"/>
              <w:rPr>
                <w:sz w:val="24"/>
                <w:szCs w:val="24"/>
              </w:rPr>
            </w:pPr>
          </w:p>
          <w:p w:rsidR="00A45501" w:rsidRPr="00466E4F" w:rsidRDefault="00A45501" w:rsidP="00E234B9">
            <w:pPr>
              <w:pStyle w:val="Title"/>
              <w:rPr>
                <w:sz w:val="24"/>
                <w:szCs w:val="24"/>
              </w:rPr>
            </w:pPr>
          </w:p>
        </w:tc>
        <w:tc>
          <w:tcPr>
            <w:tcW w:w="1627" w:type="dxa"/>
            <w:gridSpan w:val="2"/>
          </w:tcPr>
          <w:p w:rsidR="000B4614" w:rsidRPr="00466E4F" w:rsidRDefault="000B4614" w:rsidP="00E234B9">
            <w:pPr>
              <w:pStyle w:val="BodyText2"/>
              <w:jc w:val="center"/>
              <w:rPr>
                <w:rFonts w:ascii="Times New Roman" w:hAnsi="Times New Roman"/>
                <w:sz w:val="24"/>
                <w:szCs w:val="24"/>
              </w:rPr>
            </w:pPr>
          </w:p>
        </w:tc>
        <w:tc>
          <w:tcPr>
            <w:tcW w:w="1721" w:type="dxa"/>
            <w:gridSpan w:val="2"/>
          </w:tcPr>
          <w:p w:rsidR="000B4614" w:rsidRPr="00466E4F" w:rsidRDefault="000B4614"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5 rating table"/>
      </w:tblPr>
      <w:tblGrid>
        <w:gridCol w:w="7954"/>
        <w:gridCol w:w="1658"/>
        <w:gridCol w:w="1653"/>
        <w:gridCol w:w="1645"/>
      </w:tblGrid>
      <w:tr w:rsidR="00464936" w:rsidRPr="00466E4F" w:rsidTr="00502210">
        <w:trPr>
          <w:cantSplit/>
        </w:trPr>
        <w:tc>
          <w:tcPr>
            <w:tcW w:w="8028" w:type="dxa"/>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63"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653"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028" w:type="dxa"/>
          </w:tcPr>
          <w:p w:rsidR="00FB1E45" w:rsidRPr="00466E4F" w:rsidRDefault="000B4614" w:rsidP="00D7054E">
            <w:pPr>
              <w:ind w:left="735" w:hanging="724"/>
            </w:pPr>
            <w:r w:rsidRPr="00466E4F">
              <w:t>K</w:t>
            </w:r>
            <w:r w:rsidR="00F255E0" w:rsidRPr="00466E4F">
              <w:t>.5</w:t>
            </w:r>
            <w:r w:rsidR="00F255E0" w:rsidRPr="00466E4F">
              <w:tab/>
            </w:r>
            <w:r w:rsidR="000913F0" w:rsidRPr="00466E4F">
              <w:rPr>
                <w:rFonts w:eastAsia="Times"/>
              </w:rPr>
              <w:t>The student will investigate fractions by representing and solving practical problems involving equal sharing with two sharers.</w:t>
            </w:r>
          </w:p>
        </w:tc>
        <w:tc>
          <w:tcPr>
            <w:tcW w:w="1666" w:type="dxa"/>
          </w:tcPr>
          <w:p w:rsidR="00FB1E45" w:rsidRDefault="00FB1E45" w:rsidP="00E234B9">
            <w:pPr>
              <w:pStyle w:val="Title"/>
              <w:rPr>
                <w:sz w:val="24"/>
                <w:szCs w:val="24"/>
              </w:rPr>
            </w:pPr>
          </w:p>
          <w:p w:rsidR="00464936" w:rsidRDefault="00464936" w:rsidP="00E234B9">
            <w:pPr>
              <w:pStyle w:val="Title"/>
              <w:rPr>
                <w:sz w:val="24"/>
                <w:szCs w:val="24"/>
              </w:rPr>
            </w:pPr>
          </w:p>
          <w:p w:rsidR="00464936" w:rsidRPr="00466E4F" w:rsidRDefault="00464936" w:rsidP="00E234B9">
            <w:pPr>
              <w:pStyle w:val="Title"/>
              <w:rPr>
                <w:sz w:val="24"/>
                <w:szCs w:val="24"/>
              </w:rPr>
            </w:pPr>
          </w:p>
        </w:tc>
        <w:tc>
          <w:tcPr>
            <w:tcW w:w="1663" w:type="dxa"/>
          </w:tcPr>
          <w:p w:rsidR="00FB1E45" w:rsidRPr="00466E4F" w:rsidRDefault="00FB1E45" w:rsidP="00E234B9">
            <w:pPr>
              <w:pStyle w:val="BodyText2"/>
              <w:jc w:val="center"/>
              <w:rPr>
                <w:rFonts w:ascii="Times New Roman" w:hAnsi="Times New Roman"/>
                <w:sz w:val="24"/>
                <w:szCs w:val="24"/>
              </w:rPr>
            </w:pPr>
          </w:p>
        </w:tc>
        <w:tc>
          <w:tcPr>
            <w:tcW w:w="1653" w:type="dxa"/>
          </w:tcPr>
          <w:p w:rsidR="00FB1E45" w:rsidRPr="00466E4F" w:rsidRDefault="00FB1E45"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6 rating table"/>
      </w:tblPr>
      <w:tblGrid>
        <w:gridCol w:w="7954"/>
        <w:gridCol w:w="1658"/>
        <w:gridCol w:w="1653"/>
        <w:gridCol w:w="1645"/>
      </w:tblGrid>
      <w:tr w:rsidR="00464936" w:rsidRPr="00466E4F" w:rsidTr="00502210">
        <w:trPr>
          <w:cantSplit/>
        </w:trPr>
        <w:tc>
          <w:tcPr>
            <w:tcW w:w="8028" w:type="dxa"/>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63"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653"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028" w:type="dxa"/>
          </w:tcPr>
          <w:p w:rsidR="00E234B9" w:rsidRPr="00466E4F" w:rsidRDefault="000B4614" w:rsidP="00D7054E">
            <w:pPr>
              <w:pStyle w:val="SOLNumber"/>
              <w:keepNext/>
              <w:spacing w:before="0"/>
              <w:ind w:hanging="896"/>
              <w:rPr>
                <w:sz w:val="24"/>
                <w:szCs w:val="24"/>
              </w:rPr>
            </w:pPr>
            <w:r w:rsidRPr="00466E4F">
              <w:rPr>
                <w:sz w:val="24"/>
                <w:szCs w:val="24"/>
              </w:rPr>
              <w:t xml:space="preserve">K.6 </w:t>
            </w:r>
            <w:r w:rsidR="00D37937" w:rsidRPr="00466E4F">
              <w:rPr>
                <w:sz w:val="24"/>
                <w:szCs w:val="24"/>
              </w:rPr>
              <w:t xml:space="preserve">     </w:t>
            </w:r>
            <w:r w:rsidR="000913F0" w:rsidRPr="00466E4F">
              <w:rPr>
                <w:sz w:val="24"/>
                <w:szCs w:val="24"/>
              </w:rPr>
              <w:t xml:space="preserve"> The student will model and solve single-step story and picture problems with sums to 10 and differences within 10, using concrete objects.</w:t>
            </w:r>
          </w:p>
        </w:tc>
        <w:tc>
          <w:tcPr>
            <w:tcW w:w="1666" w:type="dxa"/>
            <w:tcBorders>
              <w:top w:val="single" w:sz="4" w:space="0" w:color="auto"/>
              <w:bottom w:val="triple" w:sz="4" w:space="0" w:color="auto"/>
            </w:tcBorders>
            <w:shd w:val="clear" w:color="auto" w:fill="auto"/>
          </w:tcPr>
          <w:p w:rsidR="00FB1E45" w:rsidRDefault="00FB1E45" w:rsidP="00E234B9">
            <w:pPr>
              <w:pStyle w:val="Title"/>
              <w:rPr>
                <w:sz w:val="24"/>
                <w:szCs w:val="24"/>
              </w:rPr>
            </w:pPr>
          </w:p>
          <w:p w:rsidR="00464936" w:rsidRDefault="00464936" w:rsidP="00E234B9">
            <w:pPr>
              <w:pStyle w:val="Title"/>
              <w:rPr>
                <w:sz w:val="24"/>
                <w:szCs w:val="24"/>
              </w:rPr>
            </w:pPr>
          </w:p>
          <w:p w:rsidR="00464936" w:rsidRPr="00466E4F" w:rsidRDefault="00464936" w:rsidP="00E234B9">
            <w:pPr>
              <w:pStyle w:val="Title"/>
              <w:rPr>
                <w:sz w:val="24"/>
                <w:szCs w:val="24"/>
              </w:rPr>
            </w:pPr>
          </w:p>
        </w:tc>
        <w:tc>
          <w:tcPr>
            <w:tcW w:w="1663" w:type="dxa"/>
            <w:tcBorders>
              <w:top w:val="single" w:sz="4" w:space="0" w:color="auto"/>
              <w:bottom w:val="triple" w:sz="4" w:space="0" w:color="auto"/>
            </w:tcBorders>
            <w:shd w:val="clear" w:color="auto" w:fill="auto"/>
          </w:tcPr>
          <w:p w:rsidR="00FB1E45" w:rsidRPr="00466E4F" w:rsidRDefault="00FB1E45" w:rsidP="00E234B9">
            <w:pPr>
              <w:pStyle w:val="BodyText2"/>
              <w:jc w:val="center"/>
              <w:rPr>
                <w:rFonts w:ascii="Times New Roman" w:hAnsi="Times New Roman"/>
                <w:sz w:val="24"/>
                <w:szCs w:val="24"/>
              </w:rPr>
            </w:pPr>
          </w:p>
        </w:tc>
        <w:tc>
          <w:tcPr>
            <w:tcW w:w="1653" w:type="dxa"/>
            <w:tcBorders>
              <w:top w:val="single" w:sz="4" w:space="0" w:color="auto"/>
              <w:bottom w:val="triple" w:sz="4" w:space="0" w:color="auto"/>
            </w:tcBorders>
            <w:shd w:val="clear" w:color="auto" w:fill="auto"/>
          </w:tcPr>
          <w:p w:rsidR="00FB1E45" w:rsidRPr="00466E4F" w:rsidRDefault="00FB1E45"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7 rating table"/>
      </w:tblPr>
      <w:tblGrid>
        <w:gridCol w:w="7944"/>
        <w:gridCol w:w="6"/>
        <w:gridCol w:w="1658"/>
        <w:gridCol w:w="1655"/>
        <w:gridCol w:w="1647"/>
      </w:tblGrid>
      <w:tr w:rsidR="00464936" w:rsidRPr="00466E4F" w:rsidTr="00464936">
        <w:trPr>
          <w:cantSplit/>
        </w:trPr>
        <w:tc>
          <w:tcPr>
            <w:tcW w:w="8024" w:type="dxa"/>
            <w:gridSpan w:val="2"/>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65"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655"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018" w:type="dxa"/>
          </w:tcPr>
          <w:p w:rsidR="00FB1E45" w:rsidRPr="00466E4F" w:rsidRDefault="000B4614" w:rsidP="00466E4F">
            <w:pPr>
              <w:ind w:left="821" w:hanging="821"/>
            </w:pPr>
            <w:r w:rsidRPr="00466E4F">
              <w:t>K</w:t>
            </w:r>
            <w:r w:rsidR="00F255E0" w:rsidRPr="00466E4F">
              <w:t>.7</w:t>
            </w:r>
            <w:r w:rsidR="00F255E0" w:rsidRPr="00466E4F">
              <w:tab/>
            </w:r>
            <w:r w:rsidR="000913F0" w:rsidRPr="00466E4F">
              <w:rPr>
                <w:rFonts w:eastAsia="Times"/>
              </w:rPr>
              <w:t>The student will recognize the attributes of a penny, nickel, dime, and quarter and identify the number of pennies equivalent to a nickel, a dime, and a quarter.</w:t>
            </w:r>
          </w:p>
        </w:tc>
        <w:tc>
          <w:tcPr>
            <w:tcW w:w="1672" w:type="dxa"/>
            <w:gridSpan w:val="2"/>
          </w:tcPr>
          <w:p w:rsidR="00FB1E45" w:rsidRPr="00466E4F" w:rsidRDefault="00FB1E45" w:rsidP="00E234B9">
            <w:pPr>
              <w:pStyle w:val="Title"/>
              <w:rPr>
                <w:sz w:val="24"/>
                <w:szCs w:val="24"/>
              </w:rPr>
            </w:pPr>
          </w:p>
        </w:tc>
        <w:tc>
          <w:tcPr>
            <w:tcW w:w="1665" w:type="dxa"/>
          </w:tcPr>
          <w:p w:rsidR="00FB1E45" w:rsidRPr="00466E4F" w:rsidRDefault="00FB1E45" w:rsidP="00E234B9">
            <w:pPr>
              <w:pStyle w:val="BodyText2"/>
              <w:jc w:val="center"/>
              <w:rPr>
                <w:rFonts w:ascii="Times New Roman" w:hAnsi="Times New Roman"/>
                <w:sz w:val="24"/>
                <w:szCs w:val="24"/>
              </w:rPr>
            </w:pPr>
          </w:p>
        </w:tc>
        <w:tc>
          <w:tcPr>
            <w:tcW w:w="1655" w:type="dxa"/>
          </w:tcPr>
          <w:p w:rsidR="00FB1E45" w:rsidRPr="00466E4F" w:rsidRDefault="00FB1E45"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8 rating table"/>
      </w:tblPr>
      <w:tblGrid>
        <w:gridCol w:w="7954"/>
        <w:gridCol w:w="1658"/>
        <w:gridCol w:w="1653"/>
        <w:gridCol w:w="1645"/>
      </w:tblGrid>
      <w:tr w:rsidR="00464936" w:rsidRPr="00466E4F" w:rsidTr="00502210">
        <w:trPr>
          <w:cantSplit/>
        </w:trPr>
        <w:tc>
          <w:tcPr>
            <w:tcW w:w="8028" w:type="dxa"/>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63"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653"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028" w:type="dxa"/>
          </w:tcPr>
          <w:p w:rsidR="00FB1E45" w:rsidRPr="00466E4F" w:rsidRDefault="00FE3BF6" w:rsidP="00466E4F">
            <w:pPr>
              <w:ind w:left="911" w:hanging="900"/>
            </w:pPr>
            <w:r w:rsidRPr="00466E4F">
              <w:t>K</w:t>
            </w:r>
            <w:r w:rsidR="00F255E0" w:rsidRPr="00466E4F">
              <w:t>.8</w:t>
            </w:r>
            <w:r w:rsidR="00F255E0" w:rsidRPr="00466E4F">
              <w:tab/>
            </w:r>
            <w:r w:rsidR="003A6308" w:rsidRPr="00466E4F">
              <w:rPr>
                <w:rFonts w:eastAsia="Times"/>
              </w:rPr>
              <w:t>The student will investigate the passage of time by reading and interpreting a calendar.</w:t>
            </w:r>
          </w:p>
        </w:tc>
        <w:tc>
          <w:tcPr>
            <w:tcW w:w="1666" w:type="dxa"/>
          </w:tcPr>
          <w:p w:rsidR="00FB1E45" w:rsidRDefault="00FB1E45" w:rsidP="00E234B9">
            <w:pPr>
              <w:pStyle w:val="Title"/>
              <w:rPr>
                <w:sz w:val="24"/>
                <w:szCs w:val="24"/>
              </w:rPr>
            </w:pPr>
          </w:p>
          <w:p w:rsidR="00464936" w:rsidRDefault="00464936" w:rsidP="00E234B9">
            <w:pPr>
              <w:pStyle w:val="Title"/>
              <w:rPr>
                <w:sz w:val="24"/>
                <w:szCs w:val="24"/>
              </w:rPr>
            </w:pPr>
          </w:p>
          <w:p w:rsidR="00464936" w:rsidRPr="00466E4F" w:rsidRDefault="00464936" w:rsidP="00E234B9">
            <w:pPr>
              <w:pStyle w:val="Title"/>
              <w:rPr>
                <w:sz w:val="24"/>
                <w:szCs w:val="24"/>
              </w:rPr>
            </w:pPr>
          </w:p>
        </w:tc>
        <w:tc>
          <w:tcPr>
            <w:tcW w:w="1663" w:type="dxa"/>
          </w:tcPr>
          <w:p w:rsidR="00FB1E45" w:rsidRPr="00466E4F" w:rsidRDefault="00FB1E45" w:rsidP="00E234B9">
            <w:pPr>
              <w:pStyle w:val="BodyText2"/>
              <w:jc w:val="center"/>
              <w:rPr>
                <w:rFonts w:ascii="Times New Roman" w:hAnsi="Times New Roman"/>
                <w:sz w:val="24"/>
                <w:szCs w:val="24"/>
              </w:rPr>
            </w:pPr>
          </w:p>
        </w:tc>
        <w:tc>
          <w:tcPr>
            <w:tcW w:w="1653" w:type="dxa"/>
          </w:tcPr>
          <w:p w:rsidR="00FB1E45" w:rsidRPr="00466E4F" w:rsidRDefault="00FB1E45"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9 rating table"/>
      </w:tblPr>
      <w:tblGrid>
        <w:gridCol w:w="7946"/>
        <w:gridCol w:w="6"/>
        <w:gridCol w:w="1658"/>
        <w:gridCol w:w="1654"/>
        <w:gridCol w:w="1646"/>
      </w:tblGrid>
      <w:tr w:rsidR="00464936" w:rsidRPr="00466E4F" w:rsidTr="00464936">
        <w:trPr>
          <w:cantSplit/>
        </w:trPr>
        <w:tc>
          <w:tcPr>
            <w:tcW w:w="8024" w:type="dxa"/>
            <w:gridSpan w:val="2"/>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65"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655"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018" w:type="dxa"/>
          </w:tcPr>
          <w:p w:rsidR="00FB1E45" w:rsidRPr="00466E4F" w:rsidRDefault="00FE3BF6" w:rsidP="00466E4F">
            <w:pPr>
              <w:ind w:left="1080" w:hanging="1069"/>
            </w:pPr>
            <w:r w:rsidRPr="00466E4F">
              <w:t>K</w:t>
            </w:r>
            <w:r w:rsidR="00F255E0" w:rsidRPr="00466E4F">
              <w:t>.9</w:t>
            </w:r>
            <w:r w:rsidR="00F255E0" w:rsidRPr="00466E4F">
              <w:tab/>
            </w:r>
            <w:r w:rsidR="003A6308" w:rsidRPr="00466E4F">
              <w:t>The student will compare two objects or events, using direct comparisons, according to one or more of the following attributes: length (longer, shorter), height (taller, shorter), weight (heavier, lighter), temperature (hotter, colder), volume (more, less), and time (longer, shorter).</w:t>
            </w:r>
          </w:p>
        </w:tc>
        <w:tc>
          <w:tcPr>
            <w:tcW w:w="1672" w:type="dxa"/>
            <w:gridSpan w:val="2"/>
          </w:tcPr>
          <w:p w:rsidR="00FB1E45" w:rsidRPr="00466E4F" w:rsidRDefault="00FB1E45" w:rsidP="00E234B9">
            <w:pPr>
              <w:pStyle w:val="BodyText2"/>
              <w:ind w:left="0" w:firstLine="0"/>
              <w:jc w:val="center"/>
              <w:rPr>
                <w:rFonts w:ascii="Times New Roman" w:hAnsi="Times New Roman"/>
                <w:sz w:val="24"/>
                <w:szCs w:val="24"/>
              </w:rPr>
            </w:pPr>
          </w:p>
        </w:tc>
        <w:tc>
          <w:tcPr>
            <w:tcW w:w="1665" w:type="dxa"/>
          </w:tcPr>
          <w:p w:rsidR="00FB1E45" w:rsidRPr="00466E4F" w:rsidRDefault="00FB1E45" w:rsidP="00E234B9">
            <w:pPr>
              <w:pStyle w:val="BodyText2"/>
              <w:jc w:val="center"/>
              <w:rPr>
                <w:rFonts w:ascii="Times New Roman" w:hAnsi="Times New Roman"/>
                <w:sz w:val="24"/>
                <w:szCs w:val="24"/>
              </w:rPr>
            </w:pPr>
          </w:p>
        </w:tc>
        <w:tc>
          <w:tcPr>
            <w:tcW w:w="1655" w:type="dxa"/>
          </w:tcPr>
          <w:p w:rsidR="00FB1E45" w:rsidRPr="00466E4F" w:rsidRDefault="00FB1E45" w:rsidP="00E234B9">
            <w:pPr>
              <w:pStyle w:val="BodyText2"/>
              <w:jc w:val="center"/>
              <w:rPr>
                <w:rFonts w:ascii="Times New Roman" w:hAnsi="Times New Roman"/>
                <w:sz w:val="24"/>
                <w:szCs w:val="24"/>
              </w:rPr>
            </w:pPr>
          </w:p>
        </w:tc>
      </w:tr>
    </w:tbl>
    <w:p w:rsidR="00FB1E45" w:rsidRPr="00466E4F" w:rsidRDefault="00FB1E45"/>
    <w:p w:rsidR="00FB1E45" w:rsidRPr="00466E4F" w:rsidRDefault="00FB1E45"/>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0 rating table"/>
      </w:tblPr>
      <w:tblGrid>
        <w:gridCol w:w="7947"/>
        <w:gridCol w:w="6"/>
        <w:gridCol w:w="1657"/>
        <w:gridCol w:w="1654"/>
        <w:gridCol w:w="1646"/>
      </w:tblGrid>
      <w:tr w:rsidR="00464936" w:rsidRPr="00466E4F" w:rsidTr="00464936">
        <w:trPr>
          <w:cantSplit/>
        </w:trPr>
        <w:tc>
          <w:tcPr>
            <w:tcW w:w="8024" w:type="dxa"/>
            <w:gridSpan w:val="2"/>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65"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655"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018" w:type="dxa"/>
            <w:vAlign w:val="center"/>
          </w:tcPr>
          <w:p w:rsidR="00E234B9" w:rsidRPr="00466E4F" w:rsidRDefault="00FE3BF6" w:rsidP="00466E4F">
            <w:pPr>
              <w:pStyle w:val="SOLNumber"/>
              <w:ind w:hanging="896"/>
              <w:rPr>
                <w:sz w:val="24"/>
                <w:szCs w:val="24"/>
              </w:rPr>
            </w:pPr>
            <w:r w:rsidRPr="00466E4F">
              <w:rPr>
                <w:sz w:val="24"/>
                <w:szCs w:val="24"/>
              </w:rPr>
              <w:t>K</w:t>
            </w:r>
            <w:r w:rsidR="00F255E0" w:rsidRPr="00466E4F">
              <w:rPr>
                <w:sz w:val="24"/>
                <w:szCs w:val="24"/>
              </w:rPr>
              <w:t>.10</w:t>
            </w:r>
            <w:r w:rsidR="00D37937" w:rsidRPr="00466E4F">
              <w:rPr>
                <w:sz w:val="24"/>
                <w:szCs w:val="24"/>
              </w:rPr>
              <w:t xml:space="preserve">     </w:t>
            </w:r>
            <w:r w:rsidR="00466E4F">
              <w:rPr>
                <w:sz w:val="24"/>
                <w:szCs w:val="24"/>
              </w:rPr>
              <w:t xml:space="preserve"> </w:t>
            </w:r>
            <w:r w:rsidRPr="00466E4F">
              <w:rPr>
                <w:sz w:val="24"/>
                <w:szCs w:val="24"/>
              </w:rPr>
              <w:t xml:space="preserve">The student will </w:t>
            </w:r>
          </w:p>
        </w:tc>
        <w:tc>
          <w:tcPr>
            <w:tcW w:w="1672" w:type="dxa"/>
            <w:gridSpan w:val="2"/>
            <w:tcBorders>
              <w:top w:val="single" w:sz="4" w:space="0" w:color="auto"/>
              <w:bottom w:val="single" w:sz="4" w:space="0" w:color="auto"/>
            </w:tcBorders>
            <w:shd w:val="clear" w:color="auto" w:fill="A6A6A6"/>
          </w:tcPr>
          <w:p w:rsidR="00FB1E45" w:rsidRPr="00466E4F" w:rsidRDefault="00FB1E45" w:rsidP="00E234B9">
            <w:pPr>
              <w:pStyle w:val="BodyText2"/>
              <w:ind w:left="0" w:firstLine="0"/>
              <w:jc w:val="center"/>
              <w:rPr>
                <w:rFonts w:ascii="Times New Roman" w:hAnsi="Times New Roman"/>
                <w:sz w:val="24"/>
                <w:szCs w:val="24"/>
              </w:rPr>
            </w:pPr>
          </w:p>
        </w:tc>
        <w:tc>
          <w:tcPr>
            <w:tcW w:w="1665" w:type="dxa"/>
            <w:tcBorders>
              <w:top w:val="single" w:sz="4" w:space="0" w:color="auto"/>
              <w:bottom w:val="single" w:sz="4" w:space="0" w:color="auto"/>
            </w:tcBorders>
            <w:shd w:val="clear" w:color="auto" w:fill="A6A6A6"/>
          </w:tcPr>
          <w:p w:rsidR="00FB1E45" w:rsidRPr="00466E4F" w:rsidRDefault="00FB1E45" w:rsidP="00E234B9">
            <w:pPr>
              <w:pStyle w:val="BodyText2"/>
              <w:jc w:val="center"/>
              <w:rPr>
                <w:rFonts w:ascii="Times New Roman" w:hAnsi="Times New Roman"/>
                <w:sz w:val="24"/>
                <w:szCs w:val="24"/>
              </w:rPr>
            </w:pPr>
          </w:p>
        </w:tc>
        <w:tc>
          <w:tcPr>
            <w:tcW w:w="1655" w:type="dxa"/>
            <w:tcBorders>
              <w:top w:val="single" w:sz="4" w:space="0" w:color="auto"/>
              <w:bottom w:val="single" w:sz="4" w:space="0" w:color="auto"/>
            </w:tcBorders>
            <w:shd w:val="clear" w:color="auto" w:fill="A6A6A6"/>
          </w:tcPr>
          <w:p w:rsidR="00FB1E45" w:rsidRPr="00466E4F" w:rsidRDefault="00FB1E45" w:rsidP="00E234B9">
            <w:pPr>
              <w:pStyle w:val="BodyText2"/>
              <w:jc w:val="center"/>
              <w:rPr>
                <w:rFonts w:ascii="Times New Roman" w:hAnsi="Times New Roman"/>
                <w:sz w:val="24"/>
                <w:szCs w:val="24"/>
              </w:rPr>
            </w:pPr>
          </w:p>
        </w:tc>
      </w:tr>
      <w:tr w:rsidR="003A6308" w:rsidRPr="00466E4F" w:rsidTr="00464936">
        <w:trPr>
          <w:cantSplit/>
        </w:trPr>
        <w:tc>
          <w:tcPr>
            <w:tcW w:w="8018" w:type="dxa"/>
            <w:vAlign w:val="center"/>
          </w:tcPr>
          <w:p w:rsidR="003A6308" w:rsidRPr="00466E4F" w:rsidRDefault="003A6308" w:rsidP="008F1FAB">
            <w:pPr>
              <w:pStyle w:val="SOLNumber"/>
              <w:numPr>
                <w:ilvl w:val="0"/>
                <w:numId w:val="7"/>
              </w:numPr>
              <w:tabs>
                <w:tab w:val="left" w:pos="911"/>
              </w:tabs>
              <w:ind w:left="1271"/>
              <w:rPr>
                <w:sz w:val="24"/>
                <w:szCs w:val="24"/>
              </w:rPr>
            </w:pPr>
            <w:r w:rsidRPr="00466E4F">
              <w:rPr>
                <w:sz w:val="24"/>
                <w:szCs w:val="24"/>
              </w:rPr>
              <w:t>identify and describe plane figures (circle, triangle, square, and   rectangle);</w:t>
            </w:r>
          </w:p>
        </w:tc>
        <w:tc>
          <w:tcPr>
            <w:tcW w:w="1672" w:type="dxa"/>
            <w:gridSpan w:val="2"/>
            <w:tcBorders>
              <w:top w:val="single" w:sz="4" w:space="0" w:color="auto"/>
              <w:bottom w:val="single" w:sz="4" w:space="0" w:color="auto"/>
            </w:tcBorders>
            <w:shd w:val="clear" w:color="auto" w:fill="auto"/>
          </w:tcPr>
          <w:p w:rsidR="003A6308" w:rsidRPr="00466E4F" w:rsidRDefault="003A6308" w:rsidP="00E234B9">
            <w:pPr>
              <w:pStyle w:val="BodyText2"/>
              <w:ind w:left="0" w:firstLine="0"/>
              <w:jc w:val="center"/>
              <w:rPr>
                <w:rFonts w:ascii="Times New Roman" w:hAnsi="Times New Roman"/>
                <w:sz w:val="24"/>
                <w:szCs w:val="24"/>
              </w:rPr>
            </w:pPr>
          </w:p>
        </w:tc>
        <w:tc>
          <w:tcPr>
            <w:tcW w:w="1665" w:type="dxa"/>
            <w:tcBorders>
              <w:top w:val="single" w:sz="4" w:space="0" w:color="auto"/>
              <w:bottom w:val="single" w:sz="4" w:space="0" w:color="auto"/>
            </w:tcBorders>
            <w:shd w:val="clear" w:color="auto" w:fill="auto"/>
          </w:tcPr>
          <w:p w:rsidR="003A6308" w:rsidRPr="00466E4F" w:rsidRDefault="003A6308" w:rsidP="00E234B9">
            <w:pPr>
              <w:pStyle w:val="BodyText2"/>
              <w:jc w:val="center"/>
              <w:rPr>
                <w:rFonts w:ascii="Times New Roman" w:hAnsi="Times New Roman"/>
                <w:sz w:val="24"/>
                <w:szCs w:val="24"/>
              </w:rPr>
            </w:pPr>
          </w:p>
        </w:tc>
        <w:tc>
          <w:tcPr>
            <w:tcW w:w="1655" w:type="dxa"/>
            <w:tcBorders>
              <w:top w:val="single" w:sz="4" w:space="0" w:color="auto"/>
              <w:bottom w:val="single" w:sz="4" w:space="0" w:color="auto"/>
            </w:tcBorders>
            <w:shd w:val="clear" w:color="auto" w:fill="auto"/>
          </w:tcPr>
          <w:p w:rsidR="003A6308" w:rsidRPr="00466E4F" w:rsidRDefault="003A6308" w:rsidP="00E234B9">
            <w:pPr>
              <w:pStyle w:val="BodyText2"/>
              <w:jc w:val="center"/>
              <w:rPr>
                <w:rFonts w:ascii="Times New Roman" w:hAnsi="Times New Roman"/>
                <w:sz w:val="24"/>
                <w:szCs w:val="24"/>
              </w:rPr>
            </w:pPr>
          </w:p>
        </w:tc>
      </w:tr>
      <w:tr w:rsidR="003A6308" w:rsidRPr="00466E4F" w:rsidTr="00464936">
        <w:trPr>
          <w:cantSplit/>
        </w:trPr>
        <w:tc>
          <w:tcPr>
            <w:tcW w:w="8018" w:type="dxa"/>
            <w:vAlign w:val="center"/>
          </w:tcPr>
          <w:p w:rsidR="003A6308" w:rsidRPr="00466E4F" w:rsidRDefault="008F1FAB" w:rsidP="008F1FAB">
            <w:pPr>
              <w:pStyle w:val="SOLNumber"/>
              <w:numPr>
                <w:ilvl w:val="0"/>
                <w:numId w:val="7"/>
              </w:numPr>
              <w:tabs>
                <w:tab w:val="left" w:pos="911"/>
              </w:tabs>
              <w:ind w:left="1271"/>
              <w:rPr>
                <w:sz w:val="24"/>
                <w:szCs w:val="24"/>
              </w:rPr>
            </w:pPr>
            <w:r w:rsidRPr="00466E4F">
              <w:rPr>
                <w:sz w:val="24"/>
                <w:szCs w:val="24"/>
              </w:rPr>
              <w:t>compare the size (smaller, larger) and shape of plane figures (circle, triangle, square, and rectangle); and</w:t>
            </w:r>
          </w:p>
        </w:tc>
        <w:tc>
          <w:tcPr>
            <w:tcW w:w="1672" w:type="dxa"/>
            <w:gridSpan w:val="2"/>
            <w:tcBorders>
              <w:top w:val="single" w:sz="4" w:space="0" w:color="auto"/>
              <w:bottom w:val="single" w:sz="4" w:space="0" w:color="auto"/>
            </w:tcBorders>
            <w:shd w:val="clear" w:color="auto" w:fill="auto"/>
          </w:tcPr>
          <w:p w:rsidR="003A6308" w:rsidRPr="00466E4F" w:rsidRDefault="003A6308" w:rsidP="00E234B9">
            <w:pPr>
              <w:pStyle w:val="BodyText2"/>
              <w:ind w:left="0" w:firstLine="0"/>
              <w:jc w:val="center"/>
              <w:rPr>
                <w:rFonts w:ascii="Times New Roman" w:hAnsi="Times New Roman"/>
                <w:sz w:val="24"/>
                <w:szCs w:val="24"/>
              </w:rPr>
            </w:pPr>
          </w:p>
        </w:tc>
        <w:tc>
          <w:tcPr>
            <w:tcW w:w="1665" w:type="dxa"/>
            <w:tcBorders>
              <w:top w:val="single" w:sz="4" w:space="0" w:color="auto"/>
              <w:bottom w:val="single" w:sz="4" w:space="0" w:color="auto"/>
            </w:tcBorders>
            <w:shd w:val="clear" w:color="auto" w:fill="auto"/>
          </w:tcPr>
          <w:p w:rsidR="003A6308" w:rsidRPr="00466E4F" w:rsidRDefault="003A6308" w:rsidP="00E234B9">
            <w:pPr>
              <w:pStyle w:val="BodyText2"/>
              <w:jc w:val="center"/>
              <w:rPr>
                <w:rFonts w:ascii="Times New Roman" w:hAnsi="Times New Roman"/>
                <w:sz w:val="24"/>
                <w:szCs w:val="24"/>
              </w:rPr>
            </w:pPr>
          </w:p>
        </w:tc>
        <w:tc>
          <w:tcPr>
            <w:tcW w:w="1655" w:type="dxa"/>
            <w:tcBorders>
              <w:top w:val="single" w:sz="4" w:space="0" w:color="auto"/>
              <w:bottom w:val="single" w:sz="4" w:space="0" w:color="auto"/>
            </w:tcBorders>
            <w:shd w:val="clear" w:color="auto" w:fill="auto"/>
          </w:tcPr>
          <w:p w:rsidR="003A6308" w:rsidRPr="00466E4F" w:rsidRDefault="003A6308" w:rsidP="00E234B9">
            <w:pPr>
              <w:pStyle w:val="BodyText2"/>
              <w:jc w:val="center"/>
              <w:rPr>
                <w:rFonts w:ascii="Times New Roman" w:hAnsi="Times New Roman"/>
                <w:sz w:val="24"/>
                <w:szCs w:val="24"/>
              </w:rPr>
            </w:pPr>
          </w:p>
        </w:tc>
      </w:tr>
      <w:tr w:rsidR="003A6308" w:rsidRPr="00466E4F" w:rsidTr="00464936">
        <w:trPr>
          <w:cantSplit/>
        </w:trPr>
        <w:tc>
          <w:tcPr>
            <w:tcW w:w="8018" w:type="dxa"/>
            <w:vAlign w:val="center"/>
          </w:tcPr>
          <w:p w:rsidR="003A6308" w:rsidRPr="00466E4F" w:rsidRDefault="008F1FAB" w:rsidP="008F1FAB">
            <w:pPr>
              <w:pStyle w:val="SOLNumber"/>
              <w:numPr>
                <w:ilvl w:val="0"/>
                <w:numId w:val="7"/>
              </w:numPr>
              <w:tabs>
                <w:tab w:val="left" w:pos="911"/>
              </w:tabs>
              <w:ind w:left="1271"/>
              <w:rPr>
                <w:sz w:val="24"/>
                <w:szCs w:val="24"/>
              </w:rPr>
            </w:pPr>
            <w:proofErr w:type="gramStart"/>
            <w:r w:rsidRPr="00466E4F">
              <w:rPr>
                <w:sz w:val="24"/>
                <w:szCs w:val="24"/>
              </w:rPr>
              <w:t>describe</w:t>
            </w:r>
            <w:proofErr w:type="gramEnd"/>
            <w:r w:rsidRPr="00466E4F">
              <w:rPr>
                <w:sz w:val="24"/>
                <w:szCs w:val="24"/>
              </w:rPr>
              <w:t xml:space="preserve"> the location of one object relative to another (above, below, next to) and identify representations of plane figures (circle, triangle, square, and rectangle) regardless of their positions and orientations in space.</w:t>
            </w:r>
          </w:p>
        </w:tc>
        <w:tc>
          <w:tcPr>
            <w:tcW w:w="1672" w:type="dxa"/>
            <w:gridSpan w:val="2"/>
            <w:tcBorders>
              <w:top w:val="single" w:sz="4" w:space="0" w:color="auto"/>
              <w:bottom w:val="triple" w:sz="4" w:space="0" w:color="auto"/>
            </w:tcBorders>
            <w:shd w:val="clear" w:color="auto" w:fill="auto"/>
          </w:tcPr>
          <w:p w:rsidR="003A6308" w:rsidRPr="00466E4F" w:rsidRDefault="003A6308" w:rsidP="00E234B9">
            <w:pPr>
              <w:pStyle w:val="BodyText2"/>
              <w:ind w:left="0" w:firstLine="0"/>
              <w:jc w:val="center"/>
              <w:rPr>
                <w:rFonts w:ascii="Times New Roman" w:hAnsi="Times New Roman"/>
                <w:sz w:val="24"/>
                <w:szCs w:val="24"/>
              </w:rPr>
            </w:pPr>
          </w:p>
        </w:tc>
        <w:tc>
          <w:tcPr>
            <w:tcW w:w="1665" w:type="dxa"/>
            <w:tcBorders>
              <w:top w:val="single" w:sz="4" w:space="0" w:color="auto"/>
              <w:bottom w:val="triple" w:sz="4" w:space="0" w:color="auto"/>
            </w:tcBorders>
            <w:shd w:val="clear" w:color="auto" w:fill="auto"/>
          </w:tcPr>
          <w:p w:rsidR="003A6308" w:rsidRPr="00466E4F" w:rsidRDefault="003A6308" w:rsidP="00E234B9">
            <w:pPr>
              <w:pStyle w:val="BodyText2"/>
              <w:jc w:val="center"/>
              <w:rPr>
                <w:rFonts w:ascii="Times New Roman" w:hAnsi="Times New Roman"/>
                <w:sz w:val="24"/>
                <w:szCs w:val="24"/>
              </w:rPr>
            </w:pPr>
          </w:p>
        </w:tc>
        <w:tc>
          <w:tcPr>
            <w:tcW w:w="1655" w:type="dxa"/>
            <w:tcBorders>
              <w:top w:val="single" w:sz="4" w:space="0" w:color="auto"/>
              <w:bottom w:val="triple" w:sz="4" w:space="0" w:color="auto"/>
            </w:tcBorders>
            <w:shd w:val="clear" w:color="auto" w:fill="auto"/>
          </w:tcPr>
          <w:p w:rsidR="003A6308" w:rsidRPr="00466E4F" w:rsidRDefault="003A6308" w:rsidP="00E234B9">
            <w:pPr>
              <w:pStyle w:val="BodyText2"/>
              <w:jc w:val="center"/>
              <w:rPr>
                <w:rFonts w:ascii="Times New Roman" w:hAnsi="Times New Roman"/>
                <w:sz w:val="24"/>
                <w:szCs w:val="24"/>
              </w:rPr>
            </w:pPr>
          </w:p>
        </w:tc>
      </w:tr>
    </w:tbl>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1 rating table"/>
      </w:tblPr>
      <w:tblGrid>
        <w:gridCol w:w="7955"/>
        <w:gridCol w:w="1658"/>
        <w:gridCol w:w="1653"/>
        <w:gridCol w:w="1644"/>
      </w:tblGrid>
      <w:tr w:rsidR="00464936" w:rsidRPr="00466E4F" w:rsidTr="00502210">
        <w:trPr>
          <w:cantSplit/>
        </w:trPr>
        <w:tc>
          <w:tcPr>
            <w:tcW w:w="8028" w:type="dxa"/>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63"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653"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028" w:type="dxa"/>
          </w:tcPr>
          <w:p w:rsidR="00E234B9" w:rsidRPr="00466E4F" w:rsidRDefault="00FE3BF6" w:rsidP="00466E4F">
            <w:pPr>
              <w:pStyle w:val="SOLNumber"/>
              <w:ind w:hanging="896"/>
              <w:rPr>
                <w:sz w:val="24"/>
                <w:szCs w:val="24"/>
              </w:rPr>
            </w:pPr>
            <w:r w:rsidRPr="00466E4F">
              <w:rPr>
                <w:sz w:val="24"/>
                <w:szCs w:val="24"/>
              </w:rPr>
              <w:t>K</w:t>
            </w:r>
            <w:r w:rsidR="00FD0FD4" w:rsidRPr="00466E4F">
              <w:rPr>
                <w:sz w:val="24"/>
                <w:szCs w:val="24"/>
              </w:rPr>
              <w:t>.11</w:t>
            </w:r>
            <w:r w:rsidR="00FD0FD4" w:rsidRPr="00466E4F">
              <w:rPr>
                <w:sz w:val="24"/>
                <w:szCs w:val="24"/>
              </w:rPr>
              <w:tab/>
              <w:t>The student will</w:t>
            </w:r>
          </w:p>
        </w:tc>
        <w:tc>
          <w:tcPr>
            <w:tcW w:w="1666" w:type="dxa"/>
            <w:tcBorders>
              <w:top w:val="single" w:sz="4" w:space="0" w:color="auto"/>
              <w:bottom w:val="single" w:sz="4" w:space="0" w:color="auto"/>
            </w:tcBorders>
            <w:shd w:val="clear" w:color="auto" w:fill="A6A6A6"/>
          </w:tcPr>
          <w:p w:rsidR="00FB1E45" w:rsidRPr="00466E4F" w:rsidRDefault="00FB1E45" w:rsidP="00E234B9">
            <w:pPr>
              <w:pStyle w:val="BodyText2"/>
              <w:ind w:left="0" w:firstLine="0"/>
              <w:jc w:val="center"/>
              <w:rPr>
                <w:rFonts w:ascii="Times New Roman" w:hAnsi="Times New Roman"/>
                <w:sz w:val="24"/>
                <w:szCs w:val="24"/>
              </w:rPr>
            </w:pPr>
          </w:p>
        </w:tc>
        <w:tc>
          <w:tcPr>
            <w:tcW w:w="1663" w:type="dxa"/>
            <w:tcBorders>
              <w:top w:val="single" w:sz="4" w:space="0" w:color="auto"/>
              <w:bottom w:val="single" w:sz="4" w:space="0" w:color="auto"/>
            </w:tcBorders>
            <w:shd w:val="clear" w:color="auto" w:fill="A6A6A6"/>
          </w:tcPr>
          <w:p w:rsidR="00FB1E45" w:rsidRPr="00466E4F" w:rsidRDefault="00FB1E45" w:rsidP="00E234B9">
            <w:pPr>
              <w:pStyle w:val="BodyText2"/>
              <w:jc w:val="center"/>
              <w:rPr>
                <w:rFonts w:ascii="Times New Roman" w:hAnsi="Times New Roman"/>
                <w:sz w:val="24"/>
                <w:szCs w:val="24"/>
              </w:rPr>
            </w:pPr>
          </w:p>
        </w:tc>
        <w:tc>
          <w:tcPr>
            <w:tcW w:w="1653" w:type="dxa"/>
            <w:tcBorders>
              <w:top w:val="single" w:sz="4" w:space="0" w:color="auto"/>
              <w:bottom w:val="single" w:sz="4" w:space="0" w:color="auto"/>
            </w:tcBorders>
            <w:shd w:val="clear" w:color="auto" w:fill="A6A6A6"/>
          </w:tcPr>
          <w:p w:rsidR="00FB1E45" w:rsidRPr="00466E4F" w:rsidRDefault="00FB1E45" w:rsidP="00E234B9">
            <w:pPr>
              <w:pStyle w:val="BodyText2"/>
              <w:jc w:val="center"/>
              <w:rPr>
                <w:rFonts w:ascii="Times New Roman" w:hAnsi="Times New Roman"/>
                <w:sz w:val="24"/>
                <w:szCs w:val="24"/>
              </w:rPr>
            </w:pPr>
          </w:p>
        </w:tc>
      </w:tr>
      <w:tr w:rsidR="00FD0FD4" w:rsidRPr="00466E4F" w:rsidTr="00464936">
        <w:trPr>
          <w:cantSplit/>
        </w:trPr>
        <w:tc>
          <w:tcPr>
            <w:tcW w:w="8028" w:type="dxa"/>
          </w:tcPr>
          <w:p w:rsidR="00FD0FD4" w:rsidRPr="00466E4F" w:rsidRDefault="00523003" w:rsidP="00523003">
            <w:pPr>
              <w:ind w:left="1260" w:hanging="353"/>
            </w:pPr>
            <w:r w:rsidRPr="00466E4F">
              <w:rPr>
                <w:rFonts w:eastAsia="Times"/>
              </w:rPr>
              <w:t>a)</w:t>
            </w:r>
            <w:r w:rsidRPr="00466E4F">
              <w:rPr>
                <w:rFonts w:eastAsia="Times"/>
              </w:rPr>
              <w:tab/>
            </w:r>
            <w:r w:rsidR="008F1FAB" w:rsidRPr="00466E4F">
              <w:rPr>
                <w:rFonts w:eastAsia="Times"/>
              </w:rPr>
              <w:t>collect, organize, and represent data; and</w:t>
            </w:r>
          </w:p>
        </w:tc>
        <w:tc>
          <w:tcPr>
            <w:tcW w:w="1666" w:type="dxa"/>
            <w:tcBorders>
              <w:top w:val="single" w:sz="4" w:space="0" w:color="auto"/>
            </w:tcBorders>
          </w:tcPr>
          <w:p w:rsidR="00FD0FD4" w:rsidRDefault="00FD0FD4" w:rsidP="00E234B9">
            <w:pPr>
              <w:pStyle w:val="BodyText2"/>
              <w:ind w:left="0" w:firstLine="0"/>
              <w:jc w:val="center"/>
              <w:rPr>
                <w:rFonts w:ascii="Times New Roman" w:hAnsi="Times New Roman"/>
                <w:sz w:val="24"/>
                <w:szCs w:val="24"/>
              </w:rPr>
            </w:pPr>
          </w:p>
          <w:p w:rsidR="00A45501" w:rsidRPr="00466E4F" w:rsidRDefault="00A45501" w:rsidP="00E234B9">
            <w:pPr>
              <w:pStyle w:val="BodyText2"/>
              <w:ind w:left="0" w:firstLine="0"/>
              <w:jc w:val="center"/>
              <w:rPr>
                <w:rFonts w:ascii="Times New Roman" w:hAnsi="Times New Roman"/>
                <w:sz w:val="24"/>
                <w:szCs w:val="24"/>
              </w:rPr>
            </w:pPr>
          </w:p>
        </w:tc>
        <w:tc>
          <w:tcPr>
            <w:tcW w:w="1663" w:type="dxa"/>
            <w:tcBorders>
              <w:top w:val="single" w:sz="4" w:space="0" w:color="auto"/>
            </w:tcBorders>
          </w:tcPr>
          <w:p w:rsidR="00FD0FD4" w:rsidRPr="00466E4F" w:rsidRDefault="00FD0FD4" w:rsidP="00E234B9">
            <w:pPr>
              <w:pStyle w:val="BodyText2"/>
              <w:jc w:val="center"/>
              <w:rPr>
                <w:rFonts w:ascii="Times New Roman" w:hAnsi="Times New Roman"/>
                <w:sz w:val="24"/>
                <w:szCs w:val="24"/>
              </w:rPr>
            </w:pPr>
          </w:p>
        </w:tc>
        <w:tc>
          <w:tcPr>
            <w:tcW w:w="1653" w:type="dxa"/>
            <w:tcBorders>
              <w:top w:val="single" w:sz="4" w:space="0" w:color="auto"/>
            </w:tcBorders>
          </w:tcPr>
          <w:p w:rsidR="00FD0FD4" w:rsidRPr="00466E4F" w:rsidRDefault="00FD0FD4" w:rsidP="00E234B9">
            <w:pPr>
              <w:pStyle w:val="BodyText2"/>
              <w:jc w:val="center"/>
              <w:rPr>
                <w:rFonts w:ascii="Times New Roman" w:hAnsi="Times New Roman"/>
                <w:sz w:val="24"/>
                <w:szCs w:val="24"/>
              </w:rPr>
            </w:pPr>
          </w:p>
        </w:tc>
      </w:tr>
      <w:tr w:rsidR="00FD0FD4" w:rsidRPr="00466E4F" w:rsidTr="00464936">
        <w:trPr>
          <w:cantSplit/>
        </w:trPr>
        <w:tc>
          <w:tcPr>
            <w:tcW w:w="8028" w:type="dxa"/>
          </w:tcPr>
          <w:p w:rsidR="00D37937" w:rsidRPr="00466E4F" w:rsidRDefault="00523003" w:rsidP="00523003">
            <w:pPr>
              <w:ind w:left="1260" w:hanging="353"/>
            </w:pPr>
            <w:r w:rsidRPr="00466E4F">
              <w:rPr>
                <w:rFonts w:eastAsia="Times"/>
              </w:rPr>
              <w:t>b)</w:t>
            </w:r>
            <w:r w:rsidRPr="00466E4F">
              <w:rPr>
                <w:rFonts w:eastAsia="Times"/>
              </w:rPr>
              <w:tab/>
            </w:r>
            <w:proofErr w:type="gramStart"/>
            <w:r w:rsidR="008F1FAB" w:rsidRPr="00466E4F">
              <w:rPr>
                <w:rFonts w:eastAsia="Times"/>
              </w:rPr>
              <w:t>read</w:t>
            </w:r>
            <w:proofErr w:type="gramEnd"/>
            <w:r w:rsidR="008F1FAB" w:rsidRPr="00466E4F">
              <w:rPr>
                <w:rFonts w:eastAsia="Times"/>
              </w:rPr>
              <w:t xml:space="preserve"> and interpret data in object graphs, picture graphs, and tables.</w:t>
            </w:r>
          </w:p>
        </w:tc>
        <w:tc>
          <w:tcPr>
            <w:tcW w:w="1666" w:type="dxa"/>
          </w:tcPr>
          <w:p w:rsidR="00FD0FD4" w:rsidRDefault="00FD0FD4" w:rsidP="00E234B9">
            <w:pPr>
              <w:pStyle w:val="BodyText2"/>
              <w:ind w:left="0" w:firstLine="0"/>
              <w:jc w:val="center"/>
              <w:rPr>
                <w:rFonts w:ascii="Times New Roman" w:hAnsi="Times New Roman"/>
                <w:sz w:val="24"/>
                <w:szCs w:val="24"/>
              </w:rPr>
            </w:pPr>
          </w:p>
          <w:p w:rsidR="00A45501" w:rsidRPr="00466E4F" w:rsidRDefault="00A45501" w:rsidP="00E234B9">
            <w:pPr>
              <w:pStyle w:val="BodyText2"/>
              <w:ind w:left="0" w:firstLine="0"/>
              <w:jc w:val="center"/>
              <w:rPr>
                <w:rFonts w:ascii="Times New Roman" w:hAnsi="Times New Roman"/>
                <w:sz w:val="24"/>
                <w:szCs w:val="24"/>
              </w:rPr>
            </w:pPr>
          </w:p>
        </w:tc>
        <w:tc>
          <w:tcPr>
            <w:tcW w:w="1663" w:type="dxa"/>
          </w:tcPr>
          <w:p w:rsidR="00FD0FD4" w:rsidRPr="00466E4F" w:rsidRDefault="00FD0FD4" w:rsidP="00E234B9">
            <w:pPr>
              <w:pStyle w:val="BodyText2"/>
              <w:jc w:val="center"/>
              <w:rPr>
                <w:rFonts w:ascii="Times New Roman" w:hAnsi="Times New Roman"/>
                <w:sz w:val="24"/>
                <w:szCs w:val="24"/>
              </w:rPr>
            </w:pPr>
          </w:p>
        </w:tc>
        <w:tc>
          <w:tcPr>
            <w:tcW w:w="1653" w:type="dxa"/>
          </w:tcPr>
          <w:p w:rsidR="00FD0FD4" w:rsidRPr="00466E4F" w:rsidRDefault="00FD0FD4" w:rsidP="00E234B9">
            <w:pPr>
              <w:pStyle w:val="BodyText2"/>
              <w:jc w:val="center"/>
              <w:rPr>
                <w:rFonts w:ascii="Times New Roman" w:hAnsi="Times New Roman"/>
                <w:sz w:val="24"/>
                <w:szCs w:val="24"/>
              </w:rPr>
            </w:pPr>
          </w:p>
        </w:tc>
      </w:tr>
    </w:tbl>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2 rating table"/>
      </w:tblPr>
      <w:tblGrid>
        <w:gridCol w:w="7956"/>
        <w:gridCol w:w="1656"/>
        <w:gridCol w:w="1653"/>
        <w:gridCol w:w="1645"/>
      </w:tblGrid>
      <w:tr w:rsidR="00464936" w:rsidRPr="00466E4F" w:rsidTr="00464936">
        <w:trPr>
          <w:cantSplit/>
        </w:trPr>
        <w:tc>
          <w:tcPr>
            <w:tcW w:w="8030" w:type="dxa"/>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664" w:type="dxa"/>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63"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653"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030" w:type="dxa"/>
          </w:tcPr>
          <w:p w:rsidR="00FB1E45" w:rsidRPr="00466E4F" w:rsidRDefault="00523003" w:rsidP="00466E4F">
            <w:pPr>
              <w:pStyle w:val="SOLNumber"/>
              <w:ind w:hanging="896"/>
              <w:rPr>
                <w:sz w:val="24"/>
                <w:szCs w:val="24"/>
              </w:rPr>
            </w:pPr>
            <w:r w:rsidRPr="00466E4F">
              <w:rPr>
                <w:sz w:val="24"/>
                <w:szCs w:val="24"/>
              </w:rPr>
              <w:t>K</w:t>
            </w:r>
            <w:r w:rsidR="00FD0FD4" w:rsidRPr="00466E4F">
              <w:rPr>
                <w:sz w:val="24"/>
                <w:szCs w:val="24"/>
              </w:rPr>
              <w:t>.12</w:t>
            </w:r>
            <w:r w:rsidR="00FD0FD4" w:rsidRPr="00466E4F">
              <w:rPr>
                <w:sz w:val="24"/>
                <w:szCs w:val="24"/>
              </w:rPr>
              <w:tab/>
            </w:r>
            <w:r w:rsidR="00466E4F" w:rsidRPr="00466E4F">
              <w:rPr>
                <w:sz w:val="24"/>
                <w:szCs w:val="24"/>
              </w:rPr>
              <w:t>The student will sort and classify objects according to one attribute.</w:t>
            </w:r>
          </w:p>
        </w:tc>
        <w:tc>
          <w:tcPr>
            <w:tcW w:w="1664" w:type="dxa"/>
          </w:tcPr>
          <w:p w:rsidR="00FB1E45" w:rsidRDefault="00FB1E45" w:rsidP="00E234B9">
            <w:pPr>
              <w:pStyle w:val="BodyText2"/>
              <w:ind w:left="0" w:firstLine="0"/>
              <w:jc w:val="center"/>
              <w:rPr>
                <w:rFonts w:ascii="Times New Roman" w:hAnsi="Times New Roman"/>
                <w:sz w:val="24"/>
                <w:szCs w:val="24"/>
              </w:rPr>
            </w:pPr>
          </w:p>
          <w:p w:rsidR="00A45501" w:rsidRDefault="00A45501" w:rsidP="00E234B9">
            <w:pPr>
              <w:pStyle w:val="BodyText2"/>
              <w:ind w:left="0" w:firstLine="0"/>
              <w:jc w:val="center"/>
              <w:rPr>
                <w:rFonts w:ascii="Times New Roman" w:hAnsi="Times New Roman"/>
                <w:sz w:val="24"/>
                <w:szCs w:val="24"/>
              </w:rPr>
            </w:pPr>
          </w:p>
          <w:p w:rsidR="00464936" w:rsidRPr="00466E4F" w:rsidRDefault="00464936" w:rsidP="00E234B9">
            <w:pPr>
              <w:pStyle w:val="BodyText2"/>
              <w:ind w:left="0" w:firstLine="0"/>
              <w:jc w:val="center"/>
              <w:rPr>
                <w:rFonts w:ascii="Times New Roman" w:hAnsi="Times New Roman"/>
                <w:sz w:val="24"/>
                <w:szCs w:val="24"/>
              </w:rPr>
            </w:pPr>
          </w:p>
        </w:tc>
        <w:tc>
          <w:tcPr>
            <w:tcW w:w="1663" w:type="dxa"/>
          </w:tcPr>
          <w:p w:rsidR="00FB1E45" w:rsidRPr="00466E4F" w:rsidRDefault="00FB1E45" w:rsidP="00E234B9">
            <w:pPr>
              <w:pStyle w:val="BodyText2"/>
              <w:jc w:val="center"/>
              <w:rPr>
                <w:rFonts w:ascii="Times New Roman" w:hAnsi="Times New Roman"/>
                <w:sz w:val="24"/>
                <w:szCs w:val="24"/>
              </w:rPr>
            </w:pPr>
          </w:p>
        </w:tc>
        <w:tc>
          <w:tcPr>
            <w:tcW w:w="1653" w:type="dxa"/>
          </w:tcPr>
          <w:p w:rsidR="00FB1E45" w:rsidRPr="00466E4F" w:rsidRDefault="00FB1E45" w:rsidP="00E234B9">
            <w:pPr>
              <w:pStyle w:val="BodyText2"/>
              <w:jc w:val="center"/>
              <w:rPr>
                <w:rFonts w:ascii="Times New Roman" w:hAnsi="Times New Roman"/>
                <w:sz w:val="24"/>
                <w:szCs w:val="24"/>
              </w:rPr>
            </w:pPr>
          </w:p>
        </w:tc>
      </w:tr>
    </w:tbl>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3 rating table"/>
      </w:tblPr>
      <w:tblGrid>
        <w:gridCol w:w="7945"/>
        <w:gridCol w:w="6"/>
        <w:gridCol w:w="1658"/>
        <w:gridCol w:w="1655"/>
        <w:gridCol w:w="1646"/>
      </w:tblGrid>
      <w:tr w:rsidR="00464936" w:rsidRPr="00466E4F" w:rsidTr="00464936">
        <w:trPr>
          <w:cantSplit/>
        </w:trPr>
        <w:tc>
          <w:tcPr>
            <w:tcW w:w="8024" w:type="dxa"/>
            <w:gridSpan w:val="2"/>
            <w:vAlign w:val="center"/>
          </w:tcPr>
          <w:p w:rsidR="00464936" w:rsidRPr="00466E4F" w:rsidRDefault="00464936" w:rsidP="00502210">
            <w:pPr>
              <w:pStyle w:val="SOLNumber"/>
              <w:spacing w:before="0"/>
              <w:rPr>
                <w:sz w:val="24"/>
                <w:szCs w:val="24"/>
              </w:rPr>
            </w:pPr>
            <w:r w:rsidRPr="00C26DAB">
              <w:rPr>
                <w:b/>
                <w:sz w:val="24"/>
                <w:szCs w:val="24"/>
              </w:rPr>
              <w:lastRenderedPageBreak/>
              <w:t>Mathematics Standard of Learning</w:t>
            </w:r>
          </w:p>
        </w:tc>
        <w:tc>
          <w:tcPr>
            <w:tcW w:w="1666" w:type="dxa"/>
            <w:shd w:val="clear" w:color="auto" w:fill="auto"/>
            <w:vAlign w:val="center"/>
          </w:tcPr>
          <w:p w:rsidR="00464936" w:rsidRDefault="00464936" w:rsidP="00502210">
            <w:pPr>
              <w:jc w:val="center"/>
              <w:rPr>
                <w:b/>
              </w:rPr>
            </w:pPr>
            <w:r w:rsidRPr="00466E4F">
              <w:rPr>
                <w:b/>
              </w:rPr>
              <w:t>Adequate</w:t>
            </w:r>
          </w:p>
          <w:p w:rsidR="00464936" w:rsidRPr="00466E4F" w:rsidRDefault="00464936" w:rsidP="00502210">
            <w:pPr>
              <w:jc w:val="center"/>
              <w:rPr>
                <w:b/>
              </w:rPr>
            </w:pPr>
            <w:r>
              <w:rPr>
                <w:b/>
              </w:rPr>
              <w:t>Rating</w:t>
            </w:r>
          </w:p>
        </w:tc>
        <w:tc>
          <w:tcPr>
            <w:tcW w:w="1665" w:type="dxa"/>
            <w:shd w:val="clear" w:color="auto" w:fill="auto"/>
            <w:vAlign w:val="center"/>
          </w:tcPr>
          <w:p w:rsidR="00464936" w:rsidRDefault="00464936" w:rsidP="00502210">
            <w:pPr>
              <w:jc w:val="center"/>
              <w:rPr>
                <w:b/>
              </w:rPr>
            </w:pPr>
            <w:r w:rsidRPr="00466E4F">
              <w:rPr>
                <w:b/>
              </w:rPr>
              <w:t>Limited</w:t>
            </w:r>
          </w:p>
          <w:p w:rsidR="00464936" w:rsidRPr="00466E4F" w:rsidRDefault="00464936" w:rsidP="00502210">
            <w:pPr>
              <w:jc w:val="center"/>
              <w:rPr>
                <w:b/>
              </w:rPr>
            </w:pPr>
            <w:r>
              <w:rPr>
                <w:b/>
              </w:rPr>
              <w:t>Rating</w:t>
            </w:r>
          </w:p>
        </w:tc>
        <w:tc>
          <w:tcPr>
            <w:tcW w:w="1655" w:type="dxa"/>
            <w:shd w:val="clear" w:color="auto" w:fill="auto"/>
            <w:vAlign w:val="center"/>
          </w:tcPr>
          <w:p w:rsidR="00464936" w:rsidRPr="00466E4F" w:rsidRDefault="00464936" w:rsidP="00502210">
            <w:pPr>
              <w:jc w:val="center"/>
              <w:rPr>
                <w:b/>
              </w:rPr>
            </w:pPr>
            <w:r w:rsidRPr="00466E4F">
              <w:rPr>
                <w:b/>
              </w:rPr>
              <w:t>No Evidence</w:t>
            </w:r>
            <w:r>
              <w:rPr>
                <w:b/>
              </w:rPr>
              <w:t xml:space="preserve"> Rating</w:t>
            </w:r>
          </w:p>
        </w:tc>
      </w:tr>
      <w:tr w:rsidR="00FB1E45" w:rsidRPr="00466E4F" w:rsidTr="00464936">
        <w:trPr>
          <w:cantSplit/>
        </w:trPr>
        <w:tc>
          <w:tcPr>
            <w:tcW w:w="8018" w:type="dxa"/>
          </w:tcPr>
          <w:p w:rsidR="00FB1E45" w:rsidRPr="00466E4F" w:rsidRDefault="00466E4F" w:rsidP="00466E4F">
            <w:pPr>
              <w:ind w:left="1080" w:hanging="1069"/>
            </w:pPr>
            <w:r w:rsidRPr="00466E4F">
              <w:t>K.13</w:t>
            </w:r>
            <w:r w:rsidRPr="00466E4F">
              <w:tab/>
              <w:t>The student will identify, describe, extend, create, and transfer repeating patterns.</w:t>
            </w:r>
          </w:p>
        </w:tc>
        <w:tc>
          <w:tcPr>
            <w:tcW w:w="1672" w:type="dxa"/>
            <w:gridSpan w:val="2"/>
          </w:tcPr>
          <w:p w:rsidR="00FB1E45" w:rsidRDefault="00FB1E45" w:rsidP="00E234B9">
            <w:pPr>
              <w:pStyle w:val="BodyText2"/>
              <w:ind w:left="0" w:firstLine="0"/>
              <w:jc w:val="center"/>
              <w:rPr>
                <w:rFonts w:ascii="Times New Roman" w:hAnsi="Times New Roman"/>
                <w:sz w:val="24"/>
                <w:szCs w:val="24"/>
              </w:rPr>
            </w:pPr>
          </w:p>
          <w:p w:rsidR="00464936" w:rsidRDefault="00464936" w:rsidP="00E234B9">
            <w:pPr>
              <w:pStyle w:val="BodyText2"/>
              <w:ind w:left="0" w:firstLine="0"/>
              <w:jc w:val="center"/>
              <w:rPr>
                <w:rFonts w:ascii="Times New Roman" w:hAnsi="Times New Roman"/>
                <w:sz w:val="24"/>
                <w:szCs w:val="24"/>
              </w:rPr>
            </w:pPr>
          </w:p>
          <w:p w:rsidR="00464936" w:rsidRPr="00466E4F" w:rsidRDefault="00464936" w:rsidP="00E234B9">
            <w:pPr>
              <w:pStyle w:val="BodyText2"/>
              <w:ind w:left="0" w:firstLine="0"/>
              <w:jc w:val="center"/>
              <w:rPr>
                <w:rFonts w:ascii="Times New Roman" w:hAnsi="Times New Roman"/>
                <w:sz w:val="24"/>
                <w:szCs w:val="24"/>
              </w:rPr>
            </w:pPr>
          </w:p>
        </w:tc>
        <w:tc>
          <w:tcPr>
            <w:tcW w:w="1665" w:type="dxa"/>
          </w:tcPr>
          <w:p w:rsidR="00FB1E45" w:rsidRPr="00466E4F" w:rsidRDefault="00FB1E45" w:rsidP="00E234B9">
            <w:pPr>
              <w:pStyle w:val="BodyText2"/>
              <w:jc w:val="center"/>
              <w:rPr>
                <w:rFonts w:ascii="Times New Roman" w:hAnsi="Times New Roman"/>
                <w:sz w:val="24"/>
                <w:szCs w:val="24"/>
              </w:rPr>
            </w:pPr>
          </w:p>
        </w:tc>
        <w:tc>
          <w:tcPr>
            <w:tcW w:w="1655" w:type="dxa"/>
          </w:tcPr>
          <w:p w:rsidR="00FB1E45" w:rsidRPr="00466E4F" w:rsidRDefault="00FB1E45" w:rsidP="00E234B9">
            <w:pPr>
              <w:pStyle w:val="BodyText2"/>
              <w:jc w:val="center"/>
              <w:rPr>
                <w:rFonts w:ascii="Times New Roman" w:hAnsi="Times New Roman"/>
                <w:sz w:val="24"/>
                <w:szCs w:val="24"/>
              </w:rPr>
            </w:pPr>
          </w:p>
        </w:tc>
      </w:tr>
    </w:tbl>
    <w:p w:rsidR="00523003" w:rsidRDefault="00523003" w:rsidP="00466E4F"/>
    <w:p w:rsidR="00B25F74" w:rsidRDefault="00B25F74" w:rsidP="00466E4F"/>
    <w:p w:rsidR="00B25F74" w:rsidRDefault="00B25F74" w:rsidP="00466E4F"/>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bookmarkStart w:id="0" w:name="_GoBack"/>
      <w:bookmarkEnd w:id="0"/>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464936" w:rsidRDefault="00464936" w:rsidP="00466E4F">
      <w:pPr>
        <w:rPr>
          <w:sz w:val="16"/>
        </w:rPr>
      </w:pPr>
    </w:p>
    <w:p w:rsidR="003C7452" w:rsidRDefault="003C7452" w:rsidP="00466E4F">
      <w:pPr>
        <w:rPr>
          <w:sz w:val="16"/>
        </w:rPr>
      </w:pPr>
    </w:p>
    <w:p w:rsidR="00464936" w:rsidRPr="00292141" w:rsidRDefault="00464936" w:rsidP="00466E4F"/>
    <w:p w:rsidR="00B25F74" w:rsidRPr="00292141" w:rsidRDefault="00B25F74" w:rsidP="00466E4F">
      <w:r w:rsidRPr="00292141">
        <w:t>Virginia Department of Education 2017</w:t>
      </w:r>
    </w:p>
    <w:sectPr w:rsidR="00B25F74" w:rsidRPr="00292141"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D4" w:rsidRDefault="00987ED4">
      <w:r>
        <w:separator/>
      </w:r>
    </w:p>
  </w:endnote>
  <w:endnote w:type="continuationSeparator" w:id="0">
    <w:p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D4" w:rsidRDefault="00987ED4">
      <w:r>
        <w:separator/>
      </w:r>
    </w:p>
  </w:footnote>
  <w:footnote w:type="continuationSeparator" w:id="0">
    <w:p w:rsidR="00987ED4" w:rsidRDefault="0098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4"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774A6"/>
    <w:rsid w:val="000913F0"/>
    <w:rsid w:val="00094B39"/>
    <w:rsid w:val="00095C04"/>
    <w:rsid w:val="00095EE8"/>
    <w:rsid w:val="000A7830"/>
    <w:rsid w:val="000B4614"/>
    <w:rsid w:val="000C1317"/>
    <w:rsid w:val="000C5C31"/>
    <w:rsid w:val="000E7C36"/>
    <w:rsid w:val="000F040E"/>
    <w:rsid w:val="000F5160"/>
    <w:rsid w:val="001039E8"/>
    <w:rsid w:val="00132124"/>
    <w:rsid w:val="0013342E"/>
    <w:rsid w:val="00140929"/>
    <w:rsid w:val="001C5961"/>
    <w:rsid w:val="001C5F6E"/>
    <w:rsid w:val="001D5467"/>
    <w:rsid w:val="00250321"/>
    <w:rsid w:val="00253475"/>
    <w:rsid w:val="00272877"/>
    <w:rsid w:val="00292141"/>
    <w:rsid w:val="002A6D6E"/>
    <w:rsid w:val="002D4D9A"/>
    <w:rsid w:val="003054DD"/>
    <w:rsid w:val="0034229C"/>
    <w:rsid w:val="00350C06"/>
    <w:rsid w:val="00371176"/>
    <w:rsid w:val="00372654"/>
    <w:rsid w:val="00373C27"/>
    <w:rsid w:val="003873DD"/>
    <w:rsid w:val="003A6308"/>
    <w:rsid w:val="003B2618"/>
    <w:rsid w:val="003C7452"/>
    <w:rsid w:val="003D6B3F"/>
    <w:rsid w:val="003E1565"/>
    <w:rsid w:val="00403EF2"/>
    <w:rsid w:val="00423429"/>
    <w:rsid w:val="00434E71"/>
    <w:rsid w:val="0043529A"/>
    <w:rsid w:val="00436278"/>
    <w:rsid w:val="00437443"/>
    <w:rsid w:val="00443246"/>
    <w:rsid w:val="00445F20"/>
    <w:rsid w:val="00453BEC"/>
    <w:rsid w:val="00464936"/>
    <w:rsid w:val="00466E4F"/>
    <w:rsid w:val="00470E8F"/>
    <w:rsid w:val="00486025"/>
    <w:rsid w:val="00496AAE"/>
    <w:rsid w:val="004B3B9A"/>
    <w:rsid w:val="004D7C2D"/>
    <w:rsid w:val="0051444F"/>
    <w:rsid w:val="00523003"/>
    <w:rsid w:val="00553EC5"/>
    <w:rsid w:val="00571895"/>
    <w:rsid w:val="005D6B7E"/>
    <w:rsid w:val="00617366"/>
    <w:rsid w:val="006400F5"/>
    <w:rsid w:val="00650B3C"/>
    <w:rsid w:val="0065143C"/>
    <w:rsid w:val="00654B84"/>
    <w:rsid w:val="006765E3"/>
    <w:rsid w:val="006A3709"/>
    <w:rsid w:val="006C0F50"/>
    <w:rsid w:val="006C718E"/>
    <w:rsid w:val="006E1D4B"/>
    <w:rsid w:val="00700D7D"/>
    <w:rsid w:val="00707C1F"/>
    <w:rsid w:val="00737156"/>
    <w:rsid w:val="007567FE"/>
    <w:rsid w:val="007719AC"/>
    <w:rsid w:val="00777F50"/>
    <w:rsid w:val="00791E81"/>
    <w:rsid w:val="007A0D03"/>
    <w:rsid w:val="007B09A4"/>
    <w:rsid w:val="007B4A67"/>
    <w:rsid w:val="007B5E4D"/>
    <w:rsid w:val="007C59D0"/>
    <w:rsid w:val="0081751B"/>
    <w:rsid w:val="0082051B"/>
    <w:rsid w:val="00836914"/>
    <w:rsid w:val="008B3BCC"/>
    <w:rsid w:val="008C444F"/>
    <w:rsid w:val="008F1FAB"/>
    <w:rsid w:val="008F2CDA"/>
    <w:rsid w:val="00932E1B"/>
    <w:rsid w:val="00942FE3"/>
    <w:rsid w:val="009524A2"/>
    <w:rsid w:val="009873EE"/>
    <w:rsid w:val="00987ED4"/>
    <w:rsid w:val="00995B76"/>
    <w:rsid w:val="009D0837"/>
    <w:rsid w:val="00A051FF"/>
    <w:rsid w:val="00A44AC3"/>
    <w:rsid w:val="00A45501"/>
    <w:rsid w:val="00AB04E6"/>
    <w:rsid w:val="00AB6EE5"/>
    <w:rsid w:val="00AC2341"/>
    <w:rsid w:val="00AC3C1A"/>
    <w:rsid w:val="00AD5968"/>
    <w:rsid w:val="00B03DC9"/>
    <w:rsid w:val="00B122AC"/>
    <w:rsid w:val="00B25F74"/>
    <w:rsid w:val="00B51ED1"/>
    <w:rsid w:val="00B5275A"/>
    <w:rsid w:val="00B533BC"/>
    <w:rsid w:val="00B708F1"/>
    <w:rsid w:val="00B84C75"/>
    <w:rsid w:val="00B91AE5"/>
    <w:rsid w:val="00BA1FFA"/>
    <w:rsid w:val="00BB4527"/>
    <w:rsid w:val="00BF1F3B"/>
    <w:rsid w:val="00C04AB1"/>
    <w:rsid w:val="00C26DAB"/>
    <w:rsid w:val="00C47704"/>
    <w:rsid w:val="00C60AEB"/>
    <w:rsid w:val="00C61ABE"/>
    <w:rsid w:val="00C93B64"/>
    <w:rsid w:val="00CA7BBD"/>
    <w:rsid w:val="00CB62FB"/>
    <w:rsid w:val="00CC4FC8"/>
    <w:rsid w:val="00D37937"/>
    <w:rsid w:val="00D7054E"/>
    <w:rsid w:val="00D84527"/>
    <w:rsid w:val="00D86D52"/>
    <w:rsid w:val="00DB0483"/>
    <w:rsid w:val="00DB2390"/>
    <w:rsid w:val="00E040CF"/>
    <w:rsid w:val="00E07F6F"/>
    <w:rsid w:val="00E13899"/>
    <w:rsid w:val="00E234B9"/>
    <w:rsid w:val="00E26934"/>
    <w:rsid w:val="00E35150"/>
    <w:rsid w:val="00E37428"/>
    <w:rsid w:val="00E55EE3"/>
    <w:rsid w:val="00E57503"/>
    <w:rsid w:val="00E63BD1"/>
    <w:rsid w:val="00E63E32"/>
    <w:rsid w:val="00E66BB9"/>
    <w:rsid w:val="00E72690"/>
    <w:rsid w:val="00E90547"/>
    <w:rsid w:val="00E93A20"/>
    <w:rsid w:val="00E950F7"/>
    <w:rsid w:val="00EA1DB1"/>
    <w:rsid w:val="00EA432C"/>
    <w:rsid w:val="00EC6DB5"/>
    <w:rsid w:val="00EF11B8"/>
    <w:rsid w:val="00EF6D6D"/>
    <w:rsid w:val="00F13AEC"/>
    <w:rsid w:val="00F255E0"/>
    <w:rsid w:val="00F545B8"/>
    <w:rsid w:val="00F555C7"/>
    <w:rsid w:val="00F67ED7"/>
    <w:rsid w:val="00F847BE"/>
    <w:rsid w:val="00FA1878"/>
    <w:rsid w:val="00FA5C00"/>
    <w:rsid w:val="00FB1E45"/>
    <w:rsid w:val="00FC0F87"/>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764222C3"/>
  <w15:docId w15:val="{2402580A-0945-45E6-A039-E2A9B7E7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3B2618"/>
    <w:pPr>
      <w:jc w:val="center"/>
      <w:outlineLvl w:val="0"/>
    </w:pPr>
    <w:rPr>
      <w:b/>
    </w:rPr>
  </w:style>
  <w:style w:type="paragraph" w:styleId="Heading2">
    <w:name w:val="heading 2"/>
    <w:basedOn w:val="Normal"/>
    <w:next w:val="Normal"/>
    <w:link w:val="Heading2Char"/>
    <w:unhideWhenUsed/>
    <w:qFormat/>
    <w:rsid w:val="003B2618"/>
    <w:pPr>
      <w:keepNext/>
      <w:keepLines/>
      <w:spacing w:before="40"/>
      <w:outlineLvl w:val="1"/>
    </w:pPr>
    <w:rPr>
      <w:rFonts w:eastAsiaTheme="majorEastAsia"/>
      <w:b/>
      <w:color w:val="000000" w:themeColor="text1"/>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3B2618"/>
    <w:rPr>
      <w:b/>
      <w:sz w:val="24"/>
    </w:rPr>
  </w:style>
  <w:style w:type="character" w:customStyle="1" w:styleId="Heading2Char">
    <w:name w:val="Heading 2 Char"/>
    <w:basedOn w:val="DefaultParagraphFont"/>
    <w:link w:val="Heading2"/>
    <w:rsid w:val="003B2618"/>
    <w:rPr>
      <w:rFonts w:eastAsiaTheme="majorEastAsia"/>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9303-80A4-4356-8AA2-500D05B7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849</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grade K textbook correlation form</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 textbook correlation form</dc:title>
  <dc:subject>mathematics</dc:subject>
  <dc:creator>Virginia Department of Education</dc:creator>
  <cp:lastModifiedBy>Delozier, Debra (DOE)</cp:lastModifiedBy>
  <cp:revision>14</cp:revision>
  <cp:lastPrinted>2010-05-10T13:56:00Z</cp:lastPrinted>
  <dcterms:created xsi:type="dcterms:W3CDTF">2017-05-03T15:45:00Z</dcterms:created>
  <dcterms:modified xsi:type="dcterms:W3CDTF">2018-04-05T13:17:00Z</dcterms:modified>
</cp:coreProperties>
</file>