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637443">
        <w:t>Rockingham County Public Schools</w:t>
      </w:r>
    </w:p>
    <w:p w:rsidR="00E63DC5" w:rsidRDefault="00E63DC5" w:rsidP="00E63DC5">
      <w:pPr>
        <w:pStyle w:val="NormalTNR"/>
      </w:pPr>
      <w:r w:rsidRPr="008B62AA">
        <w:rPr>
          <w:b/>
        </w:rPr>
        <w:t>Report Publication Date:</w:t>
      </w:r>
      <w:r>
        <w:t xml:space="preserve"> </w:t>
      </w:r>
      <w:r w:rsidR="00637443">
        <w:t>June 2017</w:t>
      </w:r>
    </w:p>
    <w:p w:rsidR="00E63DC5" w:rsidRDefault="00E63DC5" w:rsidP="00E63DC5">
      <w:pPr>
        <w:pStyle w:val="NormalTNR"/>
      </w:pPr>
      <w:r w:rsidRPr="008B62AA">
        <w:rPr>
          <w:b/>
        </w:rPr>
        <w:t>Administrative Review Dates:</w:t>
      </w:r>
      <w:r>
        <w:t xml:space="preserve"> </w:t>
      </w:r>
      <w:r w:rsidR="00637443">
        <w:t>May 9-12, 2017</w:t>
      </w:r>
    </w:p>
    <w:p w:rsidR="00E63DC5" w:rsidRDefault="00E63DC5" w:rsidP="00E63DC5">
      <w:pPr>
        <w:pStyle w:val="NormalTNR"/>
      </w:pPr>
      <w:r w:rsidRPr="008B62AA">
        <w:rPr>
          <w:b/>
        </w:rPr>
        <w:t>Review Month and Year:</w:t>
      </w:r>
      <w:r>
        <w:t xml:space="preserve"> </w:t>
      </w:r>
      <w:r w:rsidR="00637443">
        <w:t>March 2017</w:t>
      </w:r>
    </w:p>
    <w:p w:rsidR="00E63DC5" w:rsidRDefault="00E63DC5" w:rsidP="00E63DC5">
      <w:pPr>
        <w:pStyle w:val="NormalTNR"/>
      </w:pPr>
      <w:r w:rsidRPr="008B62AA">
        <w:rPr>
          <w:b/>
        </w:rPr>
        <w:t>Participating Programs:</w:t>
      </w:r>
      <w:r>
        <w:t xml:space="preserve"> </w:t>
      </w:r>
      <w:r w:rsidR="00637443">
        <w:t>NSLP, SBP, SNSLP, SSBP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637443">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637443">
        <w:rPr>
          <w:sz w:val="28"/>
        </w:rPr>
        <w:t>March 2017:</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637443" w:rsidP="00637443">
            <w:pPr>
              <w:pStyle w:val="NormalTNR"/>
              <w:spacing w:after="0"/>
              <w:rPr>
                <w:lang w:eastAsia="ja-JP"/>
              </w:rPr>
            </w:pPr>
            <w:r>
              <w:t>3</w:t>
            </w:r>
            <w:r>
              <w:t>,</w:t>
            </w:r>
            <w:r>
              <w:t xml:space="preserve">559  </w:t>
            </w:r>
          </w:p>
        </w:tc>
        <w:tc>
          <w:tcPr>
            <w:tcW w:w="1563" w:type="dxa"/>
            <w:shd w:val="clear" w:color="auto" w:fill="auto"/>
            <w:vAlign w:val="center"/>
          </w:tcPr>
          <w:p w:rsidR="006C3986" w:rsidRPr="00690A00" w:rsidRDefault="00637443" w:rsidP="007B68D3">
            <w:pPr>
              <w:pStyle w:val="NormalTNR"/>
              <w:spacing w:after="0"/>
              <w:rPr>
                <w:lang w:eastAsia="ja-JP"/>
              </w:rPr>
            </w:pPr>
            <w:r>
              <w:t>2</w:t>
            </w:r>
            <w:r>
              <w:t>,</w:t>
            </w:r>
            <w:r>
              <w:t>760</w:t>
            </w:r>
          </w:p>
        </w:tc>
        <w:tc>
          <w:tcPr>
            <w:tcW w:w="1027" w:type="dxa"/>
            <w:shd w:val="clear" w:color="auto" w:fill="auto"/>
            <w:vAlign w:val="center"/>
          </w:tcPr>
          <w:p w:rsidR="006C3986" w:rsidRPr="00690A00" w:rsidRDefault="00637443" w:rsidP="007B68D3">
            <w:pPr>
              <w:pStyle w:val="NormalTNR"/>
              <w:spacing w:after="0"/>
              <w:rPr>
                <w:lang w:eastAsia="ja-JP"/>
              </w:rPr>
            </w:pPr>
            <w:r>
              <w:t>41.52</w:t>
            </w:r>
          </w:p>
        </w:tc>
        <w:tc>
          <w:tcPr>
            <w:tcW w:w="1249" w:type="dxa"/>
            <w:shd w:val="clear" w:color="auto" w:fill="auto"/>
            <w:vAlign w:val="center"/>
          </w:tcPr>
          <w:p w:rsidR="006C3986" w:rsidRPr="00690A00" w:rsidRDefault="00637443" w:rsidP="007B68D3">
            <w:pPr>
              <w:pStyle w:val="NormalTNR"/>
              <w:spacing w:after="0"/>
              <w:rPr>
                <w:lang w:eastAsia="ja-JP"/>
              </w:rPr>
            </w:pPr>
            <w:r>
              <w:t>1563</w:t>
            </w:r>
          </w:p>
        </w:tc>
        <w:tc>
          <w:tcPr>
            <w:tcW w:w="1216" w:type="dxa"/>
            <w:shd w:val="clear" w:color="auto" w:fill="auto"/>
            <w:vAlign w:val="center"/>
          </w:tcPr>
          <w:p w:rsidR="006C3986" w:rsidRPr="00690A00" w:rsidRDefault="00637443" w:rsidP="007B68D3">
            <w:pPr>
              <w:pStyle w:val="NormalTNR"/>
              <w:spacing w:after="0"/>
              <w:rPr>
                <w:lang w:eastAsia="ja-JP"/>
              </w:rPr>
            </w:pPr>
            <w:r>
              <w:t>59.25</w:t>
            </w:r>
          </w:p>
        </w:tc>
        <w:tc>
          <w:tcPr>
            <w:tcW w:w="1860" w:type="dxa"/>
            <w:shd w:val="clear" w:color="auto" w:fill="auto"/>
            <w:vAlign w:val="center"/>
          </w:tcPr>
          <w:p w:rsidR="006C3986" w:rsidRPr="00690A00" w:rsidRDefault="00637443" w:rsidP="007B68D3">
            <w:pPr>
              <w:pStyle w:val="NormalTNR"/>
              <w:spacing w:after="0"/>
              <w:rPr>
                <w:lang w:eastAsia="ja-JP"/>
              </w:rPr>
            </w:pPr>
            <w:r>
              <w:t>253,303.50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637443" w:rsidP="00637443">
            <w:pPr>
              <w:pStyle w:val="NormalTNR"/>
              <w:spacing w:after="0"/>
              <w:rPr>
                <w:lang w:eastAsia="ja-JP"/>
              </w:rPr>
            </w:pPr>
            <w:r>
              <w:t>1</w:t>
            </w:r>
            <w:r>
              <w:t>,</w:t>
            </w:r>
            <w:r>
              <w:t xml:space="preserve">026  </w:t>
            </w:r>
          </w:p>
        </w:tc>
        <w:tc>
          <w:tcPr>
            <w:tcW w:w="1563" w:type="dxa"/>
            <w:shd w:val="clear" w:color="auto" w:fill="auto"/>
            <w:vAlign w:val="center"/>
          </w:tcPr>
          <w:p w:rsidR="006C3986" w:rsidRPr="00690A00" w:rsidRDefault="00637443" w:rsidP="007B68D3">
            <w:pPr>
              <w:pStyle w:val="NormalTNR"/>
              <w:spacing w:after="0"/>
              <w:rPr>
                <w:lang w:eastAsia="ja-JP"/>
              </w:rPr>
            </w:pPr>
            <w:r>
              <w:t>735</w:t>
            </w:r>
          </w:p>
        </w:tc>
        <w:tc>
          <w:tcPr>
            <w:tcW w:w="1027" w:type="dxa"/>
            <w:shd w:val="clear" w:color="auto" w:fill="auto"/>
            <w:vAlign w:val="center"/>
          </w:tcPr>
          <w:p w:rsidR="006C3986" w:rsidRPr="00690A00" w:rsidRDefault="00637443" w:rsidP="007B68D3">
            <w:pPr>
              <w:pStyle w:val="NormalTNR"/>
              <w:spacing w:after="0"/>
              <w:rPr>
                <w:lang w:eastAsia="ja-JP"/>
              </w:rPr>
            </w:pPr>
            <w:r>
              <w:t>11.06</w:t>
            </w:r>
          </w:p>
        </w:tc>
        <w:tc>
          <w:tcPr>
            <w:tcW w:w="1249" w:type="dxa"/>
            <w:shd w:val="clear" w:color="auto" w:fill="auto"/>
            <w:vAlign w:val="center"/>
          </w:tcPr>
          <w:p w:rsidR="006C3986" w:rsidRPr="00690A00" w:rsidRDefault="00637443" w:rsidP="007B68D3">
            <w:pPr>
              <w:pStyle w:val="NormalTNR"/>
              <w:spacing w:after="0"/>
              <w:rPr>
                <w:lang w:eastAsia="ja-JP"/>
              </w:rPr>
            </w:pPr>
            <w:r>
              <w:t>309</w:t>
            </w:r>
          </w:p>
        </w:tc>
        <w:tc>
          <w:tcPr>
            <w:tcW w:w="1216" w:type="dxa"/>
            <w:shd w:val="clear" w:color="auto" w:fill="auto"/>
            <w:vAlign w:val="center"/>
          </w:tcPr>
          <w:p w:rsidR="006C3986" w:rsidRPr="00690A00" w:rsidRDefault="00637443" w:rsidP="007B68D3">
            <w:pPr>
              <w:pStyle w:val="NormalTNR"/>
              <w:spacing w:after="0"/>
              <w:rPr>
                <w:lang w:eastAsia="ja-JP"/>
              </w:rPr>
            </w:pPr>
            <w:r>
              <w:t>11.71</w:t>
            </w:r>
          </w:p>
        </w:tc>
        <w:tc>
          <w:tcPr>
            <w:tcW w:w="1860" w:type="dxa"/>
            <w:shd w:val="clear" w:color="auto" w:fill="auto"/>
            <w:vAlign w:val="center"/>
          </w:tcPr>
          <w:p w:rsidR="006C3986" w:rsidRPr="00690A00" w:rsidRDefault="00637443" w:rsidP="007B68D3">
            <w:pPr>
              <w:pStyle w:val="NormalTNR"/>
              <w:spacing w:after="0"/>
              <w:rPr>
                <w:lang w:eastAsia="ja-JP"/>
              </w:rPr>
            </w:pPr>
            <w:r>
              <w:t>54,705.96</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637443" w:rsidP="00637443">
            <w:pPr>
              <w:pStyle w:val="NormalTNR"/>
              <w:spacing w:after="0"/>
              <w:rPr>
                <w:lang w:eastAsia="ja-JP"/>
              </w:rPr>
            </w:pPr>
            <w:r>
              <w:t>7</w:t>
            </w:r>
            <w:r>
              <w:t>,</w:t>
            </w:r>
            <w:r>
              <w:t xml:space="preserve">183 </w:t>
            </w:r>
          </w:p>
        </w:tc>
        <w:tc>
          <w:tcPr>
            <w:tcW w:w="1563" w:type="dxa"/>
            <w:shd w:val="clear" w:color="auto" w:fill="auto"/>
            <w:vAlign w:val="center"/>
          </w:tcPr>
          <w:p w:rsidR="006C3986" w:rsidRPr="00690A00" w:rsidRDefault="00637443" w:rsidP="007B68D3">
            <w:pPr>
              <w:pStyle w:val="NormalTNR"/>
              <w:spacing w:after="0"/>
              <w:rPr>
                <w:lang w:eastAsia="ja-JP"/>
              </w:rPr>
            </w:pPr>
            <w:r>
              <w:t>3</w:t>
            </w:r>
            <w:r>
              <w:t>,</w:t>
            </w:r>
            <w:r>
              <w:t>154</w:t>
            </w:r>
          </w:p>
        </w:tc>
        <w:tc>
          <w:tcPr>
            <w:tcW w:w="1027" w:type="dxa"/>
            <w:shd w:val="clear" w:color="auto" w:fill="auto"/>
            <w:vAlign w:val="center"/>
          </w:tcPr>
          <w:p w:rsidR="006C3986" w:rsidRPr="00690A00" w:rsidRDefault="00637443" w:rsidP="007B68D3">
            <w:pPr>
              <w:pStyle w:val="NormalTNR"/>
              <w:spacing w:after="0"/>
              <w:rPr>
                <w:lang w:eastAsia="ja-JP"/>
              </w:rPr>
            </w:pPr>
            <w:r>
              <w:t>47.47</w:t>
            </w:r>
          </w:p>
        </w:tc>
        <w:tc>
          <w:tcPr>
            <w:tcW w:w="1249" w:type="dxa"/>
            <w:shd w:val="clear" w:color="auto" w:fill="auto"/>
            <w:vAlign w:val="center"/>
          </w:tcPr>
          <w:p w:rsidR="006C3986" w:rsidRPr="00690A00" w:rsidRDefault="00637443" w:rsidP="007B68D3">
            <w:pPr>
              <w:pStyle w:val="NormalTNR"/>
              <w:spacing w:after="0"/>
              <w:rPr>
                <w:lang w:eastAsia="ja-JP"/>
              </w:rPr>
            </w:pPr>
            <w:r>
              <w:t>764</w:t>
            </w:r>
          </w:p>
        </w:tc>
        <w:tc>
          <w:tcPr>
            <w:tcW w:w="1216" w:type="dxa"/>
            <w:shd w:val="clear" w:color="auto" w:fill="auto"/>
            <w:vAlign w:val="center"/>
          </w:tcPr>
          <w:p w:rsidR="006C3986" w:rsidRPr="00690A00" w:rsidRDefault="00637443" w:rsidP="007B68D3">
            <w:pPr>
              <w:pStyle w:val="NormalTNR"/>
              <w:spacing w:after="0"/>
              <w:rPr>
                <w:lang w:eastAsia="ja-JP"/>
              </w:rPr>
            </w:pPr>
            <w:r>
              <w:t>28.96</w:t>
            </w:r>
          </w:p>
        </w:tc>
        <w:tc>
          <w:tcPr>
            <w:tcW w:w="1860" w:type="dxa"/>
            <w:shd w:val="clear" w:color="auto" w:fill="auto"/>
            <w:vAlign w:val="center"/>
          </w:tcPr>
          <w:p w:rsidR="006C3986" w:rsidRPr="00690A00" w:rsidRDefault="00637443" w:rsidP="007B68D3">
            <w:pPr>
              <w:pStyle w:val="NormalTNR"/>
              <w:spacing w:after="0"/>
              <w:rPr>
                <w:lang w:eastAsia="ja-JP"/>
              </w:rPr>
            </w:pPr>
            <w:r>
              <w:t>28,502.04</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637443" w:rsidP="007B68D3">
            <w:pPr>
              <w:pStyle w:val="NormalTNR"/>
              <w:spacing w:after="0"/>
              <w:rPr>
                <w:b/>
                <w:lang w:eastAsia="ja-JP"/>
              </w:rPr>
            </w:pPr>
            <w:r>
              <w:rPr>
                <w:b/>
                <w:lang w:eastAsia="ja-JP"/>
              </w:rPr>
              <w:t>11,768</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637443" w:rsidRDefault="00637443" w:rsidP="007B68D3">
            <w:pPr>
              <w:pStyle w:val="NormalTNR"/>
              <w:spacing w:after="0"/>
              <w:rPr>
                <w:b/>
                <w:lang w:eastAsia="ja-JP"/>
              </w:rPr>
            </w:pPr>
            <w:r w:rsidRPr="00637443">
              <w:rPr>
                <w:b/>
              </w:rPr>
              <w:t>336,511.50</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637443"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637443"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637443"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637443"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637443"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637443"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637443" w:rsidRDefault="00BE084E"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637443"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637443"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37443"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37443"/>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BE084E"/>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8480"/>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5AB7-09A2-4ABE-8855-0A8FEAC0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Rockingham Co. FPAR Summary</vt:lpstr>
    </vt:vector>
  </TitlesOfParts>
  <Company>Virginia IT Infrastructure Partnership</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 FPAR Summary</dc:title>
  <dc:subject>Nutrition</dc:subject>
  <dc:creator>DOE - NUTRITION (DOE)</dc:creator>
  <cp:lastModifiedBy>Bowman, Kelly (DOE)</cp:lastModifiedBy>
  <cp:revision>3</cp:revision>
  <cp:lastPrinted>2018-03-27T12:01:00Z</cp:lastPrinted>
  <dcterms:created xsi:type="dcterms:W3CDTF">2018-04-06T13:49:00Z</dcterms:created>
  <dcterms:modified xsi:type="dcterms:W3CDTF">2018-04-06T13:54:00Z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