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396DA9">
        <w:t>Roanoke County Public Schools</w:t>
      </w:r>
    </w:p>
    <w:p w:rsidR="00E63DC5" w:rsidRDefault="00E63DC5" w:rsidP="00E63DC5">
      <w:pPr>
        <w:pStyle w:val="NormalTNR"/>
      </w:pPr>
      <w:r w:rsidRPr="008B62AA">
        <w:rPr>
          <w:b/>
        </w:rPr>
        <w:t>Report Publication Date:</w:t>
      </w:r>
      <w:r>
        <w:t xml:space="preserve"> </w:t>
      </w:r>
      <w:r w:rsidR="008E2232">
        <w:t xml:space="preserve">October </w:t>
      </w:r>
      <w:r w:rsidR="00396DA9">
        <w:t>1, 2019</w:t>
      </w:r>
    </w:p>
    <w:p w:rsidR="00E63DC5" w:rsidRDefault="00E63DC5" w:rsidP="00E63DC5">
      <w:pPr>
        <w:pStyle w:val="NormalTNR"/>
      </w:pPr>
      <w:r w:rsidRPr="008B62AA">
        <w:rPr>
          <w:b/>
        </w:rPr>
        <w:t>Administrative Review Dates:</w:t>
      </w:r>
      <w:r>
        <w:t xml:space="preserve"> </w:t>
      </w:r>
      <w:r w:rsidR="002D49BD">
        <w:t>April 2 – 5, 2019</w:t>
      </w:r>
    </w:p>
    <w:p w:rsidR="00E63DC5" w:rsidRDefault="00E63DC5" w:rsidP="00E63DC5">
      <w:pPr>
        <w:pStyle w:val="NormalTNR"/>
      </w:pPr>
      <w:r w:rsidRPr="008B62AA">
        <w:rPr>
          <w:b/>
        </w:rPr>
        <w:t>Review Month and Year:</w:t>
      </w:r>
      <w:r>
        <w:t xml:space="preserve"> </w:t>
      </w:r>
      <w:r w:rsidR="00423189">
        <w:t>February 2019</w:t>
      </w:r>
    </w:p>
    <w:p w:rsidR="00E63DC5" w:rsidRDefault="00E63DC5" w:rsidP="00E63DC5">
      <w:pPr>
        <w:pStyle w:val="NormalTNR"/>
      </w:pPr>
      <w:r w:rsidRPr="008B62AA">
        <w:rPr>
          <w:b/>
        </w:rPr>
        <w:t>Participating Programs:</w:t>
      </w:r>
      <w:r>
        <w:t xml:space="preserve"> </w:t>
      </w:r>
      <w:r w:rsidR="00423189">
        <w:t>NSLP, SBP, SSO, SFSP</w:t>
      </w:r>
    </w:p>
    <w:p w:rsidR="00E63DC5" w:rsidRPr="00E63DC5" w:rsidRDefault="00E63DC5" w:rsidP="00F70D82">
      <w:pPr>
        <w:pStyle w:val="NormalTNR"/>
        <w:spacing w:after="600"/>
      </w:pPr>
      <w:r w:rsidRPr="008B62AA">
        <w:rPr>
          <w:b/>
        </w:rPr>
        <w:t>Participates in Special Provisions?</w:t>
      </w:r>
      <w:r>
        <w:t xml:space="preserve"> </w:t>
      </w:r>
      <w:r w:rsidR="00423189">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701827">
        <w:rPr>
          <w:sz w:val="28"/>
        </w:rPr>
        <w:t>February 2019:</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25596D" w:rsidP="007B68D3">
            <w:pPr>
              <w:pStyle w:val="NormalTNR"/>
              <w:spacing w:after="0"/>
              <w:rPr>
                <w:lang w:eastAsia="ja-JP"/>
              </w:rPr>
            </w:pPr>
            <w:r>
              <w:rPr>
                <w:lang w:eastAsia="ja-JP"/>
              </w:rPr>
              <w:t>3,491</w:t>
            </w:r>
          </w:p>
        </w:tc>
        <w:tc>
          <w:tcPr>
            <w:tcW w:w="1563" w:type="dxa"/>
            <w:shd w:val="clear" w:color="auto" w:fill="auto"/>
            <w:vAlign w:val="center"/>
          </w:tcPr>
          <w:p w:rsidR="006C3986" w:rsidRPr="00690A00" w:rsidRDefault="0025596D" w:rsidP="007B68D3">
            <w:pPr>
              <w:pStyle w:val="NormalTNR"/>
              <w:spacing w:after="0"/>
              <w:rPr>
                <w:lang w:eastAsia="ja-JP"/>
              </w:rPr>
            </w:pPr>
            <w:r>
              <w:rPr>
                <w:lang w:eastAsia="ja-JP"/>
              </w:rPr>
              <w:t>2,428</w:t>
            </w:r>
          </w:p>
        </w:tc>
        <w:tc>
          <w:tcPr>
            <w:tcW w:w="1027" w:type="dxa"/>
            <w:shd w:val="clear" w:color="auto" w:fill="auto"/>
            <w:vAlign w:val="center"/>
          </w:tcPr>
          <w:p w:rsidR="006C3986" w:rsidRPr="00690A00" w:rsidRDefault="0025596D" w:rsidP="007B68D3">
            <w:pPr>
              <w:pStyle w:val="NormalTNR"/>
              <w:spacing w:after="0"/>
              <w:rPr>
                <w:lang w:eastAsia="ja-JP"/>
              </w:rPr>
            </w:pPr>
            <w:r>
              <w:rPr>
                <w:lang w:eastAsia="ja-JP"/>
              </w:rPr>
              <w:t>41.06</w:t>
            </w:r>
          </w:p>
        </w:tc>
        <w:tc>
          <w:tcPr>
            <w:tcW w:w="1249" w:type="dxa"/>
            <w:shd w:val="clear" w:color="auto" w:fill="auto"/>
            <w:vAlign w:val="center"/>
          </w:tcPr>
          <w:p w:rsidR="006C3986" w:rsidRPr="00690A00" w:rsidRDefault="0025596D" w:rsidP="007B68D3">
            <w:pPr>
              <w:pStyle w:val="NormalTNR"/>
              <w:spacing w:after="0"/>
              <w:rPr>
                <w:lang w:eastAsia="ja-JP"/>
              </w:rPr>
            </w:pPr>
            <w:r>
              <w:rPr>
                <w:lang w:eastAsia="ja-JP"/>
              </w:rPr>
              <w:t>1,292</w:t>
            </w:r>
          </w:p>
        </w:tc>
        <w:tc>
          <w:tcPr>
            <w:tcW w:w="1216" w:type="dxa"/>
            <w:shd w:val="clear" w:color="auto" w:fill="auto"/>
            <w:vAlign w:val="center"/>
          </w:tcPr>
          <w:p w:rsidR="006C3986" w:rsidRPr="00690A00" w:rsidRDefault="0025596D" w:rsidP="007B68D3">
            <w:pPr>
              <w:pStyle w:val="NormalTNR"/>
              <w:spacing w:after="0"/>
              <w:rPr>
                <w:lang w:eastAsia="ja-JP"/>
              </w:rPr>
            </w:pPr>
            <w:r>
              <w:rPr>
                <w:lang w:eastAsia="ja-JP"/>
              </w:rPr>
              <w:t>54.24</w:t>
            </w:r>
          </w:p>
        </w:tc>
        <w:tc>
          <w:tcPr>
            <w:tcW w:w="1860" w:type="dxa"/>
            <w:shd w:val="clear" w:color="auto" w:fill="auto"/>
            <w:vAlign w:val="center"/>
          </w:tcPr>
          <w:p w:rsidR="006C3986" w:rsidRPr="00690A00" w:rsidRDefault="00701827" w:rsidP="007B68D3">
            <w:pPr>
              <w:pStyle w:val="NormalTNR"/>
              <w:spacing w:after="0"/>
              <w:rPr>
                <w:lang w:eastAsia="ja-JP"/>
              </w:rPr>
            </w:pPr>
            <w:r>
              <w:rPr>
                <w:lang w:eastAsia="ja-JP"/>
              </w:rPr>
              <w:t>207,151.75</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25596D" w:rsidP="007B68D3">
            <w:pPr>
              <w:pStyle w:val="NormalTNR"/>
              <w:spacing w:after="0"/>
              <w:rPr>
                <w:lang w:eastAsia="ja-JP"/>
              </w:rPr>
            </w:pPr>
            <w:r>
              <w:rPr>
                <w:lang w:eastAsia="ja-JP"/>
              </w:rPr>
              <w:t>787</w:t>
            </w:r>
          </w:p>
        </w:tc>
        <w:tc>
          <w:tcPr>
            <w:tcW w:w="1563" w:type="dxa"/>
            <w:shd w:val="clear" w:color="auto" w:fill="auto"/>
            <w:vAlign w:val="center"/>
          </w:tcPr>
          <w:p w:rsidR="006C3986" w:rsidRPr="00690A00" w:rsidRDefault="0025596D" w:rsidP="007B68D3">
            <w:pPr>
              <w:pStyle w:val="NormalTNR"/>
              <w:spacing w:after="0"/>
              <w:rPr>
                <w:lang w:eastAsia="ja-JP"/>
              </w:rPr>
            </w:pPr>
            <w:r>
              <w:rPr>
                <w:lang w:eastAsia="ja-JP"/>
              </w:rPr>
              <w:t>485</w:t>
            </w:r>
          </w:p>
        </w:tc>
        <w:tc>
          <w:tcPr>
            <w:tcW w:w="1027" w:type="dxa"/>
            <w:shd w:val="clear" w:color="auto" w:fill="auto"/>
            <w:vAlign w:val="center"/>
          </w:tcPr>
          <w:p w:rsidR="006C3986" w:rsidRPr="00690A00" w:rsidRDefault="0025596D" w:rsidP="007B68D3">
            <w:pPr>
              <w:pStyle w:val="NormalTNR"/>
              <w:spacing w:after="0"/>
              <w:rPr>
                <w:lang w:eastAsia="ja-JP"/>
              </w:rPr>
            </w:pPr>
            <w:r>
              <w:rPr>
                <w:lang w:eastAsia="ja-JP"/>
              </w:rPr>
              <w:t>8.20</w:t>
            </w:r>
          </w:p>
        </w:tc>
        <w:tc>
          <w:tcPr>
            <w:tcW w:w="1249" w:type="dxa"/>
            <w:shd w:val="clear" w:color="auto" w:fill="auto"/>
            <w:vAlign w:val="center"/>
          </w:tcPr>
          <w:p w:rsidR="006C3986" w:rsidRPr="00690A00" w:rsidRDefault="0025596D" w:rsidP="007B68D3">
            <w:pPr>
              <w:pStyle w:val="NormalTNR"/>
              <w:spacing w:after="0"/>
              <w:rPr>
                <w:lang w:eastAsia="ja-JP"/>
              </w:rPr>
            </w:pPr>
            <w:r>
              <w:rPr>
                <w:lang w:eastAsia="ja-JP"/>
              </w:rPr>
              <w:t>219</w:t>
            </w:r>
          </w:p>
        </w:tc>
        <w:tc>
          <w:tcPr>
            <w:tcW w:w="1216" w:type="dxa"/>
            <w:shd w:val="clear" w:color="auto" w:fill="auto"/>
            <w:vAlign w:val="center"/>
          </w:tcPr>
          <w:p w:rsidR="006C3986" w:rsidRPr="00690A00" w:rsidRDefault="0025596D" w:rsidP="007B68D3">
            <w:pPr>
              <w:pStyle w:val="NormalTNR"/>
              <w:spacing w:after="0"/>
              <w:rPr>
                <w:lang w:eastAsia="ja-JP"/>
              </w:rPr>
            </w:pPr>
            <w:r>
              <w:rPr>
                <w:lang w:eastAsia="ja-JP"/>
              </w:rPr>
              <w:t>9.19</w:t>
            </w:r>
          </w:p>
        </w:tc>
        <w:tc>
          <w:tcPr>
            <w:tcW w:w="1860" w:type="dxa"/>
            <w:shd w:val="clear" w:color="auto" w:fill="auto"/>
            <w:vAlign w:val="center"/>
          </w:tcPr>
          <w:p w:rsidR="006C3986" w:rsidRPr="00690A00" w:rsidRDefault="0025596D" w:rsidP="007B68D3">
            <w:pPr>
              <w:pStyle w:val="NormalTNR"/>
              <w:spacing w:after="0"/>
              <w:rPr>
                <w:lang w:eastAsia="ja-JP"/>
              </w:rPr>
            </w:pPr>
            <w:r>
              <w:rPr>
                <w:lang w:eastAsia="ja-JP"/>
              </w:rPr>
              <w:t>34,896.37</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25596D" w:rsidP="007B68D3">
            <w:pPr>
              <w:pStyle w:val="NormalTNR"/>
              <w:spacing w:after="0"/>
              <w:rPr>
                <w:lang w:eastAsia="ja-JP"/>
              </w:rPr>
            </w:pPr>
            <w:r>
              <w:rPr>
                <w:lang w:eastAsia="ja-JP"/>
              </w:rPr>
              <w:t>9,728</w:t>
            </w:r>
          </w:p>
        </w:tc>
        <w:tc>
          <w:tcPr>
            <w:tcW w:w="1563" w:type="dxa"/>
            <w:shd w:val="clear" w:color="auto" w:fill="auto"/>
            <w:vAlign w:val="center"/>
          </w:tcPr>
          <w:p w:rsidR="006C3986" w:rsidRPr="00690A00" w:rsidRDefault="0025596D" w:rsidP="007B68D3">
            <w:pPr>
              <w:pStyle w:val="NormalTNR"/>
              <w:spacing w:after="0"/>
              <w:rPr>
                <w:lang w:eastAsia="ja-JP"/>
              </w:rPr>
            </w:pPr>
            <w:r>
              <w:rPr>
                <w:lang w:eastAsia="ja-JP"/>
              </w:rPr>
              <w:t>3,000</w:t>
            </w:r>
          </w:p>
        </w:tc>
        <w:tc>
          <w:tcPr>
            <w:tcW w:w="1027" w:type="dxa"/>
            <w:shd w:val="clear" w:color="auto" w:fill="auto"/>
            <w:vAlign w:val="center"/>
          </w:tcPr>
          <w:p w:rsidR="006C3986" w:rsidRPr="00690A00" w:rsidRDefault="0025596D" w:rsidP="007B68D3">
            <w:pPr>
              <w:pStyle w:val="NormalTNR"/>
              <w:spacing w:after="0"/>
              <w:rPr>
                <w:lang w:eastAsia="ja-JP"/>
              </w:rPr>
            </w:pPr>
            <w:r>
              <w:rPr>
                <w:lang w:eastAsia="ja-JP"/>
              </w:rPr>
              <w:t>50.74</w:t>
            </w:r>
          </w:p>
        </w:tc>
        <w:tc>
          <w:tcPr>
            <w:tcW w:w="1249" w:type="dxa"/>
            <w:shd w:val="clear" w:color="auto" w:fill="auto"/>
            <w:vAlign w:val="center"/>
          </w:tcPr>
          <w:p w:rsidR="006C3986" w:rsidRPr="00690A00" w:rsidRDefault="0025596D" w:rsidP="007B68D3">
            <w:pPr>
              <w:pStyle w:val="NormalTNR"/>
              <w:spacing w:after="0"/>
              <w:rPr>
                <w:lang w:eastAsia="ja-JP"/>
              </w:rPr>
            </w:pPr>
            <w:r>
              <w:rPr>
                <w:lang w:eastAsia="ja-JP"/>
              </w:rPr>
              <w:t>871</w:t>
            </w:r>
          </w:p>
        </w:tc>
        <w:tc>
          <w:tcPr>
            <w:tcW w:w="1216" w:type="dxa"/>
            <w:shd w:val="clear" w:color="auto" w:fill="auto"/>
            <w:vAlign w:val="center"/>
          </w:tcPr>
          <w:p w:rsidR="006C3986" w:rsidRPr="00690A00" w:rsidRDefault="0025596D" w:rsidP="007B68D3">
            <w:pPr>
              <w:pStyle w:val="NormalTNR"/>
              <w:spacing w:after="0"/>
              <w:rPr>
                <w:lang w:eastAsia="ja-JP"/>
              </w:rPr>
            </w:pPr>
            <w:r>
              <w:rPr>
                <w:lang w:eastAsia="ja-JP"/>
              </w:rPr>
              <w:t>36.57</w:t>
            </w:r>
          </w:p>
        </w:tc>
        <w:tc>
          <w:tcPr>
            <w:tcW w:w="1860" w:type="dxa"/>
            <w:shd w:val="clear" w:color="auto" w:fill="auto"/>
            <w:vAlign w:val="center"/>
          </w:tcPr>
          <w:p w:rsidR="006C3986" w:rsidRPr="00690A00" w:rsidRDefault="0025596D" w:rsidP="007B68D3">
            <w:pPr>
              <w:pStyle w:val="NormalTNR"/>
              <w:spacing w:after="0"/>
              <w:rPr>
                <w:lang w:eastAsia="ja-JP"/>
              </w:rPr>
            </w:pPr>
            <w:r>
              <w:rPr>
                <w:lang w:eastAsia="ja-JP"/>
              </w:rPr>
              <w:t>26,230.20</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25596D" w:rsidP="007B68D3">
            <w:pPr>
              <w:pStyle w:val="NormalTNR"/>
              <w:spacing w:after="0"/>
              <w:rPr>
                <w:b/>
                <w:lang w:eastAsia="ja-JP"/>
              </w:rPr>
            </w:pPr>
            <w:r>
              <w:rPr>
                <w:b/>
                <w:lang w:eastAsia="ja-JP"/>
              </w:rPr>
              <w:t>14,006</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25596D" w:rsidP="007B68D3">
            <w:pPr>
              <w:pStyle w:val="NormalTNR"/>
              <w:spacing w:after="0"/>
              <w:rPr>
                <w:b/>
                <w:lang w:eastAsia="ja-JP"/>
              </w:rPr>
            </w:pPr>
            <w:r>
              <w:rPr>
                <w:b/>
                <w:lang w:eastAsia="ja-JP"/>
              </w:rPr>
              <w:t>268,278.32</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6D702894">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8E2232"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The direct certification process was incorrectly implemented when determining student eligibility.</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42318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42318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23189"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423189"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42318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8E2232" w:rsidRDefault="008E2232" w:rsidP="008E2232">
            <w:pPr>
              <w:rPr>
                <w:rFonts w:ascii="Times New Roman" w:eastAsia="Times New Roman" w:hAnsi="Times New Roman"/>
                <w:noProof/>
                <w:color w:val="000000"/>
                <w:szCs w:val="20"/>
              </w:rPr>
            </w:pPr>
            <w:r>
              <w:rPr>
                <w:rFonts w:ascii="Times New Roman" w:eastAsia="Times New Roman" w:hAnsi="Times New Roman"/>
                <w:noProof/>
                <w:color w:val="000000"/>
                <w:szCs w:val="20"/>
              </w:rPr>
              <w:t>The</w:t>
            </w:r>
            <w:r w:rsidR="00423189">
              <w:rPr>
                <w:rFonts w:ascii="Times New Roman" w:eastAsia="Times New Roman" w:hAnsi="Times New Roman"/>
                <w:noProof/>
                <w:color w:val="000000"/>
                <w:szCs w:val="20"/>
              </w:rPr>
              <w:t xml:space="preserve"> SFA’s HAACP plan</w:t>
            </w:r>
            <w:r>
              <w:rPr>
                <w:rFonts w:ascii="Times New Roman" w:eastAsia="Times New Roman" w:hAnsi="Times New Roman"/>
                <w:noProof/>
                <w:color w:val="000000"/>
                <w:szCs w:val="20"/>
              </w:rPr>
              <w:t xml:space="preserve"> was not properly implemented. </w:t>
            </w:r>
          </w:p>
          <w:p w:rsidR="00B130AE" w:rsidRDefault="008E2232" w:rsidP="008E2232">
            <w:pPr>
              <w:rPr>
                <w:rFonts w:ascii="Times New Roman" w:eastAsia="Times New Roman" w:hAnsi="Times New Roman"/>
                <w:noProof/>
                <w:color w:val="000000"/>
                <w:szCs w:val="20"/>
              </w:rPr>
            </w:pPr>
            <w:r>
              <w:rPr>
                <w:rFonts w:ascii="Times New Roman" w:eastAsia="Times New Roman" w:hAnsi="Times New Roman"/>
                <w:noProof/>
                <w:color w:val="000000"/>
                <w:szCs w:val="20"/>
              </w:rPr>
              <w:lastRenderedPageBreak/>
              <w:t>Not all agricultural products purchased met the Buy American provision.</w:t>
            </w:r>
          </w:p>
          <w:p w:rsidR="008E2232" w:rsidRPr="007D3AFD" w:rsidRDefault="008E2232" w:rsidP="008E2232">
            <w:pPr>
              <w:rPr>
                <w:rFonts w:ascii="Times New Roman" w:eastAsia="Times New Roman" w:hAnsi="Times New Roman"/>
                <w:noProof/>
                <w:color w:val="000000"/>
                <w:szCs w:val="20"/>
              </w:rPr>
            </w:pPr>
            <w:r>
              <w:rPr>
                <w:rFonts w:ascii="Times New Roman" w:eastAsia="Times New Roman" w:hAnsi="Times New Roman"/>
                <w:noProof/>
                <w:color w:val="000000"/>
                <w:szCs w:val="20"/>
              </w:rPr>
              <w:t>Temperature logs were not maintained.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423189"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School Wellness Policy did not meet the minimum requiresments set forth by USDA.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42318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423189"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5E" w:rsidRDefault="0007115E" w:rsidP="00EA0AD0">
      <w:pPr>
        <w:spacing w:before="0" w:after="0"/>
      </w:pPr>
      <w:r>
        <w:separator/>
      </w:r>
    </w:p>
  </w:endnote>
  <w:endnote w:type="continuationSeparator" w:id="0">
    <w:p w:rsidR="0007115E" w:rsidRDefault="0007115E"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5E" w:rsidRDefault="0007115E" w:rsidP="00EA0AD0">
      <w:pPr>
        <w:spacing w:before="0" w:after="0"/>
      </w:pPr>
      <w:r>
        <w:separator/>
      </w:r>
    </w:p>
  </w:footnote>
  <w:footnote w:type="continuationSeparator" w:id="0">
    <w:p w:rsidR="0007115E" w:rsidRDefault="0007115E"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1.6pt;height:21.6pt;visibility:visible;mso-wrap-style:square" o:bullet="t">
        <v:imagedata r:id="rId1" o:title=""/>
      </v:shape>
    </w:pict>
  </w:numPicBullet>
  <w:numPicBullet w:numPicBulletId="1">
    <w:pict>
      <v:shape id="_x0000_i1090" type="#_x0000_t75" alt="Denotes no findings" style="width:15.2pt;height:15.2pt;visibility:visible;mso-wrap-style:square" o:bullet="t">
        <v:imagedata r:id="rId2" o:title="Denotes no findings"/>
      </v:shape>
    </w:pict>
  </w:numPicBullet>
  <w:numPicBullet w:numPicBulletId="2">
    <w:pict>
      <v:shape id="_x0000_i1091" type="#_x0000_t75" alt="Denotes findings identified" style="width:21.6pt;height:21.6pt;visibility:visible;mso-wrap-style:square" o:bullet="t">
        <v:imagedata r:id="rId3" o:title="Denotes findings identified"/>
      </v:shape>
    </w:pict>
  </w:numPicBullet>
  <w:numPicBullet w:numPicBulletId="3">
    <w:pict>
      <v:shape id="_x0000_i1092" type="#_x0000_t75" style="width:16pt;height:16pt;visibility:visible;mso-wrap-style:square" o:bullet="t">
        <v:imagedata r:id="rId4" o:title=""/>
      </v:shape>
    </w:pict>
  </w:numPicBullet>
  <w:numPicBullet w:numPicBulletId="4">
    <w:pict>
      <v:shape id="_x0000_i1093" type="#_x0000_t75" style="width:15.2pt;height:15.2pt;visibility:visible;mso-wrap-style:square" o:bullet="t">
        <v:imagedata r:id="rId5" o:title=""/>
      </v:shape>
    </w:pict>
  </w:numPicBullet>
  <w:numPicBullet w:numPicBulletId="5">
    <w:pict>
      <v:shape id="_x0000_i1094" type="#_x0000_t75" alt="Denotes no findings" style="width:15.2pt;height:15.2pt;visibility:visible;mso-wrap-style:square" o:bullet="t">
        <v:imagedata r:id="rId6" o:title="Denotes no findings"/>
      </v:shape>
    </w:pict>
  </w:numPicBullet>
  <w:numPicBullet w:numPicBulletId="6">
    <w:pict>
      <v:shape id="_x0000_i1095"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7115E"/>
    <w:rsid w:val="00097AFF"/>
    <w:rsid w:val="000B155A"/>
    <w:rsid w:val="000C309B"/>
    <w:rsid w:val="000C4495"/>
    <w:rsid w:val="001B0603"/>
    <w:rsid w:val="001F75BE"/>
    <w:rsid w:val="002032A0"/>
    <w:rsid w:val="00217886"/>
    <w:rsid w:val="0025596D"/>
    <w:rsid w:val="00260CA2"/>
    <w:rsid w:val="00265D36"/>
    <w:rsid w:val="00274A66"/>
    <w:rsid w:val="002D2FED"/>
    <w:rsid w:val="002D4167"/>
    <w:rsid w:val="002D49BD"/>
    <w:rsid w:val="0031611E"/>
    <w:rsid w:val="0032739D"/>
    <w:rsid w:val="003274A0"/>
    <w:rsid w:val="003507AB"/>
    <w:rsid w:val="00396DA9"/>
    <w:rsid w:val="003C5AEE"/>
    <w:rsid w:val="00423189"/>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1827"/>
    <w:rsid w:val="00705097"/>
    <w:rsid w:val="0073582B"/>
    <w:rsid w:val="00767813"/>
    <w:rsid w:val="007B68D3"/>
    <w:rsid w:val="007D26AA"/>
    <w:rsid w:val="007D3AFD"/>
    <w:rsid w:val="007F1384"/>
    <w:rsid w:val="00806AE0"/>
    <w:rsid w:val="00846C3D"/>
    <w:rsid w:val="008E2232"/>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4F12"/>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E586-67A1-4D4A-8B32-C50E8012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323</Words>
  <Characters>1997</Characters>
  <Application>Microsoft Office Word</Application>
  <DocSecurity>0</DocSecurity>
  <Lines>123</Lines>
  <Paragraphs>90</Paragraphs>
  <ScaleCrop>false</ScaleCrop>
  <HeadingPairs>
    <vt:vector size="2" baseType="variant">
      <vt:variant>
        <vt:lpstr>Title</vt:lpstr>
      </vt:variant>
      <vt:variant>
        <vt:i4>1</vt:i4>
      </vt:variant>
    </vt:vector>
  </HeadingPairs>
  <TitlesOfParts>
    <vt:vector size="1" baseType="lpstr">
      <vt:lpstr>roanoke-county-fpar-summary</vt:lpstr>
    </vt:vector>
  </TitlesOfParts>
  <Manager/>
  <Company>Virginia IT Infrastructure Partnership</Company>
  <LinksUpToDate>false</LinksUpToDate>
  <CharactersWithSpaces>2258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roanoke-county-fpar-summary-2019</dc:title>
  <dc:subject/>
  <dc:creator>DOE - NUTRITION (DOE)</dc:creator>
  <cp:keywords/>
  <dc:description/>
  <cp:lastModifiedBy>Kelly Bowman</cp:lastModifiedBy>
  <cp:revision>6</cp:revision>
  <cp:lastPrinted>2018-03-27T12:01:00Z</cp:lastPrinted>
  <dcterms:created xsi:type="dcterms:W3CDTF">2019-06-21T19:24:00Z</dcterms:created>
  <dcterms:modified xsi:type="dcterms:W3CDTF">2019-10-04T21:35:00Z</dcterms:modified>
  <cp:category/>
</cp:coreProperties>
</file>