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D4" w:rsidRDefault="005579D4" w:rsidP="005579D4">
      <w:pPr>
        <w:pStyle w:val="Heading1"/>
        <w:tabs>
          <w:tab w:val="left" w:pos="1440"/>
        </w:tabs>
        <w:rPr>
          <w:rFonts w:eastAsiaTheme="minorHAnsi"/>
          <w:szCs w:val="24"/>
        </w:rPr>
      </w:pPr>
      <w:r>
        <w:rPr>
          <w:rFonts w:eastAsiaTheme="minorHAnsi"/>
          <w:szCs w:val="24"/>
        </w:rPr>
        <w:t>Superintendent’s Memo #</w:t>
      </w:r>
      <w:r w:rsidR="004132C9">
        <w:rPr>
          <w:rFonts w:eastAsiaTheme="minorHAnsi"/>
          <w:szCs w:val="24"/>
        </w:rPr>
        <w:t>010</w:t>
      </w:r>
      <w:r w:rsidR="005942F4">
        <w:rPr>
          <w:rFonts w:eastAsiaTheme="minorHAnsi"/>
          <w:szCs w:val="24"/>
        </w:rPr>
        <w:t>-20</w:t>
      </w:r>
    </w:p>
    <w:p w:rsidR="005579D4" w:rsidRDefault="005579D4" w:rsidP="005579D4">
      <w:pPr>
        <w:jc w:val="center"/>
        <w:rPr>
          <w:szCs w:val="24"/>
        </w:rPr>
      </w:pPr>
      <w:r>
        <w:rPr>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szCs w:val="24"/>
        </w:rPr>
        <w:br/>
      </w:r>
      <w:r>
        <w:rPr>
          <w:rStyle w:val="Strong"/>
          <w:color w:val="000000"/>
          <w:szCs w:val="24"/>
        </w:rPr>
        <w:t>COMMONWEALTH of VIRGINIA</w:t>
      </w:r>
      <w:r>
        <w:rPr>
          <w:b/>
          <w:bCs/>
          <w:color w:val="000000"/>
          <w:szCs w:val="24"/>
        </w:rPr>
        <w:br/>
      </w:r>
      <w:r>
        <w:rPr>
          <w:rStyle w:val="Strong"/>
          <w:color w:val="000000"/>
          <w:szCs w:val="24"/>
        </w:rPr>
        <w:t>Department of Education</w:t>
      </w:r>
      <w:r>
        <w:rPr>
          <w:b/>
          <w:bCs/>
          <w:color w:val="000000"/>
          <w:szCs w:val="24"/>
        </w:rPr>
        <w:br/>
      </w:r>
    </w:p>
    <w:p w:rsidR="005579D4" w:rsidRDefault="00D87636" w:rsidP="005579D4">
      <w:pPr>
        <w:tabs>
          <w:tab w:val="left" w:pos="1800"/>
        </w:tabs>
        <w:spacing w:after="0" w:line="240" w:lineRule="auto"/>
        <w:rPr>
          <w:szCs w:val="24"/>
        </w:rPr>
      </w:pPr>
      <w:r>
        <w:rPr>
          <w:szCs w:val="24"/>
        </w:rPr>
        <w:t>DATE:</w:t>
      </w:r>
      <w:r>
        <w:rPr>
          <w:szCs w:val="24"/>
        </w:rPr>
        <w:tab/>
        <w:t>January 1</w:t>
      </w:r>
      <w:r w:rsidR="004132C9">
        <w:rPr>
          <w:szCs w:val="24"/>
        </w:rPr>
        <w:t>6</w:t>
      </w:r>
      <w:r w:rsidR="005942F4">
        <w:rPr>
          <w:szCs w:val="24"/>
        </w:rPr>
        <w:t>,</w:t>
      </w:r>
      <w:bookmarkStart w:id="0" w:name="_GoBack"/>
      <w:bookmarkEnd w:id="0"/>
      <w:r w:rsidR="005942F4">
        <w:rPr>
          <w:szCs w:val="24"/>
        </w:rPr>
        <w:t xml:space="preserve"> 2020</w:t>
      </w:r>
    </w:p>
    <w:p w:rsidR="005579D4" w:rsidRDefault="005579D4" w:rsidP="005579D4">
      <w:pPr>
        <w:tabs>
          <w:tab w:val="left" w:pos="1800"/>
        </w:tabs>
        <w:spacing w:after="0" w:line="240" w:lineRule="auto"/>
        <w:rPr>
          <w:szCs w:val="24"/>
        </w:rPr>
      </w:pPr>
    </w:p>
    <w:p w:rsidR="005579D4" w:rsidRDefault="005579D4" w:rsidP="005579D4">
      <w:pPr>
        <w:tabs>
          <w:tab w:val="left" w:pos="1800"/>
        </w:tabs>
        <w:spacing w:after="0" w:line="240" w:lineRule="auto"/>
        <w:rPr>
          <w:szCs w:val="24"/>
        </w:rPr>
      </w:pPr>
      <w:r>
        <w:rPr>
          <w:szCs w:val="24"/>
        </w:rPr>
        <w:t xml:space="preserve">TO: </w:t>
      </w:r>
      <w:r>
        <w:rPr>
          <w:szCs w:val="24"/>
        </w:rPr>
        <w:tab/>
        <w:t>Division Superintendents</w:t>
      </w:r>
    </w:p>
    <w:p w:rsidR="005579D4" w:rsidRDefault="005579D4" w:rsidP="005579D4">
      <w:pPr>
        <w:tabs>
          <w:tab w:val="left" w:pos="1800"/>
        </w:tabs>
        <w:spacing w:after="0" w:line="240" w:lineRule="auto"/>
        <w:rPr>
          <w:szCs w:val="24"/>
        </w:rPr>
      </w:pPr>
    </w:p>
    <w:p w:rsidR="005579D4" w:rsidRDefault="005579D4" w:rsidP="005579D4">
      <w:pPr>
        <w:tabs>
          <w:tab w:val="left" w:pos="1800"/>
        </w:tabs>
        <w:spacing w:after="0" w:line="240" w:lineRule="auto"/>
        <w:rPr>
          <w:szCs w:val="24"/>
        </w:rPr>
      </w:pPr>
      <w:r>
        <w:rPr>
          <w:szCs w:val="24"/>
        </w:rPr>
        <w:t xml:space="preserve">FROM: </w:t>
      </w:r>
      <w:r>
        <w:rPr>
          <w:szCs w:val="24"/>
        </w:rPr>
        <w:tab/>
      </w:r>
      <w:r>
        <w:rPr>
          <w:color w:val="000000"/>
          <w:szCs w:val="24"/>
        </w:rPr>
        <w:t>James F. Lane</w:t>
      </w:r>
      <w:r>
        <w:rPr>
          <w:szCs w:val="24"/>
        </w:rPr>
        <w:t xml:space="preserve">, </w:t>
      </w:r>
      <w:r>
        <w:rPr>
          <w:color w:val="000000"/>
          <w:szCs w:val="24"/>
        </w:rPr>
        <w:t xml:space="preserve">Ed.D., </w:t>
      </w:r>
      <w:r>
        <w:rPr>
          <w:szCs w:val="24"/>
        </w:rPr>
        <w:t>Superintendent of Public Instruction</w:t>
      </w:r>
    </w:p>
    <w:p w:rsidR="005579D4" w:rsidRDefault="005579D4" w:rsidP="005579D4">
      <w:pPr>
        <w:tabs>
          <w:tab w:val="left" w:pos="1800"/>
        </w:tabs>
        <w:spacing w:after="0" w:line="240" w:lineRule="auto"/>
        <w:rPr>
          <w:szCs w:val="24"/>
        </w:rPr>
      </w:pPr>
    </w:p>
    <w:p w:rsidR="005579D4" w:rsidRDefault="005579D4" w:rsidP="005579D4">
      <w:pPr>
        <w:pStyle w:val="Heading2"/>
        <w:tabs>
          <w:tab w:val="left" w:pos="1800"/>
        </w:tabs>
        <w:spacing w:after="0" w:line="240" w:lineRule="auto"/>
        <w:ind w:left="1800" w:hanging="1800"/>
        <w:rPr>
          <w:szCs w:val="24"/>
          <w:lang w:val="en"/>
        </w:rPr>
      </w:pPr>
      <w:r>
        <w:rPr>
          <w:rFonts w:eastAsiaTheme="minorHAnsi"/>
          <w:szCs w:val="24"/>
        </w:rPr>
        <w:t xml:space="preserve">SUBJECT: </w:t>
      </w:r>
      <w:r>
        <w:rPr>
          <w:rFonts w:eastAsiaTheme="minorHAnsi"/>
          <w:szCs w:val="24"/>
        </w:rPr>
        <w:tab/>
      </w:r>
      <w:r w:rsidR="002D3435" w:rsidRPr="00E62540">
        <w:rPr>
          <w:szCs w:val="24"/>
          <w:lang w:val="en"/>
        </w:rPr>
        <w:t>Announcing Competitive Grants for FY2020 Workforce Innovation and Opportunity Act (WIOA), Title II, Adult Education and Family Literacy (AEFLA) Awards</w:t>
      </w:r>
    </w:p>
    <w:p w:rsidR="002D3435" w:rsidRDefault="002D3435" w:rsidP="002D3435">
      <w:pPr>
        <w:pStyle w:val="NormalWeb"/>
        <w:spacing w:before="240" w:beforeAutospacing="0" w:after="0" w:afterAutospacing="0"/>
        <w:rPr>
          <w:lang w:val="en"/>
        </w:rPr>
      </w:pPr>
      <w:r>
        <w:rPr>
          <w:lang w:val="en"/>
        </w:rPr>
        <w:t xml:space="preserve">The Virginia Department of Education (VDOE), Office of Career, Technical, and Adult Education, is pleased to announce multiyear, competitive grants for Fiscal Year (FY) 2020 authorized under </w:t>
      </w:r>
      <w:r w:rsidRPr="009030F4">
        <w:rPr>
          <w:lang w:val="en"/>
        </w:rPr>
        <w:t xml:space="preserve">Title II of the </w:t>
      </w:r>
      <w:r w:rsidRPr="009030F4">
        <w:rPr>
          <w:i/>
          <w:lang w:val="en"/>
        </w:rPr>
        <w:t>Workforce Innovation and Opportunity Act of 2014</w:t>
      </w:r>
      <w:r>
        <w:rPr>
          <w:lang w:val="en"/>
        </w:rPr>
        <w:t xml:space="preserve">, available to eligible providers within the Commonwealth of Virginia. The WIOA Combined State Plan for the Commonwealth of Virginia establishes the priorities to prepare an educated and skilled workforce that expands opportunities for workers and employers in Virginia. </w:t>
      </w:r>
    </w:p>
    <w:p w:rsidR="002D3435" w:rsidRDefault="002D3435" w:rsidP="002D3435">
      <w:pPr>
        <w:pStyle w:val="NormalWeb"/>
        <w:spacing w:before="0" w:beforeAutospacing="0" w:after="0" w:afterAutospacing="0"/>
        <w:rPr>
          <w:lang w:val="en"/>
        </w:rPr>
      </w:pPr>
    </w:p>
    <w:p w:rsidR="002D3435" w:rsidRDefault="002D3435" w:rsidP="002D3435">
      <w:pPr>
        <w:pStyle w:val="NormalWeb"/>
        <w:spacing w:before="0" w:beforeAutospacing="0" w:after="0" w:afterAutospacing="0"/>
        <w:contextualSpacing/>
        <w:rPr>
          <w:lang w:val="en"/>
        </w:rPr>
      </w:pPr>
      <w:r>
        <w:rPr>
          <w:lang w:val="en"/>
        </w:rPr>
        <w:t>The competitive grant funding allocations will be available July 1, 2020 through June 30, 2021, for the following programs:</w:t>
      </w:r>
    </w:p>
    <w:p w:rsidR="002D3435" w:rsidRDefault="002D3435" w:rsidP="002D3435">
      <w:pPr>
        <w:pStyle w:val="NormalWeb"/>
        <w:spacing w:before="0" w:beforeAutospacing="0" w:after="0" w:afterAutospacing="0"/>
        <w:contextualSpacing/>
        <w:rPr>
          <w:lang w:val="en"/>
        </w:rPr>
      </w:pPr>
    </w:p>
    <w:p w:rsidR="002D3435" w:rsidRPr="009030F4" w:rsidRDefault="002D3435" w:rsidP="002D3435">
      <w:pPr>
        <w:numPr>
          <w:ilvl w:val="0"/>
          <w:numId w:val="4"/>
        </w:numPr>
        <w:spacing w:after="0" w:line="240" w:lineRule="auto"/>
        <w:contextualSpacing/>
        <w:rPr>
          <w:rFonts w:eastAsia="Times New Roman"/>
          <w:lang w:val="en"/>
        </w:rPr>
      </w:pPr>
      <w:r w:rsidRPr="009030F4">
        <w:rPr>
          <w:rFonts w:eastAsia="Times New Roman"/>
          <w:lang w:val="en"/>
        </w:rPr>
        <w:t>Adult Education and Family Literacy Act (AEFLA) with Corrections Education and Other Institutionalized Individuals (C&amp;I)</w:t>
      </w:r>
      <w:r>
        <w:rPr>
          <w:rFonts w:eastAsia="Times New Roman"/>
          <w:lang w:val="en"/>
        </w:rPr>
        <w:t>; and</w:t>
      </w:r>
    </w:p>
    <w:p w:rsidR="002D3435" w:rsidRDefault="002D3435" w:rsidP="002D3435">
      <w:pPr>
        <w:numPr>
          <w:ilvl w:val="0"/>
          <w:numId w:val="4"/>
        </w:numPr>
        <w:spacing w:after="0" w:line="240" w:lineRule="auto"/>
        <w:contextualSpacing/>
        <w:rPr>
          <w:rFonts w:eastAsia="Times New Roman"/>
          <w:lang w:val="en"/>
        </w:rPr>
      </w:pPr>
      <w:r>
        <w:rPr>
          <w:rFonts w:eastAsia="Times New Roman"/>
          <w:lang w:val="en"/>
        </w:rPr>
        <w:t>Integrated English Literacy and Civics Education (IELCE)</w:t>
      </w:r>
    </w:p>
    <w:p w:rsidR="002D3435" w:rsidRDefault="002D3435" w:rsidP="002D3435">
      <w:pPr>
        <w:spacing w:after="0" w:line="240" w:lineRule="auto"/>
        <w:ind w:left="720"/>
        <w:contextualSpacing/>
        <w:rPr>
          <w:rFonts w:eastAsia="Times New Roman"/>
          <w:lang w:val="en"/>
        </w:rPr>
      </w:pPr>
    </w:p>
    <w:p w:rsidR="002D3435" w:rsidRDefault="002D3435" w:rsidP="002D3435">
      <w:pPr>
        <w:pStyle w:val="NormalWeb"/>
        <w:spacing w:before="0" w:beforeAutospacing="0" w:after="0" w:afterAutospacing="0"/>
        <w:contextualSpacing/>
        <w:rPr>
          <w:lang w:val="en"/>
        </w:rPr>
      </w:pPr>
      <w:r>
        <w:rPr>
          <w:lang w:val="en"/>
        </w:rPr>
        <w:t xml:space="preserve">The Competitive Grant Application package may be downloaded from the </w:t>
      </w:r>
      <w:hyperlink r:id="rId7" w:history="1">
        <w:r>
          <w:rPr>
            <w:rStyle w:val="Hyperlink"/>
            <w:lang w:val="en"/>
          </w:rPr>
          <w:t>VDOE website</w:t>
        </w:r>
      </w:hyperlink>
      <w:r>
        <w:rPr>
          <w:lang w:val="en"/>
        </w:rPr>
        <w:t xml:space="preserve">. Accompanying files may be requested from </w:t>
      </w:r>
      <w:hyperlink r:id="rId8" w:history="1">
        <w:r w:rsidRPr="00060882">
          <w:rPr>
            <w:rStyle w:val="Hyperlink"/>
            <w:lang w:val="en"/>
          </w:rPr>
          <w:t>OAEL@doe.virginia.gov</w:t>
        </w:r>
      </w:hyperlink>
      <w:r>
        <w:rPr>
          <w:lang w:val="en"/>
        </w:rPr>
        <w:t xml:space="preserve">. </w:t>
      </w:r>
    </w:p>
    <w:p w:rsidR="002D3435" w:rsidRDefault="002D3435" w:rsidP="002D3435">
      <w:pPr>
        <w:pStyle w:val="NormalWeb"/>
        <w:spacing w:before="0" w:beforeAutospacing="0" w:after="0" w:afterAutospacing="0"/>
        <w:contextualSpacing/>
        <w:rPr>
          <w:lang w:val="en"/>
        </w:rPr>
      </w:pPr>
      <w:r>
        <w:rPr>
          <w:lang w:val="en"/>
        </w:rPr>
        <w:t xml:space="preserve">Eligible provider organizations may include, but are not limited to: </w:t>
      </w:r>
    </w:p>
    <w:p w:rsidR="002D3435" w:rsidRDefault="002D3435" w:rsidP="002D3435">
      <w:pPr>
        <w:pStyle w:val="NormalWeb"/>
        <w:spacing w:before="0" w:beforeAutospacing="0" w:after="0" w:afterAutospacing="0"/>
        <w:contextualSpacing/>
        <w:rPr>
          <w:lang w:val="en"/>
        </w:rPr>
      </w:pPr>
    </w:p>
    <w:p w:rsidR="002D3435" w:rsidRPr="0016120F" w:rsidRDefault="002D3435" w:rsidP="002D3435">
      <w:pPr>
        <w:pStyle w:val="ListParagraph"/>
        <w:numPr>
          <w:ilvl w:val="0"/>
          <w:numId w:val="5"/>
        </w:numPr>
        <w:ind w:left="1080"/>
        <w:contextualSpacing/>
        <w:rPr>
          <w:lang w:val="en"/>
        </w:rPr>
      </w:pPr>
      <w:r w:rsidRPr="0016120F">
        <w:rPr>
          <w:lang w:val="en"/>
        </w:rPr>
        <w:t>a local education agency</w:t>
      </w:r>
    </w:p>
    <w:p w:rsidR="002D3435" w:rsidRPr="0016120F" w:rsidRDefault="002D3435" w:rsidP="002D3435">
      <w:pPr>
        <w:pStyle w:val="ListParagraph"/>
        <w:numPr>
          <w:ilvl w:val="0"/>
          <w:numId w:val="5"/>
        </w:numPr>
        <w:ind w:left="1080"/>
        <w:contextualSpacing/>
        <w:rPr>
          <w:lang w:val="en"/>
        </w:rPr>
      </w:pPr>
      <w:r w:rsidRPr="0016120F">
        <w:rPr>
          <w:lang w:val="en"/>
        </w:rPr>
        <w:t>a community-based literacy organization or faith-based organization</w:t>
      </w:r>
    </w:p>
    <w:p w:rsidR="002D3435" w:rsidRPr="0016120F" w:rsidRDefault="002D3435" w:rsidP="002D3435">
      <w:pPr>
        <w:pStyle w:val="ListParagraph"/>
        <w:numPr>
          <w:ilvl w:val="0"/>
          <w:numId w:val="5"/>
        </w:numPr>
        <w:ind w:left="1080"/>
        <w:contextualSpacing/>
        <w:rPr>
          <w:lang w:val="en"/>
        </w:rPr>
      </w:pPr>
      <w:r w:rsidRPr="0016120F">
        <w:rPr>
          <w:lang w:val="en"/>
        </w:rPr>
        <w:t>a volunteer literacy organization</w:t>
      </w:r>
    </w:p>
    <w:p w:rsidR="002D3435" w:rsidRPr="0016120F" w:rsidRDefault="002D3435" w:rsidP="002D3435">
      <w:pPr>
        <w:pStyle w:val="ListParagraph"/>
        <w:numPr>
          <w:ilvl w:val="0"/>
          <w:numId w:val="5"/>
        </w:numPr>
        <w:ind w:left="1080"/>
        <w:contextualSpacing/>
        <w:rPr>
          <w:lang w:val="en"/>
        </w:rPr>
      </w:pPr>
      <w:r w:rsidRPr="0016120F">
        <w:rPr>
          <w:lang w:val="en"/>
        </w:rPr>
        <w:t>an institution of higher education</w:t>
      </w:r>
    </w:p>
    <w:p w:rsidR="002D3435" w:rsidRPr="0016120F" w:rsidRDefault="002D3435" w:rsidP="002D3435">
      <w:pPr>
        <w:pStyle w:val="ListParagraph"/>
        <w:numPr>
          <w:ilvl w:val="0"/>
          <w:numId w:val="5"/>
        </w:numPr>
        <w:ind w:left="1080"/>
        <w:contextualSpacing/>
        <w:rPr>
          <w:lang w:val="en"/>
        </w:rPr>
      </w:pPr>
      <w:r w:rsidRPr="0016120F">
        <w:rPr>
          <w:lang w:val="en"/>
        </w:rPr>
        <w:t>a public or private nonprofit agency</w:t>
      </w:r>
    </w:p>
    <w:p w:rsidR="002D3435" w:rsidRPr="0016120F" w:rsidRDefault="002D3435" w:rsidP="002D3435">
      <w:pPr>
        <w:pStyle w:val="ListParagraph"/>
        <w:numPr>
          <w:ilvl w:val="0"/>
          <w:numId w:val="5"/>
        </w:numPr>
        <w:ind w:left="1080"/>
        <w:contextualSpacing/>
        <w:rPr>
          <w:lang w:val="en"/>
        </w:rPr>
      </w:pPr>
      <w:r w:rsidRPr="0016120F">
        <w:rPr>
          <w:lang w:val="en"/>
        </w:rPr>
        <w:t>a library</w:t>
      </w:r>
    </w:p>
    <w:p w:rsidR="002D3435" w:rsidRPr="0016120F" w:rsidRDefault="002D3435" w:rsidP="002D3435">
      <w:pPr>
        <w:pStyle w:val="ListParagraph"/>
        <w:numPr>
          <w:ilvl w:val="0"/>
          <w:numId w:val="5"/>
        </w:numPr>
        <w:ind w:left="1080"/>
        <w:contextualSpacing/>
        <w:rPr>
          <w:lang w:val="en"/>
        </w:rPr>
      </w:pPr>
      <w:r w:rsidRPr="0016120F">
        <w:rPr>
          <w:lang w:val="en"/>
        </w:rPr>
        <w:t>a public housing authority</w:t>
      </w:r>
    </w:p>
    <w:p w:rsidR="002D3435" w:rsidRPr="0016120F" w:rsidRDefault="002D3435" w:rsidP="002D3435">
      <w:pPr>
        <w:pStyle w:val="ListParagraph"/>
        <w:numPr>
          <w:ilvl w:val="0"/>
          <w:numId w:val="5"/>
        </w:numPr>
        <w:ind w:left="1080"/>
        <w:contextualSpacing/>
        <w:rPr>
          <w:lang w:val="en"/>
        </w:rPr>
      </w:pPr>
      <w:r w:rsidRPr="0016120F">
        <w:rPr>
          <w:lang w:val="en"/>
        </w:rPr>
        <w:t>a nonprofit institution that is not described previously and has the ability to provide literacy services to eligible individuals</w:t>
      </w:r>
    </w:p>
    <w:p w:rsidR="002D3435" w:rsidRPr="0016120F" w:rsidRDefault="002D3435" w:rsidP="002D3435">
      <w:pPr>
        <w:pStyle w:val="ListParagraph"/>
        <w:numPr>
          <w:ilvl w:val="0"/>
          <w:numId w:val="5"/>
        </w:numPr>
        <w:ind w:left="1080"/>
        <w:contextualSpacing/>
        <w:rPr>
          <w:lang w:val="en"/>
        </w:rPr>
      </w:pPr>
      <w:r w:rsidRPr="0016120F">
        <w:rPr>
          <w:lang w:val="en"/>
        </w:rPr>
        <w:t>a consortium or coalition of agencies, organizations, institutions, libraries, or authorities described previously</w:t>
      </w:r>
    </w:p>
    <w:p w:rsidR="002D3435" w:rsidRPr="0016120F" w:rsidRDefault="002D3435" w:rsidP="002D3435">
      <w:pPr>
        <w:pStyle w:val="ListParagraph"/>
        <w:numPr>
          <w:ilvl w:val="0"/>
          <w:numId w:val="5"/>
        </w:numPr>
        <w:ind w:left="1080"/>
        <w:contextualSpacing/>
        <w:rPr>
          <w:lang w:val="en"/>
        </w:rPr>
      </w:pPr>
      <w:r w:rsidRPr="0016120F">
        <w:rPr>
          <w:lang w:val="en"/>
        </w:rPr>
        <w:lastRenderedPageBreak/>
        <w:t>a partnership between an employer and an entity described above</w:t>
      </w:r>
    </w:p>
    <w:p w:rsidR="002D3435" w:rsidRPr="0016120F" w:rsidRDefault="002D3435" w:rsidP="002D3435">
      <w:pPr>
        <w:pStyle w:val="ListParagraph"/>
        <w:numPr>
          <w:ilvl w:val="0"/>
          <w:numId w:val="5"/>
        </w:numPr>
        <w:ind w:left="1080"/>
        <w:contextualSpacing/>
        <w:rPr>
          <w:lang w:val="en"/>
        </w:rPr>
      </w:pPr>
      <w:r w:rsidRPr="0016120F">
        <w:rPr>
          <w:lang w:val="en"/>
        </w:rPr>
        <w:t>other.</w:t>
      </w:r>
    </w:p>
    <w:p w:rsidR="002D3435" w:rsidRDefault="002D3435" w:rsidP="002D3435">
      <w:pPr>
        <w:pStyle w:val="NormalWeb"/>
        <w:spacing w:before="0" w:beforeAutospacing="0" w:after="0" w:afterAutospacing="0"/>
        <w:rPr>
          <w:lang w:val="en"/>
        </w:rPr>
      </w:pPr>
    </w:p>
    <w:p w:rsidR="002D3435" w:rsidRDefault="002D3435" w:rsidP="002D3435">
      <w:pPr>
        <w:pStyle w:val="NormalWeb"/>
        <w:spacing w:before="0" w:beforeAutospacing="0" w:after="0" w:afterAutospacing="0"/>
      </w:pPr>
      <w:r w:rsidRPr="003B2E95">
        <w:rPr>
          <w:lang w:val="en"/>
        </w:rPr>
        <w:t>O</w:t>
      </w:r>
      <w:r w:rsidRPr="003B2E95">
        <w:t xml:space="preserve">nly an organization that has demonstrated effectiveness in providing adult education and literacy services is eligible to apply for </w:t>
      </w:r>
      <w:r w:rsidRPr="003B2E95">
        <w:rPr>
          <w:iCs/>
        </w:rPr>
        <w:t>AEFLA</w:t>
      </w:r>
      <w:r w:rsidRPr="003B2E95">
        <w:rPr>
          <w:i/>
          <w:iCs/>
        </w:rPr>
        <w:t xml:space="preserve"> </w:t>
      </w:r>
      <w:r w:rsidRPr="003B2E95">
        <w:t>funds</w:t>
      </w:r>
      <w:r w:rsidRPr="003B2E95">
        <w:rPr>
          <w:lang w:val="en"/>
        </w:rPr>
        <w:t xml:space="preserve">. </w:t>
      </w:r>
      <w:r w:rsidRPr="003B2E95">
        <w:t xml:space="preserve">If the application is submitted by a consortium of providers, </w:t>
      </w:r>
      <w:r w:rsidRPr="003B2E95">
        <w:rPr>
          <w:i/>
        </w:rPr>
        <w:t>each</w:t>
      </w:r>
      <w:r w:rsidRPr="003B2E95">
        <w:t xml:space="preserve"> member of the consortium must submit the required documentation</w:t>
      </w:r>
      <w:r w:rsidRPr="00960386">
        <w:t xml:space="preserve"> to demonstrate that it meets or exceeds the acceptable level of performance.</w:t>
      </w:r>
    </w:p>
    <w:p w:rsidR="002223A3" w:rsidRDefault="002223A3" w:rsidP="002D3435">
      <w:pPr>
        <w:pStyle w:val="NormalWeb"/>
        <w:spacing w:before="0" w:beforeAutospacing="0" w:after="0" w:afterAutospacing="0"/>
        <w:rPr>
          <w:lang w:val="en"/>
        </w:rPr>
      </w:pPr>
    </w:p>
    <w:p w:rsidR="002D3435" w:rsidRDefault="002D3435" w:rsidP="002D3435">
      <w:pPr>
        <w:pStyle w:val="NormalWeb"/>
        <w:spacing w:before="0" w:beforeAutospacing="0" w:after="0" w:afterAutospacing="0"/>
        <w:rPr>
          <w:lang w:val="en"/>
        </w:rPr>
      </w:pPr>
      <w:r>
        <w:rPr>
          <w:lang w:val="en"/>
        </w:rPr>
        <w:t xml:space="preserve">A WIOA Pre-Proposal Webinar for the </w:t>
      </w:r>
      <w:r>
        <w:rPr>
          <w:color w:val="222222"/>
          <w:shd w:val="clear" w:color="auto" w:fill="FFFFFF"/>
        </w:rPr>
        <w:t xml:space="preserve">Virginia Adult </w:t>
      </w:r>
      <w:r>
        <w:rPr>
          <w:color w:val="222222"/>
          <w:shd w:val="clear" w:color="auto" w:fill="FFFFFF"/>
          <w:lang w:val="x-none"/>
        </w:rPr>
        <w:t xml:space="preserve">Education </w:t>
      </w:r>
      <w:r>
        <w:rPr>
          <w:color w:val="222222"/>
          <w:shd w:val="clear" w:color="auto" w:fill="FFFFFF"/>
        </w:rPr>
        <w:t>2020-2023 Competitive Grant Application</w:t>
      </w:r>
      <w:r>
        <w:rPr>
          <w:lang w:val="en"/>
        </w:rPr>
        <w:t xml:space="preserve"> will be held January 24, 2020, from 1-3 p.m. </w:t>
      </w:r>
      <w:hyperlink r:id="rId9" w:history="1">
        <w:r w:rsidRPr="009419A0">
          <w:rPr>
            <w:rStyle w:val="Hyperlink"/>
            <w:lang w:val="en"/>
          </w:rPr>
          <w:t>Register</w:t>
        </w:r>
      </w:hyperlink>
      <w:r>
        <w:rPr>
          <w:lang w:val="en"/>
        </w:rPr>
        <w:t xml:space="preserve"> in advance to receive </w:t>
      </w:r>
      <w:r w:rsidRPr="00461FAF">
        <w:rPr>
          <w:lang w:val="en"/>
        </w:rPr>
        <w:t>a confirmation email containing information about joining the meeting.</w:t>
      </w:r>
    </w:p>
    <w:p w:rsidR="002223A3" w:rsidRDefault="002223A3" w:rsidP="002D3435">
      <w:pPr>
        <w:pStyle w:val="NormalWeb"/>
        <w:spacing w:before="0" w:beforeAutospacing="0" w:after="0" w:afterAutospacing="0"/>
        <w:rPr>
          <w:lang w:val="en"/>
        </w:rPr>
      </w:pPr>
    </w:p>
    <w:p w:rsidR="002D3435" w:rsidRDefault="002D3435" w:rsidP="002D3435">
      <w:pPr>
        <w:pStyle w:val="NormalWeb"/>
        <w:spacing w:before="0" w:beforeAutospacing="0" w:after="0" w:afterAutospacing="0"/>
        <w:rPr>
          <w:lang w:val="en"/>
        </w:rPr>
      </w:pPr>
      <w:r>
        <w:rPr>
          <w:lang w:val="en"/>
        </w:rPr>
        <w:t xml:space="preserve">If you have questions, please contact the Office of Career, Technical, and Adult Education staff at </w:t>
      </w:r>
      <w:hyperlink r:id="rId10" w:history="1">
        <w:r w:rsidRPr="00060882">
          <w:rPr>
            <w:rStyle w:val="Hyperlink"/>
            <w:lang w:val="en"/>
          </w:rPr>
          <w:t>OAEL@doe.virginia.gov</w:t>
        </w:r>
      </w:hyperlink>
      <w:r>
        <w:rPr>
          <w:lang w:val="en"/>
        </w:rPr>
        <w:t xml:space="preserve"> or by telephone at (804) 786-3347.</w:t>
      </w:r>
    </w:p>
    <w:p w:rsidR="005579D4" w:rsidRPr="003D7956" w:rsidRDefault="005579D4" w:rsidP="005579D4">
      <w:pPr>
        <w:spacing w:after="0" w:line="240" w:lineRule="auto"/>
        <w:rPr>
          <w:rFonts w:eastAsia="Times New Roman" w:cs="Times New Roman"/>
          <w:szCs w:val="24"/>
        </w:rPr>
      </w:pPr>
    </w:p>
    <w:p w:rsidR="005579D4" w:rsidRDefault="005579D4" w:rsidP="005579D4">
      <w:pPr>
        <w:spacing w:after="0" w:line="240" w:lineRule="auto"/>
        <w:rPr>
          <w:rFonts w:eastAsia="Times New Roman" w:cs="Times New Roman"/>
          <w:szCs w:val="24"/>
        </w:rPr>
      </w:pPr>
      <w:r>
        <w:rPr>
          <w:rFonts w:eastAsia="Times New Roman" w:cs="Times New Roman"/>
          <w:szCs w:val="24"/>
        </w:rPr>
        <w:t>JFL/</w:t>
      </w:r>
      <w:r w:rsidRPr="003D7956">
        <w:rPr>
          <w:rFonts w:eastAsia="Times New Roman" w:cs="Times New Roman"/>
          <w:szCs w:val="24"/>
        </w:rPr>
        <w:t xml:space="preserve">GRW/aab </w:t>
      </w:r>
    </w:p>
    <w:p w:rsidR="005579D4" w:rsidRDefault="005579D4" w:rsidP="005579D4">
      <w:pPr>
        <w:spacing w:after="0" w:line="240" w:lineRule="auto"/>
        <w:rPr>
          <w:color w:val="000000"/>
          <w:szCs w:val="24"/>
        </w:rPr>
      </w:pPr>
    </w:p>
    <w:sectPr w:rsidR="005579D4" w:rsidSect="005579D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6C0"/>
    <w:multiLevelType w:val="multilevel"/>
    <w:tmpl w:val="9BE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0278D"/>
    <w:multiLevelType w:val="hybridMultilevel"/>
    <w:tmpl w:val="162E552C"/>
    <w:lvl w:ilvl="0" w:tplc="F9C253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5F5367B"/>
    <w:multiLevelType w:val="multilevel"/>
    <w:tmpl w:val="74181D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4932A0"/>
    <w:multiLevelType w:val="hybridMultilevel"/>
    <w:tmpl w:val="BCEE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D4"/>
    <w:rsid w:val="000F235B"/>
    <w:rsid w:val="002223A3"/>
    <w:rsid w:val="002D3435"/>
    <w:rsid w:val="004132C9"/>
    <w:rsid w:val="00494380"/>
    <w:rsid w:val="005579D4"/>
    <w:rsid w:val="005942F4"/>
    <w:rsid w:val="00645436"/>
    <w:rsid w:val="00B336CE"/>
    <w:rsid w:val="00BC5B72"/>
    <w:rsid w:val="00BF0FE7"/>
    <w:rsid w:val="00D049AF"/>
    <w:rsid w:val="00D87636"/>
    <w:rsid w:val="00DC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338F"/>
  <w15:docId w15:val="{9C226A5D-27D5-4215-853B-3CF99ABA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D4"/>
    <w:rPr>
      <w:rFonts w:ascii="Times New Roman" w:hAnsi="Times New Roman"/>
      <w:sz w:val="24"/>
    </w:rPr>
  </w:style>
  <w:style w:type="paragraph" w:styleId="Heading1">
    <w:name w:val="heading 1"/>
    <w:basedOn w:val="Normal"/>
    <w:next w:val="Normal"/>
    <w:link w:val="Heading1Char"/>
    <w:uiPriority w:val="9"/>
    <w:qFormat/>
    <w:rsid w:val="005579D4"/>
    <w:pPr>
      <w:jc w:val="right"/>
      <w:outlineLvl w:val="0"/>
    </w:pPr>
    <w:rPr>
      <w:rFonts w:eastAsia="Times New Roman"/>
    </w:rPr>
  </w:style>
  <w:style w:type="paragraph" w:styleId="Heading2">
    <w:name w:val="heading 2"/>
    <w:basedOn w:val="Normal"/>
    <w:next w:val="Normal"/>
    <w:link w:val="Heading2Char"/>
    <w:uiPriority w:val="9"/>
    <w:semiHidden/>
    <w:unhideWhenUsed/>
    <w:qFormat/>
    <w:rsid w:val="005579D4"/>
    <w:pPr>
      <w:outlineLvl w:val="1"/>
    </w:pPr>
    <w:rPr>
      <w:rFonts w:eastAsia="Times New Roman"/>
      <w:b/>
    </w:rPr>
  </w:style>
  <w:style w:type="paragraph" w:styleId="Heading3">
    <w:name w:val="heading 3"/>
    <w:basedOn w:val="Normal"/>
    <w:next w:val="Normal"/>
    <w:link w:val="Heading3Char"/>
    <w:uiPriority w:val="9"/>
    <w:semiHidden/>
    <w:unhideWhenUsed/>
    <w:qFormat/>
    <w:rsid w:val="005579D4"/>
    <w:pPr>
      <w:outlineLvl w:val="2"/>
    </w:pPr>
    <w:rPr>
      <w:rFonts w:eastAsia="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9D4"/>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5579D4"/>
    <w:rPr>
      <w:rFonts w:ascii="Times New Roman" w:eastAsia="Times New Roman" w:hAnsi="Times New Roman"/>
      <w:b/>
      <w:sz w:val="24"/>
    </w:rPr>
  </w:style>
  <w:style w:type="character" w:customStyle="1" w:styleId="Heading3Char">
    <w:name w:val="Heading 3 Char"/>
    <w:basedOn w:val="DefaultParagraphFont"/>
    <w:link w:val="Heading3"/>
    <w:uiPriority w:val="9"/>
    <w:semiHidden/>
    <w:rsid w:val="005579D4"/>
    <w:rPr>
      <w:rFonts w:ascii="Times New Roman" w:eastAsia="Times New Roman" w:hAnsi="Times New Roman"/>
      <w:b/>
      <w:sz w:val="30"/>
      <w:szCs w:val="30"/>
    </w:rPr>
  </w:style>
  <w:style w:type="character" w:styleId="Hyperlink">
    <w:name w:val="Hyperlink"/>
    <w:basedOn w:val="DefaultParagraphFont"/>
    <w:uiPriority w:val="99"/>
    <w:semiHidden/>
    <w:unhideWhenUsed/>
    <w:rsid w:val="005579D4"/>
    <w:rPr>
      <w:color w:val="0000FF" w:themeColor="hyperlink"/>
      <w:u w:val="single"/>
    </w:rPr>
  </w:style>
  <w:style w:type="paragraph" w:styleId="ListParagraph">
    <w:name w:val="List Paragraph"/>
    <w:basedOn w:val="Normal"/>
    <w:uiPriority w:val="34"/>
    <w:qFormat/>
    <w:rsid w:val="005579D4"/>
    <w:pPr>
      <w:numPr>
        <w:numId w:val="1"/>
      </w:numPr>
      <w:spacing w:after="0" w:line="240" w:lineRule="auto"/>
    </w:pPr>
    <w:rPr>
      <w:rFonts w:eastAsia="Times New Roman" w:cs="Times New Roman"/>
    </w:rPr>
  </w:style>
  <w:style w:type="character" w:styleId="PlaceholderText">
    <w:name w:val="Placeholder Text"/>
    <w:basedOn w:val="DefaultParagraphFont"/>
    <w:uiPriority w:val="99"/>
    <w:semiHidden/>
    <w:rsid w:val="005579D4"/>
    <w:rPr>
      <w:color w:val="808080"/>
    </w:rPr>
  </w:style>
  <w:style w:type="character" w:styleId="Strong">
    <w:name w:val="Strong"/>
    <w:basedOn w:val="DefaultParagraphFont"/>
    <w:uiPriority w:val="22"/>
    <w:qFormat/>
    <w:rsid w:val="005579D4"/>
    <w:rPr>
      <w:b/>
      <w:bCs/>
    </w:rPr>
  </w:style>
  <w:style w:type="paragraph" w:styleId="BalloonText">
    <w:name w:val="Balloon Text"/>
    <w:basedOn w:val="Normal"/>
    <w:link w:val="BalloonTextChar"/>
    <w:uiPriority w:val="99"/>
    <w:semiHidden/>
    <w:unhideWhenUsed/>
    <w:rsid w:val="0055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4"/>
    <w:rPr>
      <w:rFonts w:ascii="Tahoma" w:hAnsi="Tahoma" w:cs="Tahoma"/>
      <w:sz w:val="16"/>
      <w:szCs w:val="16"/>
    </w:rPr>
  </w:style>
  <w:style w:type="character" w:styleId="FollowedHyperlink">
    <w:name w:val="FollowedHyperlink"/>
    <w:basedOn w:val="DefaultParagraphFont"/>
    <w:uiPriority w:val="99"/>
    <w:semiHidden/>
    <w:unhideWhenUsed/>
    <w:rsid w:val="00494380"/>
    <w:rPr>
      <w:color w:val="800080" w:themeColor="followedHyperlink"/>
      <w:u w:val="single"/>
    </w:rPr>
  </w:style>
  <w:style w:type="paragraph" w:styleId="NormalWeb">
    <w:name w:val="Normal (Web)"/>
    <w:basedOn w:val="Normal"/>
    <w:uiPriority w:val="99"/>
    <w:semiHidden/>
    <w:unhideWhenUsed/>
    <w:rsid w:val="002D3435"/>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EL@doe.virginia.gov" TargetMode="External"/><Relationship Id="rId3" Type="http://schemas.openxmlformats.org/officeDocument/2006/relationships/settings" Target="settings.xml"/><Relationship Id="rId7" Type="http://schemas.openxmlformats.org/officeDocument/2006/relationships/hyperlink" Target="http://www.doe.virginia.gov/instruction/adulted/grants_funding/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doe.virginia.gov/administrators/index.shtml" TargetMode="External"/><Relationship Id="rId10" Type="http://schemas.openxmlformats.org/officeDocument/2006/relationships/hyperlink" Target="mailto:OAEL@doe.virginia.gov" TargetMode="External"/><Relationship Id="rId4" Type="http://schemas.openxmlformats.org/officeDocument/2006/relationships/webSettings" Target="webSettings.xml"/><Relationship Id="rId9" Type="http://schemas.openxmlformats.org/officeDocument/2006/relationships/hyperlink" Target="https://vcu.zoom.us/meeting/register/v5UucOyvqzMt-DVQ1CPVypodhklctI6Z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 010-20</vt:lpstr>
    </vt:vector>
  </TitlesOfParts>
  <Company>Virginia IT Infrastructure Partnership</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010-20</dc:title>
  <dc:creator>sha23579</dc:creator>
  <cp:lastModifiedBy>Jennings, Laura (DOE)</cp:lastModifiedBy>
  <cp:revision>3</cp:revision>
  <cp:lastPrinted>2019-12-19T20:34:00Z</cp:lastPrinted>
  <dcterms:created xsi:type="dcterms:W3CDTF">2020-01-13T17:41:00Z</dcterms:created>
  <dcterms:modified xsi:type="dcterms:W3CDTF">2020-01-13T17:41:00Z</dcterms:modified>
</cp:coreProperties>
</file>