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r>
        <w:rPr>
          <w:noProof/>
        </w:rPr>
        <w:drawing>
          <wp:inline distT="0" distB="0" distL="0" distR="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01169B">
        <w:t>Prince George County</w:t>
      </w:r>
      <w:r w:rsidR="002D4D17">
        <w:t xml:space="preserve"> Public Schools</w:t>
      </w:r>
    </w:p>
    <w:p w:rsidR="00E63DC5" w:rsidRDefault="00E63DC5" w:rsidP="00E63DC5">
      <w:pPr>
        <w:pStyle w:val="NormalTNR"/>
      </w:pPr>
      <w:r w:rsidRPr="008B62AA">
        <w:rPr>
          <w:b/>
        </w:rPr>
        <w:t>Report Publication Date:</w:t>
      </w:r>
      <w:r>
        <w:t xml:space="preserve"> </w:t>
      </w:r>
      <w:r w:rsidR="00BC17F5">
        <w:t>July 17</w:t>
      </w:r>
      <w:r w:rsidR="0001169B">
        <w:t>, 2019</w:t>
      </w:r>
    </w:p>
    <w:p w:rsidR="00E63DC5" w:rsidRDefault="00E63DC5" w:rsidP="00E63DC5">
      <w:pPr>
        <w:pStyle w:val="NormalTNR"/>
      </w:pPr>
      <w:r w:rsidRPr="008B62AA">
        <w:rPr>
          <w:b/>
        </w:rPr>
        <w:t>Administrative Review Dates:</w:t>
      </w:r>
      <w:r>
        <w:t xml:space="preserve"> </w:t>
      </w:r>
      <w:r w:rsidR="0001169B">
        <w:t xml:space="preserve">January </w:t>
      </w:r>
      <w:r w:rsidR="004E02BB">
        <w:t>8 – 11, 2019</w:t>
      </w:r>
    </w:p>
    <w:p w:rsidR="00E63DC5" w:rsidRDefault="00E63DC5" w:rsidP="00E63DC5">
      <w:pPr>
        <w:pStyle w:val="NormalTNR"/>
      </w:pPr>
      <w:r w:rsidRPr="008B62AA">
        <w:rPr>
          <w:b/>
        </w:rPr>
        <w:t>Review Month and Year:</w:t>
      </w:r>
      <w:r>
        <w:t xml:space="preserve"> </w:t>
      </w:r>
      <w:r w:rsidR="004E02BB">
        <w:t>November 2018</w:t>
      </w:r>
    </w:p>
    <w:p w:rsidR="00E63DC5" w:rsidRDefault="00E63DC5" w:rsidP="00E63DC5">
      <w:pPr>
        <w:pStyle w:val="NormalTNR"/>
      </w:pPr>
      <w:r w:rsidRPr="008B62AA">
        <w:rPr>
          <w:b/>
        </w:rPr>
        <w:t>Participating Programs:</w:t>
      </w:r>
      <w:r>
        <w:t xml:space="preserve"> </w:t>
      </w:r>
      <w:r w:rsidR="004E02BB">
        <w:t>NSLP, SBP</w:t>
      </w:r>
    </w:p>
    <w:p w:rsidR="00E63DC5" w:rsidRPr="00E63DC5" w:rsidRDefault="00E63DC5" w:rsidP="00F70D82">
      <w:pPr>
        <w:pStyle w:val="NormalTNR"/>
        <w:spacing w:after="600"/>
      </w:pPr>
      <w:r w:rsidRPr="008B62AA">
        <w:rPr>
          <w:b/>
        </w:rPr>
        <w:t>Participates in Special Provisions?</w:t>
      </w:r>
      <w:r>
        <w:t xml:space="preserve"> </w:t>
      </w:r>
      <w:r w:rsidR="004E02BB">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00045C">
        <w:rPr>
          <w:sz w:val="28"/>
        </w:rPr>
        <w:t>November 2018</w:t>
      </w:r>
      <w:r w:rsidRPr="00A61E27">
        <w:rPr>
          <w:sz w:val="28"/>
        </w:rPr>
        <w:t>:</w:t>
      </w:r>
      <w:r w:rsidR="00A72169">
        <w:br/>
      </w:r>
    </w:p>
    <w:tbl>
      <w:tblPr>
        <w:tblStyle w:val="TableGrid"/>
        <w:tblW w:w="9535" w:type="dxa"/>
        <w:tblLook w:val="04A0" w:firstRow="1" w:lastRow="0" w:firstColumn="1" w:lastColumn="0" w:noHBand="0" w:noVBand="1"/>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29563C" w:rsidP="007B68D3">
            <w:pPr>
              <w:pStyle w:val="NormalTNR"/>
              <w:spacing w:after="0"/>
              <w:rPr>
                <w:lang w:eastAsia="ja-JP"/>
              </w:rPr>
            </w:pPr>
            <w:r>
              <w:rPr>
                <w:lang w:eastAsia="ja-JP"/>
              </w:rPr>
              <w:t>1,941</w:t>
            </w:r>
          </w:p>
        </w:tc>
        <w:tc>
          <w:tcPr>
            <w:tcW w:w="1563" w:type="dxa"/>
            <w:shd w:val="clear" w:color="auto" w:fill="auto"/>
            <w:vAlign w:val="center"/>
          </w:tcPr>
          <w:p w:rsidR="006C3986" w:rsidRPr="00690A00" w:rsidRDefault="0029563C" w:rsidP="007B68D3">
            <w:pPr>
              <w:pStyle w:val="NormalTNR"/>
              <w:spacing w:after="0"/>
              <w:rPr>
                <w:lang w:eastAsia="ja-JP"/>
              </w:rPr>
            </w:pPr>
            <w:r>
              <w:rPr>
                <w:lang w:eastAsia="ja-JP"/>
              </w:rPr>
              <w:t>1,452</w:t>
            </w:r>
          </w:p>
        </w:tc>
        <w:tc>
          <w:tcPr>
            <w:tcW w:w="1027" w:type="dxa"/>
            <w:shd w:val="clear" w:color="auto" w:fill="auto"/>
            <w:vAlign w:val="center"/>
          </w:tcPr>
          <w:p w:rsidR="006C3986" w:rsidRPr="00690A00" w:rsidRDefault="00BC17F5" w:rsidP="007B68D3">
            <w:pPr>
              <w:pStyle w:val="NormalTNR"/>
              <w:spacing w:after="0"/>
              <w:rPr>
                <w:lang w:eastAsia="ja-JP"/>
              </w:rPr>
            </w:pPr>
            <w:r>
              <w:rPr>
                <w:lang w:eastAsia="ja-JP"/>
              </w:rPr>
              <w:t>44.91</w:t>
            </w:r>
          </w:p>
        </w:tc>
        <w:tc>
          <w:tcPr>
            <w:tcW w:w="1249" w:type="dxa"/>
            <w:shd w:val="clear" w:color="auto" w:fill="auto"/>
            <w:vAlign w:val="center"/>
          </w:tcPr>
          <w:p w:rsidR="006C3986" w:rsidRPr="00690A00" w:rsidRDefault="0029563C" w:rsidP="007B68D3">
            <w:pPr>
              <w:pStyle w:val="NormalTNR"/>
              <w:spacing w:after="0"/>
              <w:rPr>
                <w:lang w:eastAsia="ja-JP"/>
              </w:rPr>
            </w:pPr>
            <w:r>
              <w:rPr>
                <w:lang w:eastAsia="ja-JP"/>
              </w:rPr>
              <w:t>1,021</w:t>
            </w:r>
          </w:p>
        </w:tc>
        <w:tc>
          <w:tcPr>
            <w:tcW w:w="1216" w:type="dxa"/>
            <w:shd w:val="clear" w:color="auto" w:fill="auto"/>
            <w:vAlign w:val="center"/>
          </w:tcPr>
          <w:p w:rsidR="006C3986" w:rsidRPr="00690A00" w:rsidRDefault="00BC17F5" w:rsidP="007B68D3">
            <w:pPr>
              <w:pStyle w:val="NormalTNR"/>
              <w:spacing w:after="0"/>
              <w:rPr>
                <w:lang w:eastAsia="ja-JP"/>
              </w:rPr>
            </w:pPr>
            <w:r>
              <w:rPr>
                <w:lang w:eastAsia="ja-JP"/>
              </w:rPr>
              <w:t>53.94</w:t>
            </w:r>
          </w:p>
        </w:tc>
        <w:tc>
          <w:tcPr>
            <w:tcW w:w="1860" w:type="dxa"/>
            <w:shd w:val="clear" w:color="auto" w:fill="auto"/>
            <w:vAlign w:val="center"/>
          </w:tcPr>
          <w:p w:rsidR="006C3986" w:rsidRPr="00690A00" w:rsidRDefault="0029563C" w:rsidP="007B68D3">
            <w:pPr>
              <w:pStyle w:val="NormalTNR"/>
              <w:spacing w:after="0"/>
              <w:rPr>
                <w:lang w:eastAsia="ja-JP"/>
              </w:rPr>
            </w:pPr>
            <w:r>
              <w:rPr>
                <w:lang w:eastAsia="ja-JP"/>
              </w:rPr>
              <w:t>127,976.34</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29563C" w:rsidP="007B68D3">
            <w:pPr>
              <w:pStyle w:val="NormalTNR"/>
              <w:spacing w:after="0"/>
              <w:rPr>
                <w:lang w:eastAsia="ja-JP"/>
              </w:rPr>
            </w:pPr>
            <w:r>
              <w:rPr>
                <w:lang w:eastAsia="ja-JP"/>
              </w:rPr>
              <w:t>751</w:t>
            </w:r>
          </w:p>
        </w:tc>
        <w:tc>
          <w:tcPr>
            <w:tcW w:w="1563" w:type="dxa"/>
            <w:shd w:val="clear" w:color="auto" w:fill="auto"/>
            <w:vAlign w:val="center"/>
          </w:tcPr>
          <w:p w:rsidR="006C3986" w:rsidRPr="00690A00" w:rsidRDefault="0029563C" w:rsidP="007B68D3">
            <w:pPr>
              <w:pStyle w:val="NormalTNR"/>
              <w:spacing w:after="0"/>
              <w:rPr>
                <w:lang w:eastAsia="ja-JP"/>
              </w:rPr>
            </w:pPr>
            <w:r>
              <w:rPr>
                <w:lang w:eastAsia="ja-JP"/>
              </w:rPr>
              <w:t>530</w:t>
            </w:r>
          </w:p>
        </w:tc>
        <w:tc>
          <w:tcPr>
            <w:tcW w:w="1027" w:type="dxa"/>
            <w:shd w:val="clear" w:color="auto" w:fill="auto"/>
            <w:vAlign w:val="center"/>
          </w:tcPr>
          <w:p w:rsidR="006C3986" w:rsidRPr="00690A00" w:rsidRDefault="00BC17F5" w:rsidP="007B68D3">
            <w:pPr>
              <w:pStyle w:val="NormalTNR"/>
              <w:spacing w:after="0"/>
              <w:rPr>
                <w:lang w:eastAsia="ja-JP"/>
              </w:rPr>
            </w:pPr>
            <w:r>
              <w:rPr>
                <w:lang w:eastAsia="ja-JP"/>
              </w:rPr>
              <w:t>16.39</w:t>
            </w:r>
          </w:p>
        </w:tc>
        <w:tc>
          <w:tcPr>
            <w:tcW w:w="1249" w:type="dxa"/>
            <w:shd w:val="clear" w:color="auto" w:fill="auto"/>
            <w:vAlign w:val="center"/>
          </w:tcPr>
          <w:p w:rsidR="006C3986" w:rsidRPr="00690A00" w:rsidRDefault="0029563C" w:rsidP="007B68D3">
            <w:pPr>
              <w:pStyle w:val="NormalTNR"/>
              <w:spacing w:after="0"/>
              <w:rPr>
                <w:lang w:eastAsia="ja-JP"/>
              </w:rPr>
            </w:pPr>
            <w:r>
              <w:rPr>
                <w:lang w:eastAsia="ja-JP"/>
              </w:rPr>
              <w:t>322</w:t>
            </w:r>
          </w:p>
        </w:tc>
        <w:tc>
          <w:tcPr>
            <w:tcW w:w="1216" w:type="dxa"/>
            <w:shd w:val="clear" w:color="auto" w:fill="auto"/>
            <w:vAlign w:val="center"/>
          </w:tcPr>
          <w:p w:rsidR="006C3986" w:rsidRPr="00690A00" w:rsidRDefault="00BC17F5" w:rsidP="007B68D3">
            <w:pPr>
              <w:pStyle w:val="NormalTNR"/>
              <w:spacing w:after="0"/>
              <w:rPr>
                <w:lang w:eastAsia="ja-JP"/>
              </w:rPr>
            </w:pPr>
            <w:r>
              <w:rPr>
                <w:lang w:eastAsia="ja-JP"/>
              </w:rPr>
              <w:t>17.01</w:t>
            </w:r>
          </w:p>
        </w:tc>
        <w:tc>
          <w:tcPr>
            <w:tcW w:w="1860" w:type="dxa"/>
            <w:shd w:val="clear" w:color="auto" w:fill="auto"/>
            <w:vAlign w:val="center"/>
          </w:tcPr>
          <w:p w:rsidR="006C3986" w:rsidRPr="00690A00" w:rsidRDefault="0029563C" w:rsidP="007B68D3">
            <w:pPr>
              <w:pStyle w:val="NormalTNR"/>
              <w:spacing w:after="0"/>
              <w:rPr>
                <w:lang w:eastAsia="ja-JP"/>
              </w:rPr>
            </w:pPr>
            <w:r>
              <w:rPr>
                <w:lang w:eastAsia="ja-JP"/>
              </w:rPr>
              <w:t>39,226.50</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29563C" w:rsidP="007B68D3">
            <w:pPr>
              <w:pStyle w:val="NormalTNR"/>
              <w:spacing w:after="0"/>
              <w:rPr>
                <w:lang w:eastAsia="ja-JP"/>
              </w:rPr>
            </w:pPr>
            <w:r>
              <w:rPr>
                <w:lang w:eastAsia="ja-JP"/>
              </w:rPr>
              <w:t>3,663</w:t>
            </w:r>
          </w:p>
        </w:tc>
        <w:tc>
          <w:tcPr>
            <w:tcW w:w="1563" w:type="dxa"/>
            <w:shd w:val="clear" w:color="auto" w:fill="auto"/>
            <w:vAlign w:val="center"/>
          </w:tcPr>
          <w:p w:rsidR="006C3986" w:rsidRPr="00690A00" w:rsidRDefault="0029563C" w:rsidP="007B68D3">
            <w:pPr>
              <w:pStyle w:val="NormalTNR"/>
              <w:spacing w:after="0"/>
              <w:rPr>
                <w:lang w:eastAsia="ja-JP"/>
              </w:rPr>
            </w:pPr>
            <w:r>
              <w:rPr>
                <w:lang w:eastAsia="ja-JP"/>
              </w:rPr>
              <w:t>1,251</w:t>
            </w:r>
          </w:p>
        </w:tc>
        <w:tc>
          <w:tcPr>
            <w:tcW w:w="1027" w:type="dxa"/>
            <w:shd w:val="clear" w:color="auto" w:fill="auto"/>
            <w:vAlign w:val="center"/>
          </w:tcPr>
          <w:p w:rsidR="006C3986" w:rsidRPr="00690A00" w:rsidRDefault="00BC17F5" w:rsidP="007B68D3">
            <w:pPr>
              <w:pStyle w:val="NormalTNR"/>
              <w:spacing w:after="0"/>
              <w:rPr>
                <w:lang w:eastAsia="ja-JP"/>
              </w:rPr>
            </w:pPr>
            <w:r>
              <w:rPr>
                <w:lang w:eastAsia="ja-JP"/>
              </w:rPr>
              <w:t>38.69</w:t>
            </w:r>
          </w:p>
        </w:tc>
        <w:tc>
          <w:tcPr>
            <w:tcW w:w="1249" w:type="dxa"/>
            <w:shd w:val="clear" w:color="auto" w:fill="auto"/>
            <w:vAlign w:val="center"/>
          </w:tcPr>
          <w:p w:rsidR="006C3986" w:rsidRPr="00690A00" w:rsidRDefault="0029563C" w:rsidP="007B68D3">
            <w:pPr>
              <w:pStyle w:val="NormalTNR"/>
              <w:spacing w:after="0"/>
              <w:rPr>
                <w:lang w:eastAsia="ja-JP"/>
              </w:rPr>
            </w:pPr>
            <w:r>
              <w:rPr>
                <w:lang w:eastAsia="ja-JP"/>
              </w:rPr>
              <w:t>550</w:t>
            </w:r>
          </w:p>
        </w:tc>
        <w:tc>
          <w:tcPr>
            <w:tcW w:w="1216" w:type="dxa"/>
            <w:shd w:val="clear" w:color="auto" w:fill="auto"/>
            <w:vAlign w:val="center"/>
          </w:tcPr>
          <w:p w:rsidR="006C3986" w:rsidRPr="00690A00" w:rsidRDefault="00BC17F5" w:rsidP="007B68D3">
            <w:pPr>
              <w:pStyle w:val="NormalTNR"/>
              <w:spacing w:after="0"/>
              <w:rPr>
                <w:lang w:eastAsia="ja-JP"/>
              </w:rPr>
            </w:pPr>
            <w:r>
              <w:rPr>
                <w:lang w:eastAsia="ja-JP"/>
              </w:rPr>
              <w:t>29.05</w:t>
            </w:r>
          </w:p>
        </w:tc>
        <w:tc>
          <w:tcPr>
            <w:tcW w:w="1860" w:type="dxa"/>
            <w:shd w:val="clear" w:color="auto" w:fill="auto"/>
            <w:vAlign w:val="center"/>
          </w:tcPr>
          <w:p w:rsidR="006C3986" w:rsidRPr="00690A00" w:rsidRDefault="005B1CF2" w:rsidP="007B68D3">
            <w:pPr>
              <w:pStyle w:val="NormalTNR"/>
              <w:spacing w:after="0"/>
              <w:rPr>
                <w:lang w:eastAsia="ja-JP"/>
              </w:rPr>
            </w:pPr>
            <w:r>
              <w:rPr>
                <w:lang w:eastAsia="ja-JP"/>
              </w:rPr>
              <w:t>11,859.41</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29563C" w:rsidP="007B68D3">
            <w:pPr>
              <w:pStyle w:val="NormalTNR"/>
              <w:spacing w:after="0"/>
              <w:rPr>
                <w:b/>
                <w:lang w:eastAsia="ja-JP"/>
              </w:rPr>
            </w:pPr>
            <w:r>
              <w:rPr>
                <w:b/>
                <w:lang w:eastAsia="ja-JP"/>
              </w:rPr>
              <w:t>6,355</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00045C" w:rsidP="007B68D3">
            <w:pPr>
              <w:pStyle w:val="NormalTNR"/>
              <w:spacing w:after="0"/>
              <w:rPr>
                <w:b/>
                <w:lang w:eastAsia="ja-JP"/>
              </w:rPr>
            </w:pPr>
            <w:r>
              <w:rPr>
                <w:b/>
                <w:lang w:eastAsia="ja-JP"/>
              </w:rPr>
              <w:t xml:space="preserve"> </w:t>
            </w:r>
            <w:r w:rsidR="00BC17F5">
              <w:rPr>
                <w:b/>
                <w:lang w:eastAsia="ja-JP"/>
              </w:rPr>
              <w:t>179,062.25</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00045C" w:rsidRPr="002D4D17"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2D4D17"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2D4D17"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2D4D17"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2D4D17"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2D4D17"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00045C" w:rsidRDefault="0000045C" w:rsidP="00A61E27">
      <w:pPr>
        <w:pStyle w:val="Heading3"/>
        <w:spacing w:before="360" w:after="240"/>
        <w:rPr>
          <w:rFonts w:ascii="Times New Roman" w:hAnsi="Times New Roman" w:cs="Times New Roman"/>
          <w:b/>
          <w:color w:val="auto"/>
        </w:rPr>
      </w:pPr>
    </w:p>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00045C" w:rsidRPr="002D4D17" w:rsidRDefault="00487669" w:rsidP="00BC0516">
            <w:pPr>
              <w:rPr>
                <w:rFonts w:ascii="Times New Roman" w:eastAsia="Times New Roman" w:hAnsi="Times New Roman"/>
                <w:b/>
                <w:color w:val="005E20"/>
                <w:szCs w:val="16"/>
                <w:lang w:eastAsia="ja-JP"/>
              </w:rPr>
            </w:pPr>
            <w:r>
              <w:rPr>
                <w:noProof/>
              </w:rPr>
              <w:drawing>
                <wp:inline distT="0" distB="0" distL="0" distR="0">
                  <wp:extent cx="190500" cy="190500"/>
                  <wp:effectExtent l="0" t="0" r="0" b="0"/>
                  <wp:docPr id="8" name="Picture 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notes no find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2D4D17"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bookmarkStart w:id="0" w:name="_GoBack"/>
            <w:bookmarkEnd w:id="0"/>
          </w:p>
        </w:tc>
        <w:tc>
          <w:tcPr>
            <w:tcW w:w="4669" w:type="dxa"/>
            <w:vAlign w:val="center"/>
          </w:tcPr>
          <w:p w:rsidR="006475A6" w:rsidRPr="002D4D17"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2D4D17"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1.6pt;height:21.6pt;visibility:visible;mso-wrap-style:square" o:bullet="t">
        <v:imagedata r:id="rId1" o:title=""/>
      </v:shape>
    </w:pict>
  </w:numPicBullet>
  <w:numPicBullet w:numPicBulletId="1">
    <w:pict>
      <v:shape id="_x0000_i1041" type="#_x0000_t75" alt="Denotes no findings" style="width:15.2pt;height:15.2pt;visibility:visible;mso-wrap-style:square" o:bullet="t">
        <v:imagedata r:id="rId2" o:title="Denotes no findings"/>
      </v:shape>
    </w:pict>
  </w:numPicBullet>
  <w:numPicBullet w:numPicBulletId="2">
    <w:pict>
      <v:shape id="_x0000_i1042" type="#_x0000_t75" alt="Denotes findings identified" style="width:21.6pt;height:21.6pt;visibility:visible;mso-wrap-style:square" o:bullet="t">
        <v:imagedata r:id="rId3" o:title="Denotes findings identified"/>
      </v:shape>
    </w:pict>
  </w:numPicBullet>
  <w:numPicBullet w:numPicBulletId="3">
    <w:pict>
      <v:shape id="_x0000_i1043" type="#_x0000_t75" style="width:16pt;height:16pt;visibility:visible;mso-wrap-style:square" o:bullet="t">
        <v:imagedata r:id="rId4" o:title=""/>
      </v:shape>
    </w:pict>
  </w:numPicBullet>
  <w:numPicBullet w:numPicBulletId="4">
    <w:pict>
      <v:shape id="_x0000_i1044" type="#_x0000_t75" style="width:15.2pt;height:15.2pt;visibility:visible;mso-wrap-style:square" o:bullet="t">
        <v:imagedata r:id="rId5" o:title=""/>
      </v:shape>
    </w:pict>
  </w:numPicBullet>
  <w:numPicBullet w:numPicBulletId="5">
    <w:pict>
      <v:shape id="_x0000_i1045" type="#_x0000_t75" alt="Denotes no findings" style="width:15.2pt;height:15.2pt;visibility:visible;mso-wrap-style:square" o:bullet="t">
        <v:imagedata r:id="rId6" o:title="Denotes no findings"/>
      </v:shape>
    </w:pict>
  </w:numPicBullet>
  <w:numPicBullet w:numPicBulletId="6">
    <w:pict>
      <v:shape id="_x0000_i1046"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0045C"/>
    <w:rsid w:val="0001169B"/>
    <w:rsid w:val="00097AFF"/>
    <w:rsid w:val="000B155A"/>
    <w:rsid w:val="000C309B"/>
    <w:rsid w:val="000C4495"/>
    <w:rsid w:val="00157DA5"/>
    <w:rsid w:val="001B0603"/>
    <w:rsid w:val="001F75BE"/>
    <w:rsid w:val="002032A0"/>
    <w:rsid w:val="00217886"/>
    <w:rsid w:val="00260CA2"/>
    <w:rsid w:val="00265D36"/>
    <w:rsid w:val="00274A66"/>
    <w:rsid w:val="0029563C"/>
    <w:rsid w:val="002D2FED"/>
    <w:rsid w:val="002D4167"/>
    <w:rsid w:val="002D4D17"/>
    <w:rsid w:val="0031611E"/>
    <w:rsid w:val="0032739D"/>
    <w:rsid w:val="003507AB"/>
    <w:rsid w:val="003C5AEE"/>
    <w:rsid w:val="00464DF8"/>
    <w:rsid w:val="00487669"/>
    <w:rsid w:val="004A5012"/>
    <w:rsid w:val="004C04E4"/>
    <w:rsid w:val="004C18F7"/>
    <w:rsid w:val="004D45AD"/>
    <w:rsid w:val="004E02BB"/>
    <w:rsid w:val="00527106"/>
    <w:rsid w:val="00576EFE"/>
    <w:rsid w:val="00593DA0"/>
    <w:rsid w:val="005B1CF2"/>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0869"/>
    <w:rsid w:val="00994F2F"/>
    <w:rsid w:val="00997295"/>
    <w:rsid w:val="009A1995"/>
    <w:rsid w:val="00A011BB"/>
    <w:rsid w:val="00A03102"/>
    <w:rsid w:val="00A22EC3"/>
    <w:rsid w:val="00A51528"/>
    <w:rsid w:val="00A61E27"/>
    <w:rsid w:val="00A72169"/>
    <w:rsid w:val="00A7393F"/>
    <w:rsid w:val="00AA5A0C"/>
    <w:rsid w:val="00AC433F"/>
    <w:rsid w:val="00B130AE"/>
    <w:rsid w:val="00B21F4A"/>
    <w:rsid w:val="00B2489A"/>
    <w:rsid w:val="00B34186"/>
    <w:rsid w:val="00B37355"/>
    <w:rsid w:val="00B62C03"/>
    <w:rsid w:val="00BC0516"/>
    <w:rsid w:val="00BC17F5"/>
    <w:rsid w:val="00C450BF"/>
    <w:rsid w:val="00C55670"/>
    <w:rsid w:val="00C75889"/>
    <w:rsid w:val="00CB5F30"/>
    <w:rsid w:val="00CC5420"/>
    <w:rsid w:val="00D8766D"/>
    <w:rsid w:val="00DA00C7"/>
    <w:rsid w:val="00DB68F3"/>
    <w:rsid w:val="00DD07D9"/>
    <w:rsid w:val="00DE1159"/>
    <w:rsid w:val="00DF70F6"/>
    <w:rsid w:val="00E63DC5"/>
    <w:rsid w:val="00E71C1B"/>
    <w:rsid w:val="00E73729"/>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4565F-28A2-4100-89E9-2975C995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936C-CFF6-1942-A04D-4108041F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1669</Characters>
  <Application>Microsoft Office Word</Application>
  <DocSecurity>0</DocSecurity>
  <Lines>116</Lines>
  <Paragraphs>85</Paragraphs>
  <ScaleCrop>false</ScaleCrop>
  <HeadingPairs>
    <vt:vector size="2" baseType="variant">
      <vt:variant>
        <vt:lpstr>Title</vt:lpstr>
      </vt:variant>
      <vt:variant>
        <vt:i4>1</vt:i4>
      </vt:variant>
    </vt:vector>
  </HeadingPairs>
  <TitlesOfParts>
    <vt:vector size="1" baseType="lpstr">
      <vt:lpstr>prince-george-fpar-summary-2018</vt:lpstr>
    </vt:vector>
  </TitlesOfParts>
  <Manager/>
  <Company>Virginia IT Infrastructure Partnership</Company>
  <LinksUpToDate>false</LinksUpToDate>
  <CharactersWithSpaces>1888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prince-george-fpar-summary-2019</dc:title>
  <dc:subject/>
  <dc:creator>DOE - NUTRITION (DOE)</dc:creator>
  <cp:keywords/>
  <dc:description/>
  <cp:lastModifiedBy>Kelly Bowman</cp:lastModifiedBy>
  <cp:revision>3</cp:revision>
  <cp:lastPrinted>2018-03-27T12:01:00Z</cp:lastPrinted>
  <dcterms:created xsi:type="dcterms:W3CDTF">2019-07-19T17:22:00Z</dcterms:created>
  <dcterms:modified xsi:type="dcterms:W3CDTF">2019-07-19T18:01:00Z</dcterms:modified>
  <cp:category/>
</cp:coreProperties>
</file>