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14:paraId="0D282238" w14:textId="77777777" w:rsidTr="009B7A05">
        <w:trPr>
          <w:trHeight w:val="144"/>
          <w:tblHeader/>
        </w:trPr>
        <w:tc>
          <w:tcPr>
            <w:tcW w:w="8125" w:type="dxa"/>
            <w:tcMar>
              <w:left w:w="115" w:type="dxa"/>
              <w:right w:w="115" w:type="dxa"/>
            </w:tcMar>
            <w:vAlign w:val="center"/>
          </w:tcPr>
          <w:p w14:paraId="1687A29E"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6C76439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100AE60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ADC53E1" wp14:editId="518AD187">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57B5793C" w14:textId="25BBBDB4"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805840">
        <w:rPr>
          <w:rFonts w:cs="Times New Roman"/>
          <w:szCs w:val="24"/>
        </w:rPr>
        <w:tab/>
        <w:t>J</w:t>
      </w:r>
    </w:p>
    <w:p w14:paraId="67F8EA28" w14:textId="77777777" w:rsidR="0020239B" w:rsidRPr="007503E8" w:rsidRDefault="0020239B" w:rsidP="007503E8">
      <w:pPr>
        <w:spacing w:after="0"/>
        <w:rPr>
          <w:rFonts w:cs="Times New Roman"/>
          <w:b/>
          <w:szCs w:val="24"/>
        </w:rPr>
      </w:pPr>
    </w:p>
    <w:p w14:paraId="533BE7EE" w14:textId="0DFCFC09" w:rsidR="00A972CE" w:rsidRPr="007503E8" w:rsidRDefault="00A972CE" w:rsidP="007503E8">
      <w:pPr>
        <w:pStyle w:val="Heading2"/>
        <w:spacing w:before="0" w:after="0"/>
      </w:pPr>
      <w:r w:rsidRPr="007503E8">
        <w:t>Date:</w:t>
      </w:r>
      <w:r w:rsidR="007503E8" w:rsidRPr="007503E8">
        <w:tab/>
      </w:r>
      <w:r w:rsidR="00185ADD">
        <w:tab/>
      </w:r>
      <w:r w:rsidR="00185ADD">
        <w:tab/>
      </w:r>
      <w:r w:rsidR="00EF0A7F">
        <w:t>September 19</w:t>
      </w:r>
      <w:r w:rsidR="00400151">
        <w:t>, 2019</w:t>
      </w:r>
    </w:p>
    <w:p w14:paraId="3C3D88C7" w14:textId="77777777" w:rsidR="0020239B" w:rsidRPr="007503E8" w:rsidRDefault="0020239B" w:rsidP="007503E8">
      <w:pPr>
        <w:spacing w:after="0"/>
        <w:rPr>
          <w:rFonts w:cs="Times New Roman"/>
          <w:b/>
          <w:szCs w:val="24"/>
        </w:rPr>
      </w:pPr>
    </w:p>
    <w:p w14:paraId="7E346C27" w14:textId="1D8DFD24" w:rsidR="0020239B" w:rsidRDefault="00D7302C" w:rsidP="00622217">
      <w:pPr>
        <w:pStyle w:val="Heading3"/>
        <w:tabs>
          <w:tab w:val="left" w:pos="2160"/>
        </w:tabs>
        <w:spacing w:before="0"/>
        <w:ind w:left="2160" w:hanging="2160"/>
      </w:pPr>
      <w:r>
        <w:rPr>
          <w:rFonts w:cs="Times New Roman"/>
          <w:szCs w:val="24"/>
        </w:rPr>
        <w:t>Title:</w:t>
      </w:r>
      <w:r>
        <w:rPr>
          <w:rFonts w:cs="Times New Roman"/>
          <w:szCs w:val="24"/>
        </w:rPr>
        <w:tab/>
      </w:r>
      <w:r w:rsidR="005B087E" w:rsidRPr="005B087E">
        <w:t xml:space="preserve">First Review of </w:t>
      </w:r>
      <w:r w:rsidR="00400151">
        <w:t>a Proposal to Adopt Special</w:t>
      </w:r>
      <w:r w:rsidR="00A42685">
        <w:t xml:space="preserve"> Provisions Related the Use of </w:t>
      </w:r>
      <w:r w:rsidR="00400151">
        <w:t>School Quality Indicator</w:t>
      </w:r>
      <w:r w:rsidR="00A42685">
        <w:t>s</w:t>
      </w:r>
    </w:p>
    <w:p w14:paraId="1F6F70BD" w14:textId="77777777" w:rsidR="00622217" w:rsidRPr="00622217" w:rsidRDefault="00622217" w:rsidP="00622217">
      <w:pPr>
        <w:spacing w:after="0"/>
      </w:pPr>
    </w:p>
    <w:p w14:paraId="3C26150C" w14:textId="791A54D8" w:rsidR="007503E8" w:rsidRPr="007503E8" w:rsidRDefault="00A972CE" w:rsidP="00185ADD">
      <w:pPr>
        <w:pStyle w:val="Heading4"/>
        <w:spacing w:before="0"/>
        <w:ind w:left="2160" w:hanging="2160"/>
        <w:rPr>
          <w:rFonts w:cs="Times New Roman"/>
          <w:szCs w:val="24"/>
        </w:rPr>
      </w:pPr>
      <w:r w:rsidRPr="007503E8">
        <w:rPr>
          <w:rFonts w:cs="Times New Roman"/>
          <w:szCs w:val="24"/>
        </w:rPr>
        <w:t xml:space="preserve">Presenter: </w:t>
      </w:r>
      <w:r w:rsidR="00185ADD">
        <w:rPr>
          <w:rFonts w:cs="Times New Roman"/>
          <w:szCs w:val="24"/>
        </w:rPr>
        <w:tab/>
        <w:t>Mrs. Shelley Loving-R</w:t>
      </w:r>
      <w:r w:rsidR="005B087E">
        <w:rPr>
          <w:rFonts w:cs="Times New Roman"/>
          <w:szCs w:val="24"/>
        </w:rPr>
        <w:t xml:space="preserve">yder, Assistant Superintendent for </w:t>
      </w:r>
      <w:r w:rsidR="00185ADD">
        <w:rPr>
          <w:rFonts w:cs="Times New Roman"/>
          <w:szCs w:val="24"/>
        </w:rPr>
        <w:t>Student Assessment</w:t>
      </w:r>
      <w:r w:rsidR="00A75C80">
        <w:rPr>
          <w:rFonts w:cs="Times New Roman"/>
          <w:szCs w:val="24"/>
        </w:rPr>
        <w:t>, Accountability</w:t>
      </w:r>
      <w:r w:rsidR="001B62B7">
        <w:rPr>
          <w:rFonts w:cs="Times New Roman"/>
          <w:szCs w:val="24"/>
        </w:rPr>
        <w:t>,</w:t>
      </w:r>
      <w:r w:rsidR="00185ADD">
        <w:rPr>
          <w:rFonts w:cs="Times New Roman"/>
          <w:szCs w:val="24"/>
        </w:rPr>
        <w:t xml:space="preserve"> and </w:t>
      </w:r>
      <w:r w:rsidR="005B087E">
        <w:rPr>
          <w:rFonts w:cs="Times New Roman"/>
          <w:szCs w:val="24"/>
        </w:rPr>
        <w:t>ESEA Programs</w:t>
      </w:r>
    </w:p>
    <w:p w14:paraId="1444FF5B" w14:textId="77777777" w:rsidR="00805840" w:rsidRDefault="00805840" w:rsidP="00805840">
      <w:pPr>
        <w:pStyle w:val="Heading5"/>
        <w:spacing w:before="0"/>
      </w:pPr>
    </w:p>
    <w:p w14:paraId="1C023106" w14:textId="2E6967B3" w:rsidR="00A972CE" w:rsidRPr="00622217" w:rsidRDefault="00A972CE" w:rsidP="00805840">
      <w:pPr>
        <w:pStyle w:val="Heading5"/>
        <w:spacing w:before="0"/>
      </w:pPr>
      <w:r w:rsidRPr="00622217">
        <w:t>Email:</w:t>
      </w:r>
      <w:r w:rsidR="00AC0C95" w:rsidRPr="00622217">
        <w:tab/>
      </w:r>
      <w:r w:rsidR="0094605A" w:rsidRPr="00622217">
        <w:tab/>
      </w:r>
      <w:r w:rsidR="00F77BDE" w:rsidRPr="00622217">
        <w:tab/>
      </w:r>
      <w:r w:rsidR="00185ADD" w:rsidRPr="00622217">
        <w:t>Shelley.Loving-Ryder@doe.virginia.gov</w:t>
      </w:r>
      <w:r w:rsidR="00185ADD" w:rsidRPr="00622217">
        <w:tab/>
      </w:r>
      <w:r w:rsidR="00892D0F" w:rsidRPr="00622217">
        <w:t xml:space="preserve">Phone: </w:t>
      </w:r>
      <w:r w:rsidR="00185ADD" w:rsidRPr="00622217">
        <w:t>(804) 225-2102</w:t>
      </w:r>
    </w:p>
    <w:p w14:paraId="1B1F677B" w14:textId="77777777" w:rsidR="00A972CE" w:rsidRPr="007503E8" w:rsidRDefault="00A972CE" w:rsidP="0094605A">
      <w:pPr>
        <w:spacing w:after="0"/>
      </w:pPr>
    </w:p>
    <w:p w14:paraId="1ED1AB48" w14:textId="77777777" w:rsidR="00A972CE" w:rsidRPr="007503E8" w:rsidRDefault="00A972CE" w:rsidP="00622217">
      <w:pPr>
        <w:pStyle w:val="Heading6"/>
      </w:pPr>
      <w:r w:rsidRPr="007503E8">
        <w:t xml:space="preserve">Purpose of Presentation: </w:t>
      </w:r>
    </w:p>
    <w:p w14:paraId="6CA4BB93" w14:textId="77777777" w:rsidR="00A972CE" w:rsidRPr="007503E8" w:rsidRDefault="00717DB8" w:rsidP="00805840">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64816">
            <w:t>Action required by state or federal law or regulation.</w:t>
          </w:r>
        </w:sdtContent>
      </w:sdt>
    </w:p>
    <w:p w14:paraId="63E7B0D4" w14:textId="77777777" w:rsidR="00805840" w:rsidRDefault="00805840" w:rsidP="00622217">
      <w:pPr>
        <w:pStyle w:val="Heading7"/>
      </w:pPr>
    </w:p>
    <w:p w14:paraId="06BCEF1E" w14:textId="2D1DC31A" w:rsidR="0094605A" w:rsidRDefault="00A972CE" w:rsidP="00622217">
      <w:pPr>
        <w:pStyle w:val="Heading7"/>
      </w:pPr>
      <w:r w:rsidRPr="0094605A">
        <w:t xml:space="preserve">Executive Summary: </w:t>
      </w:r>
      <w:r w:rsidR="00BA7FAF">
        <w:t xml:space="preserve"> </w:t>
      </w:r>
    </w:p>
    <w:p w14:paraId="09476AB2" w14:textId="7483D268" w:rsidR="00337B89" w:rsidRPr="009357AF" w:rsidRDefault="00787BCB" w:rsidP="00805840">
      <w:pPr>
        <w:spacing w:after="0" w:line="324" w:lineRule="atLeast"/>
        <w:ind w:right="120"/>
        <w:textAlignment w:val="baseline"/>
        <w:rPr>
          <w:rFonts w:eastAsia="Times New Roman" w:cs="Times New Roman"/>
          <w:szCs w:val="24"/>
        </w:rPr>
      </w:pPr>
      <w:r w:rsidRPr="00092FE4">
        <w:t xml:space="preserve">Under the 2017 revision to the </w:t>
      </w:r>
      <w:r w:rsidRPr="00092FE4">
        <w:rPr>
          <w:i/>
        </w:rPr>
        <w:t>Regulations Establishing Standards for Accrediting Public Schools in Virginia,</w:t>
      </w:r>
      <w:r w:rsidR="00092FE4" w:rsidRPr="00092FE4">
        <w:t xml:space="preserve"> the accreditation rating</w:t>
      </w:r>
      <w:r w:rsidR="00987E79">
        <w:t>s</w:t>
      </w:r>
      <w:r w:rsidR="00092FE4" w:rsidRPr="00092FE4">
        <w:t xml:space="preserve"> for schools</w:t>
      </w:r>
      <w:r w:rsidR="00987E79">
        <w:t xml:space="preserve"> are</w:t>
      </w:r>
      <w:r w:rsidR="00092FE4" w:rsidRPr="00092FE4">
        <w:t xml:space="preserve"> based on the</w:t>
      </w:r>
      <w:r w:rsidR="00A42685">
        <w:t xml:space="preserve"> performance</w:t>
      </w:r>
      <w:r w:rsidR="00092FE4">
        <w:t xml:space="preserve"> levels </w:t>
      </w:r>
      <w:r w:rsidR="00092FE4" w:rsidRPr="009357AF">
        <w:rPr>
          <w:rFonts w:cs="Times New Roman"/>
          <w:szCs w:val="24"/>
        </w:rPr>
        <w:t>the school earns on various school quality indicators.  A s</w:t>
      </w:r>
      <w:r w:rsidR="00092FE4" w:rsidRPr="009357AF">
        <w:rPr>
          <w:rFonts w:eastAsia="Times New Roman" w:cs="Times New Roman"/>
          <w:szCs w:val="24"/>
        </w:rPr>
        <w:t xml:space="preserve">chool’s </w:t>
      </w:r>
      <w:r w:rsidR="007F719B" w:rsidRPr="009357AF">
        <w:rPr>
          <w:rFonts w:eastAsia="Times New Roman" w:cs="Times New Roman"/>
          <w:szCs w:val="24"/>
        </w:rPr>
        <w:t xml:space="preserve">performance </w:t>
      </w:r>
      <w:r w:rsidR="00092FE4" w:rsidRPr="009357AF">
        <w:rPr>
          <w:rFonts w:eastAsia="Times New Roman" w:cs="Times New Roman"/>
          <w:szCs w:val="24"/>
        </w:rPr>
        <w:t xml:space="preserve">level </w:t>
      </w:r>
      <w:r w:rsidR="00580A0D" w:rsidRPr="009357AF">
        <w:rPr>
          <w:rFonts w:eastAsia="Times New Roman" w:cs="Times New Roman"/>
          <w:szCs w:val="24"/>
        </w:rPr>
        <w:t>on a particular indicator</w:t>
      </w:r>
      <w:r w:rsidRPr="009357AF">
        <w:rPr>
          <w:rFonts w:eastAsia="Times New Roman" w:cs="Times New Roman"/>
          <w:szCs w:val="24"/>
        </w:rPr>
        <w:t xml:space="preserve"> may</w:t>
      </w:r>
      <w:r w:rsidR="00580A0D" w:rsidRPr="009357AF">
        <w:rPr>
          <w:rFonts w:eastAsia="Times New Roman" w:cs="Times New Roman"/>
          <w:szCs w:val="24"/>
        </w:rPr>
        <w:t xml:space="preserve"> be </w:t>
      </w:r>
      <w:r w:rsidR="007F719B" w:rsidRPr="009357AF">
        <w:rPr>
          <w:rFonts w:eastAsia="Times New Roman" w:cs="Times New Roman"/>
          <w:szCs w:val="24"/>
        </w:rPr>
        <w:t xml:space="preserve">raised based on improvements to the </w:t>
      </w:r>
      <w:r w:rsidR="00580A0D" w:rsidRPr="009357AF">
        <w:rPr>
          <w:rFonts w:eastAsia="Times New Roman" w:cs="Times New Roman"/>
          <w:szCs w:val="24"/>
        </w:rPr>
        <w:t>indicator</w:t>
      </w:r>
      <w:r w:rsidR="007F719B" w:rsidRPr="009357AF">
        <w:rPr>
          <w:rFonts w:eastAsia="Times New Roman" w:cs="Times New Roman"/>
          <w:szCs w:val="24"/>
        </w:rPr>
        <w:t>’s rate</w:t>
      </w:r>
      <w:r w:rsidR="00580A0D" w:rsidRPr="009357AF">
        <w:rPr>
          <w:rFonts w:eastAsia="Times New Roman" w:cs="Times New Roman"/>
          <w:szCs w:val="24"/>
        </w:rPr>
        <w:t xml:space="preserve"> from the previous year</w:t>
      </w:r>
      <w:r w:rsidR="00043796" w:rsidRPr="009357AF">
        <w:rPr>
          <w:rFonts w:eastAsia="Times New Roman" w:cs="Times New Roman"/>
          <w:szCs w:val="24"/>
        </w:rPr>
        <w:t xml:space="preserve">.  </w:t>
      </w:r>
      <w:r w:rsidRPr="009357AF">
        <w:rPr>
          <w:rFonts w:eastAsia="Times New Roman" w:cs="Times New Roman"/>
          <w:szCs w:val="24"/>
        </w:rPr>
        <w:t>Specifically</w:t>
      </w:r>
      <w:r w:rsidR="007F719B" w:rsidRPr="009357AF">
        <w:rPr>
          <w:rFonts w:eastAsia="Times New Roman" w:cs="Times New Roman"/>
          <w:szCs w:val="24"/>
        </w:rPr>
        <w:t>, indicators</w:t>
      </w:r>
      <w:r w:rsidR="004752AD" w:rsidRPr="009357AF">
        <w:rPr>
          <w:rFonts w:eastAsia="Times New Roman" w:cs="Times New Roman"/>
          <w:szCs w:val="24"/>
        </w:rPr>
        <w:t xml:space="preserve"> </w:t>
      </w:r>
      <w:r w:rsidR="007F719B" w:rsidRPr="009357AF">
        <w:rPr>
          <w:rFonts w:eastAsia="Times New Roman" w:cs="Times New Roman"/>
          <w:szCs w:val="24"/>
        </w:rPr>
        <w:t xml:space="preserve">evaluated as Level Three based on current data </w:t>
      </w:r>
      <w:r w:rsidR="005E0983" w:rsidRPr="009357AF">
        <w:rPr>
          <w:rFonts w:eastAsia="Times New Roman" w:cs="Times New Roman"/>
          <w:szCs w:val="24"/>
        </w:rPr>
        <w:t xml:space="preserve">can move to </w:t>
      </w:r>
      <w:r w:rsidR="00043796" w:rsidRPr="009357AF">
        <w:rPr>
          <w:rFonts w:eastAsia="Times New Roman" w:cs="Times New Roman"/>
          <w:szCs w:val="24"/>
        </w:rPr>
        <w:t>Level Two</w:t>
      </w:r>
      <w:r w:rsidR="004752AD" w:rsidRPr="009357AF">
        <w:rPr>
          <w:rFonts w:eastAsia="Times New Roman" w:cs="Times New Roman"/>
          <w:szCs w:val="24"/>
        </w:rPr>
        <w:t xml:space="preserve"> </w:t>
      </w:r>
      <w:r w:rsidR="00A42685" w:rsidRPr="009357AF">
        <w:rPr>
          <w:rFonts w:eastAsia="Times New Roman" w:cs="Times New Roman"/>
          <w:szCs w:val="24"/>
        </w:rPr>
        <w:t>under the following conditions</w:t>
      </w:r>
      <w:r w:rsidR="004752AD" w:rsidRPr="009357AF">
        <w:rPr>
          <w:rFonts w:eastAsia="Times New Roman" w:cs="Times New Roman"/>
          <w:szCs w:val="24"/>
        </w:rPr>
        <w:t>:</w:t>
      </w:r>
    </w:p>
    <w:p w14:paraId="3BF14A01" w14:textId="2DD5B4D0" w:rsidR="00BB4306" w:rsidRPr="009357AF" w:rsidRDefault="00A42685" w:rsidP="00337B89">
      <w:pPr>
        <w:pStyle w:val="ListParagraph"/>
        <w:numPr>
          <w:ilvl w:val="0"/>
          <w:numId w:val="9"/>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w:t>
      </w:r>
      <w:r w:rsidR="00043796" w:rsidRPr="009357AF">
        <w:rPr>
          <w:rFonts w:eastAsia="Times New Roman" w:cs="Times New Roman"/>
          <w:szCs w:val="24"/>
        </w:rPr>
        <w:t xml:space="preserve">n the academic indicators if the </w:t>
      </w:r>
      <w:r w:rsidR="007F719B" w:rsidRPr="009357AF">
        <w:rPr>
          <w:rFonts w:eastAsia="Times New Roman" w:cs="Times New Roman"/>
          <w:szCs w:val="24"/>
        </w:rPr>
        <w:t xml:space="preserve">current </w:t>
      </w:r>
      <w:r w:rsidR="00043796" w:rsidRPr="009357AF">
        <w:rPr>
          <w:rFonts w:eastAsia="Times New Roman" w:cs="Times New Roman"/>
          <w:szCs w:val="24"/>
        </w:rPr>
        <w:t xml:space="preserve">year’s </w:t>
      </w:r>
      <w:r w:rsidR="007F719B" w:rsidRPr="009357AF">
        <w:rPr>
          <w:rFonts w:eastAsia="Times New Roman" w:cs="Times New Roman"/>
          <w:szCs w:val="24"/>
        </w:rPr>
        <w:t xml:space="preserve">combined rate in English and mathematics or </w:t>
      </w:r>
      <w:r w:rsidR="00043796" w:rsidRPr="009357AF">
        <w:rPr>
          <w:rFonts w:eastAsia="Times New Roman" w:cs="Times New Roman"/>
          <w:szCs w:val="24"/>
        </w:rPr>
        <w:t xml:space="preserve">pass rate </w:t>
      </w:r>
      <w:r w:rsidR="007F719B" w:rsidRPr="009357AF">
        <w:rPr>
          <w:rFonts w:eastAsia="Times New Roman" w:cs="Times New Roman"/>
          <w:szCs w:val="24"/>
        </w:rPr>
        <w:t xml:space="preserve">in science </w:t>
      </w:r>
      <w:r w:rsidR="00043796" w:rsidRPr="009357AF">
        <w:rPr>
          <w:rFonts w:eastAsia="Times New Roman" w:cs="Times New Roman"/>
          <w:szCs w:val="24"/>
        </w:rPr>
        <w:t xml:space="preserve">was </w:t>
      </w:r>
      <w:r w:rsidR="0076707C" w:rsidRPr="009357AF">
        <w:rPr>
          <w:rFonts w:eastAsia="Times New Roman" w:cs="Times New Roman"/>
          <w:szCs w:val="24"/>
        </w:rPr>
        <w:t>at least 50%</w:t>
      </w:r>
      <w:r w:rsidR="007C3C00" w:rsidRPr="009357AF">
        <w:rPr>
          <w:rFonts w:eastAsia="Times New Roman" w:cs="Times New Roman"/>
          <w:szCs w:val="24"/>
        </w:rPr>
        <w:t xml:space="preserve"> </w:t>
      </w:r>
      <w:r w:rsidR="003172F1" w:rsidRPr="009357AF">
        <w:rPr>
          <w:rFonts w:eastAsia="Times New Roman" w:cs="Times New Roman"/>
          <w:szCs w:val="24"/>
        </w:rPr>
        <w:t xml:space="preserve">and the </w:t>
      </w:r>
      <w:r w:rsidR="00787BCB" w:rsidRPr="009357AF">
        <w:rPr>
          <w:rFonts w:eastAsia="Times New Roman" w:cs="Times New Roman"/>
          <w:szCs w:val="24"/>
        </w:rPr>
        <w:t>failure rate</w:t>
      </w:r>
      <w:r w:rsidR="003172F1" w:rsidRPr="009357AF">
        <w:rPr>
          <w:rFonts w:eastAsia="Times New Roman" w:cs="Times New Roman"/>
          <w:szCs w:val="24"/>
        </w:rPr>
        <w:t xml:space="preserve"> was decreased </w:t>
      </w:r>
      <w:r w:rsidR="00787BCB" w:rsidRPr="009357AF">
        <w:rPr>
          <w:rFonts w:eastAsia="Times New Roman" w:cs="Times New Roman"/>
          <w:szCs w:val="24"/>
        </w:rPr>
        <w:t xml:space="preserve">by </w:t>
      </w:r>
      <w:r w:rsidR="00051481" w:rsidRPr="009357AF">
        <w:rPr>
          <w:rFonts w:eastAsia="Times New Roman" w:cs="Times New Roman"/>
          <w:szCs w:val="24"/>
        </w:rPr>
        <w:t>10%</w:t>
      </w:r>
      <w:r w:rsidR="0039621A" w:rsidRPr="009357AF">
        <w:rPr>
          <w:rFonts w:eastAsia="Times New Roman" w:cs="Times New Roman"/>
          <w:szCs w:val="24"/>
        </w:rPr>
        <w:t xml:space="preserve"> from the previous year</w:t>
      </w:r>
      <w:r w:rsidR="00051481" w:rsidRPr="009357AF">
        <w:rPr>
          <w:rFonts w:eastAsia="Times New Roman" w:cs="Times New Roman"/>
          <w:szCs w:val="24"/>
        </w:rPr>
        <w:t xml:space="preserve">, </w:t>
      </w:r>
      <w:r w:rsidR="003172F1" w:rsidRPr="009357AF">
        <w:rPr>
          <w:rFonts w:eastAsia="Times New Roman" w:cs="Times New Roman"/>
          <w:szCs w:val="24"/>
        </w:rPr>
        <w:t xml:space="preserve"> </w:t>
      </w:r>
    </w:p>
    <w:p w14:paraId="269211F5" w14:textId="098107CA" w:rsidR="00337B89" w:rsidRPr="009357AF" w:rsidRDefault="00A42685" w:rsidP="00337B89">
      <w:pPr>
        <w:pStyle w:val="ListParagraph"/>
        <w:numPr>
          <w:ilvl w:val="0"/>
          <w:numId w:val="9"/>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w:t>
      </w:r>
      <w:r w:rsidR="003172F1" w:rsidRPr="009357AF">
        <w:rPr>
          <w:rFonts w:eastAsia="Times New Roman" w:cs="Times New Roman"/>
          <w:szCs w:val="24"/>
        </w:rPr>
        <w:t>n the chronic absenteeism</w:t>
      </w:r>
      <w:r w:rsidR="0017504D" w:rsidRPr="009357AF">
        <w:rPr>
          <w:rFonts w:eastAsia="Times New Roman" w:cs="Times New Roman"/>
          <w:szCs w:val="24"/>
        </w:rPr>
        <w:t xml:space="preserve"> indicator if the chronic absenteeism rate was decreased by 10%</w:t>
      </w:r>
      <w:r w:rsidR="0039621A" w:rsidRPr="009357AF">
        <w:rPr>
          <w:rFonts w:eastAsia="Times New Roman" w:cs="Times New Roman"/>
          <w:szCs w:val="24"/>
        </w:rPr>
        <w:t xml:space="preserve"> from the previous year</w:t>
      </w:r>
      <w:r w:rsidR="0017504D" w:rsidRPr="009357AF">
        <w:rPr>
          <w:rFonts w:eastAsia="Times New Roman" w:cs="Times New Roman"/>
          <w:szCs w:val="24"/>
        </w:rPr>
        <w:t>,</w:t>
      </w:r>
    </w:p>
    <w:p w14:paraId="0526D3C6" w14:textId="7A86546B" w:rsidR="00BB4306" w:rsidRPr="009357AF" w:rsidRDefault="00A42685" w:rsidP="00337B89">
      <w:pPr>
        <w:pStyle w:val="ListParagraph"/>
        <w:numPr>
          <w:ilvl w:val="0"/>
          <w:numId w:val="9"/>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w:t>
      </w:r>
      <w:r w:rsidR="00051481" w:rsidRPr="009357AF">
        <w:rPr>
          <w:rFonts w:eastAsia="Times New Roman" w:cs="Times New Roman"/>
          <w:szCs w:val="24"/>
        </w:rPr>
        <w:t xml:space="preserve">n the </w:t>
      </w:r>
      <w:r w:rsidR="005E0983" w:rsidRPr="009357AF">
        <w:rPr>
          <w:rFonts w:eastAsia="Times New Roman" w:cs="Times New Roman"/>
          <w:szCs w:val="24"/>
        </w:rPr>
        <w:t>dropout</w:t>
      </w:r>
      <w:r w:rsidR="003172F1" w:rsidRPr="009357AF">
        <w:rPr>
          <w:rFonts w:eastAsia="Times New Roman" w:cs="Times New Roman"/>
          <w:szCs w:val="24"/>
        </w:rPr>
        <w:t xml:space="preserve"> indicator if </w:t>
      </w:r>
      <w:r w:rsidR="005E0983" w:rsidRPr="009357AF">
        <w:rPr>
          <w:rFonts w:eastAsia="Times New Roman" w:cs="Times New Roman"/>
          <w:szCs w:val="24"/>
        </w:rPr>
        <w:t xml:space="preserve">the dropout </w:t>
      </w:r>
      <w:r w:rsidR="00787BCB" w:rsidRPr="009357AF">
        <w:rPr>
          <w:rFonts w:eastAsia="Times New Roman" w:cs="Times New Roman"/>
          <w:szCs w:val="24"/>
        </w:rPr>
        <w:t>rate</w:t>
      </w:r>
      <w:r w:rsidR="003172F1" w:rsidRPr="009357AF">
        <w:rPr>
          <w:rFonts w:eastAsia="Times New Roman" w:cs="Times New Roman"/>
          <w:szCs w:val="24"/>
        </w:rPr>
        <w:t xml:space="preserve"> was decreased by</w:t>
      </w:r>
      <w:r w:rsidR="005E0983" w:rsidRPr="009357AF">
        <w:rPr>
          <w:rFonts w:eastAsia="Times New Roman" w:cs="Times New Roman"/>
          <w:szCs w:val="24"/>
        </w:rPr>
        <w:t xml:space="preserve"> 10%</w:t>
      </w:r>
      <w:r w:rsidR="0039621A" w:rsidRPr="009357AF">
        <w:rPr>
          <w:rFonts w:eastAsia="Times New Roman" w:cs="Times New Roman"/>
          <w:szCs w:val="24"/>
        </w:rPr>
        <w:t xml:space="preserve"> from the previous year</w:t>
      </w:r>
      <w:r w:rsidR="00BB4306" w:rsidRPr="009357AF">
        <w:rPr>
          <w:rFonts w:eastAsia="Times New Roman" w:cs="Times New Roman"/>
          <w:szCs w:val="24"/>
        </w:rPr>
        <w:t xml:space="preserve">, or </w:t>
      </w:r>
    </w:p>
    <w:p w14:paraId="7BFF7EFE" w14:textId="4F038882" w:rsidR="00787BCB" w:rsidRPr="009357AF" w:rsidRDefault="00A42685" w:rsidP="00337B89">
      <w:pPr>
        <w:pStyle w:val="ListParagraph"/>
        <w:numPr>
          <w:ilvl w:val="0"/>
          <w:numId w:val="9"/>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on</w:t>
      </w:r>
      <w:r w:rsidR="005E0983" w:rsidRPr="009357AF">
        <w:rPr>
          <w:rFonts w:eastAsia="Times New Roman" w:cs="Times New Roman"/>
          <w:szCs w:val="24"/>
        </w:rPr>
        <w:t xml:space="preserve"> the Grad</w:t>
      </w:r>
      <w:r w:rsidR="009357AF" w:rsidRPr="009357AF">
        <w:rPr>
          <w:rFonts w:eastAsia="Times New Roman" w:cs="Times New Roman"/>
          <w:szCs w:val="24"/>
        </w:rPr>
        <w:t xml:space="preserve">uation and Completion Index if </w:t>
      </w:r>
      <w:r w:rsidR="0017504D" w:rsidRPr="009357AF">
        <w:rPr>
          <w:rFonts w:eastAsia="Times New Roman" w:cs="Times New Roman"/>
          <w:szCs w:val="24"/>
        </w:rPr>
        <w:t>the index incr</w:t>
      </w:r>
      <w:r w:rsidR="00337B89" w:rsidRPr="009357AF">
        <w:rPr>
          <w:rFonts w:eastAsia="Times New Roman" w:cs="Times New Roman"/>
          <w:szCs w:val="24"/>
        </w:rPr>
        <w:t xml:space="preserve">eased by 2.5% over the previous </w:t>
      </w:r>
      <w:r w:rsidR="0017504D" w:rsidRPr="009357AF">
        <w:rPr>
          <w:rFonts w:eastAsia="Times New Roman" w:cs="Times New Roman"/>
          <w:szCs w:val="24"/>
        </w:rPr>
        <w:t>year.</w:t>
      </w:r>
    </w:p>
    <w:p w14:paraId="33DA0AD6" w14:textId="0CA01EA9" w:rsidR="00337B89" w:rsidRDefault="00787BCB" w:rsidP="002057DA">
      <w:pPr>
        <w:spacing w:before="60" w:after="0" w:line="324" w:lineRule="atLeast"/>
        <w:ind w:right="120"/>
        <w:textAlignment w:val="baseline"/>
        <w:rPr>
          <w:rFonts w:eastAsia="Times New Roman" w:cs="Times New Roman"/>
          <w:szCs w:val="24"/>
        </w:rPr>
      </w:pPr>
      <w:r w:rsidRPr="009357AF">
        <w:rPr>
          <w:rFonts w:eastAsia="Times New Roman" w:cs="Times New Roman"/>
          <w:szCs w:val="24"/>
        </w:rPr>
        <w:t>Ho</w:t>
      </w:r>
      <w:r w:rsidR="009811A8" w:rsidRPr="009357AF">
        <w:rPr>
          <w:rFonts w:eastAsia="Times New Roman" w:cs="Times New Roman"/>
          <w:szCs w:val="24"/>
        </w:rPr>
        <w:t xml:space="preserve">wever, </w:t>
      </w:r>
      <w:r w:rsidRPr="009357AF">
        <w:rPr>
          <w:rFonts w:eastAsia="Times New Roman" w:cs="Times New Roman"/>
          <w:szCs w:val="24"/>
        </w:rPr>
        <w:t xml:space="preserve">schools that were </w:t>
      </w:r>
      <w:r w:rsidR="0039621A" w:rsidRPr="009357AF">
        <w:rPr>
          <w:rFonts w:eastAsia="Times New Roman" w:cs="Times New Roman"/>
          <w:szCs w:val="24"/>
        </w:rPr>
        <w:t xml:space="preserve">determined by </w:t>
      </w:r>
      <w:r w:rsidR="009357AF" w:rsidRPr="009357AF">
        <w:rPr>
          <w:rFonts w:eastAsia="Times New Roman" w:cs="Times New Roman"/>
          <w:szCs w:val="24"/>
        </w:rPr>
        <w:t>the Virginia Department of Education (</w:t>
      </w:r>
      <w:r w:rsidR="0039621A" w:rsidRPr="009357AF">
        <w:rPr>
          <w:rFonts w:eastAsia="Times New Roman" w:cs="Times New Roman"/>
          <w:szCs w:val="24"/>
        </w:rPr>
        <w:t>VDOE</w:t>
      </w:r>
      <w:r w:rsidR="009357AF" w:rsidRPr="009357AF">
        <w:rPr>
          <w:rFonts w:eastAsia="Times New Roman" w:cs="Times New Roman"/>
          <w:szCs w:val="24"/>
        </w:rPr>
        <w:t>)</w:t>
      </w:r>
      <w:r w:rsidR="0039621A" w:rsidRPr="009357AF">
        <w:rPr>
          <w:rFonts w:eastAsia="Times New Roman" w:cs="Times New Roman"/>
          <w:szCs w:val="24"/>
        </w:rPr>
        <w:t xml:space="preserve"> to be </w:t>
      </w:r>
      <w:r w:rsidRPr="009357AF">
        <w:rPr>
          <w:rFonts w:eastAsia="Times New Roman" w:cs="Times New Roman"/>
          <w:szCs w:val="24"/>
        </w:rPr>
        <w:t>new in the 2018-2019 school year have no prior year data and are unable to benefit from</w:t>
      </w:r>
      <w:r w:rsidR="009811A8" w:rsidRPr="009357AF">
        <w:rPr>
          <w:rFonts w:eastAsia="Times New Roman" w:cs="Times New Roman"/>
          <w:szCs w:val="24"/>
        </w:rPr>
        <w:t xml:space="preserve"> </w:t>
      </w:r>
      <w:r w:rsidR="005E0983" w:rsidRPr="009357AF">
        <w:rPr>
          <w:rFonts w:eastAsia="Times New Roman" w:cs="Times New Roman"/>
          <w:szCs w:val="24"/>
        </w:rPr>
        <w:lastRenderedPageBreak/>
        <w:t xml:space="preserve">improvements in the indicators over the previous year. </w:t>
      </w:r>
      <w:r w:rsidR="00051481" w:rsidRPr="009357AF">
        <w:rPr>
          <w:rFonts w:eastAsia="Times New Roman" w:cs="Times New Roman"/>
          <w:szCs w:val="24"/>
        </w:rPr>
        <w:t xml:space="preserve"> </w:t>
      </w:r>
      <w:r w:rsidR="009811A8" w:rsidRPr="009357AF">
        <w:rPr>
          <w:rFonts w:eastAsia="Times New Roman" w:cs="Times New Roman"/>
          <w:szCs w:val="24"/>
        </w:rPr>
        <w:t>Instead</w:t>
      </w:r>
      <w:r w:rsidR="00A42685" w:rsidRPr="009357AF">
        <w:rPr>
          <w:rFonts w:eastAsia="Times New Roman" w:cs="Times New Roman"/>
          <w:szCs w:val="24"/>
        </w:rPr>
        <w:t>,</w:t>
      </w:r>
      <w:r w:rsidR="005E0983" w:rsidRPr="009357AF">
        <w:rPr>
          <w:rFonts w:eastAsia="Times New Roman" w:cs="Times New Roman"/>
          <w:szCs w:val="24"/>
        </w:rPr>
        <w:t xml:space="preserve"> </w:t>
      </w:r>
      <w:r w:rsidR="009811A8" w:rsidRPr="009357AF">
        <w:rPr>
          <w:rFonts w:eastAsia="Times New Roman" w:cs="Times New Roman"/>
          <w:szCs w:val="24"/>
        </w:rPr>
        <w:t xml:space="preserve">their performance on the accreditation </w:t>
      </w:r>
      <w:r w:rsidR="005E0983" w:rsidRPr="009357AF">
        <w:rPr>
          <w:rFonts w:eastAsia="Times New Roman" w:cs="Times New Roman"/>
          <w:szCs w:val="24"/>
        </w:rPr>
        <w:t xml:space="preserve">indicators is </w:t>
      </w:r>
      <w:r w:rsidR="009811A8" w:rsidRPr="009357AF">
        <w:rPr>
          <w:rFonts w:eastAsia="Times New Roman" w:cs="Times New Roman"/>
          <w:szCs w:val="24"/>
        </w:rPr>
        <w:t>based on the current year data only.</w:t>
      </w:r>
    </w:p>
    <w:p w14:paraId="75C5012C" w14:textId="77777777" w:rsidR="009357AF" w:rsidRPr="009357AF" w:rsidRDefault="009357AF" w:rsidP="009357AF">
      <w:pPr>
        <w:spacing w:after="0" w:line="324" w:lineRule="atLeast"/>
        <w:ind w:right="120"/>
        <w:textAlignment w:val="baseline"/>
        <w:rPr>
          <w:rFonts w:eastAsia="Times New Roman" w:cs="Times New Roman"/>
          <w:szCs w:val="24"/>
        </w:rPr>
      </w:pPr>
    </w:p>
    <w:p w14:paraId="46CEB79E" w14:textId="25D50B88" w:rsidR="00A75C80" w:rsidRPr="00337B89" w:rsidRDefault="009811A8" w:rsidP="009357AF">
      <w:pPr>
        <w:spacing w:after="60" w:line="324" w:lineRule="atLeast"/>
        <w:ind w:right="120"/>
        <w:textAlignment w:val="baseline"/>
        <w:rPr>
          <w:rFonts w:ascii="Times" w:eastAsia="Times New Roman" w:hAnsi="Times" w:cs="Times"/>
          <w:color w:val="444444"/>
          <w:sz w:val="22"/>
        </w:rPr>
      </w:pPr>
      <w:r>
        <w:rPr>
          <w:i/>
        </w:rPr>
        <w:t xml:space="preserve">The </w:t>
      </w:r>
      <w:r w:rsidR="00A75C80" w:rsidRPr="00400151">
        <w:rPr>
          <w:i/>
        </w:rPr>
        <w:t xml:space="preserve">Standards for Accrediting Public Schools in Virginia </w:t>
      </w:r>
      <w:r w:rsidR="00A75C80">
        <w:t>at 8VAC20-131-380 F3 provide the Virginia Board of Education with the authority to adopt special provisions related to the use of a school quality indicator in determining the accreditation status of schools.  Specifically, the language states:</w:t>
      </w:r>
    </w:p>
    <w:p w14:paraId="03670AB5" w14:textId="77777777" w:rsidR="00A75C80" w:rsidRPr="00400151" w:rsidRDefault="00A75C80" w:rsidP="009357AF">
      <w:pPr>
        <w:pBdr>
          <w:top w:val="single" w:sz="4" w:space="1" w:color="auto"/>
          <w:left w:val="single" w:sz="4" w:space="0" w:color="auto"/>
          <w:bottom w:val="single" w:sz="4" w:space="1" w:color="auto"/>
          <w:right w:val="single" w:sz="4" w:space="4" w:color="auto"/>
        </w:pBdr>
        <w:spacing w:before="240"/>
      </w:pPr>
      <w:r>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14:paraId="2FA34DA9" w14:textId="0428A972" w:rsidR="00400151" w:rsidRPr="00400151" w:rsidRDefault="009811A8" w:rsidP="00400151">
      <w:r>
        <w:t>The Board will be asked to</w:t>
      </w:r>
      <w:r w:rsidR="00287BBC">
        <w:t xml:space="preserve"> consider the</w:t>
      </w:r>
      <w:r>
        <w:t xml:space="preserve"> adopt</w:t>
      </w:r>
      <w:r w:rsidR="00287BBC">
        <w:t>ion of</w:t>
      </w:r>
      <w:r w:rsidR="00A42685">
        <w:t xml:space="preserve"> </w:t>
      </w:r>
      <w:r>
        <w:t>special provision</w:t>
      </w:r>
      <w:r w:rsidR="00A42685">
        <w:t>s</w:t>
      </w:r>
      <w:r>
        <w:t xml:space="preserve"> related to</w:t>
      </w:r>
      <w:r w:rsidR="00C85EF3">
        <w:t xml:space="preserve"> measurement of school quality indicators for schools that were new in </w:t>
      </w:r>
      <w:r w:rsidR="0017504D">
        <w:t xml:space="preserve">the </w:t>
      </w:r>
      <w:r w:rsidR="00051481">
        <w:t>current</w:t>
      </w:r>
      <w:r w:rsidR="0017504D">
        <w:t xml:space="preserve"> year (2018-2019)</w:t>
      </w:r>
      <w:r w:rsidR="00C85EF3">
        <w:t xml:space="preserve"> and are not able to benefit from</w:t>
      </w:r>
      <w:r w:rsidR="0017504D">
        <w:t xml:space="preserve"> the opportunities for improvement in</w:t>
      </w:r>
      <w:r w:rsidR="00A42685">
        <w:t xml:space="preserve"> the</w:t>
      </w:r>
      <w:r w:rsidR="0017504D">
        <w:t xml:space="preserve"> indicators</w:t>
      </w:r>
      <w:r w:rsidR="00A42685">
        <w:t xml:space="preserve"> </w:t>
      </w:r>
      <w:r w:rsidR="00287BBC">
        <w:t xml:space="preserve">because they have only one year of data.  </w:t>
      </w:r>
    </w:p>
    <w:p w14:paraId="13691E61" w14:textId="6F3AB8D7" w:rsidR="00A972CE" w:rsidRPr="00E00F47" w:rsidRDefault="00A972CE" w:rsidP="00805840">
      <w:pPr>
        <w:pStyle w:val="Heading8"/>
        <w:spacing w:after="0"/>
      </w:pPr>
      <w:r w:rsidRPr="00E00F47">
        <w:t xml:space="preserve">Action Requested:  </w:t>
      </w:r>
    </w:p>
    <w:p w14:paraId="42BF3A3E" w14:textId="44ED6ED6" w:rsidR="00A972CE" w:rsidRPr="007503E8" w:rsidRDefault="00717DB8" w:rsidP="00805840">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B0EF4">
            <w:t>Final review: Action requested at this meeting.</w:t>
          </w:r>
        </w:sdtContent>
      </w:sdt>
    </w:p>
    <w:p w14:paraId="3D2A2F8B" w14:textId="01F1EF29" w:rsidR="009364AE" w:rsidRDefault="00445802" w:rsidP="0094605A">
      <w:pPr>
        <w:pStyle w:val="Heading2"/>
        <w:spacing w:before="0" w:after="0"/>
        <w:rPr>
          <w:b w:val="0"/>
        </w:rPr>
      </w:pPr>
      <w:r>
        <w:rPr>
          <w:b w:val="0"/>
        </w:rPr>
        <w:t xml:space="preserve">The Board is </w:t>
      </w:r>
      <w:r w:rsidR="00805840">
        <w:rPr>
          <w:b w:val="0"/>
        </w:rPr>
        <w:t xml:space="preserve">requested </w:t>
      </w:r>
      <w:r w:rsidR="00400151">
        <w:rPr>
          <w:b w:val="0"/>
        </w:rPr>
        <w:t>to waive first review and</w:t>
      </w:r>
      <w:r w:rsidR="00CF3850">
        <w:rPr>
          <w:b w:val="0"/>
        </w:rPr>
        <w:t xml:space="preserve"> approve</w:t>
      </w:r>
      <w:r>
        <w:rPr>
          <w:b w:val="0"/>
        </w:rPr>
        <w:t xml:space="preserve"> </w:t>
      </w:r>
      <w:r w:rsidR="00CF3850">
        <w:rPr>
          <w:b w:val="0"/>
        </w:rPr>
        <w:t>special provision</w:t>
      </w:r>
      <w:r>
        <w:rPr>
          <w:b w:val="0"/>
        </w:rPr>
        <w:t>s</w:t>
      </w:r>
      <w:r w:rsidR="00874A3B">
        <w:rPr>
          <w:b w:val="0"/>
        </w:rPr>
        <w:t xml:space="preserve"> for schools that were new </w:t>
      </w:r>
      <w:r w:rsidR="00051481">
        <w:rPr>
          <w:b w:val="0"/>
        </w:rPr>
        <w:t xml:space="preserve">during the </w:t>
      </w:r>
      <w:r w:rsidR="004752AD">
        <w:rPr>
          <w:b w:val="0"/>
        </w:rPr>
        <w:t xml:space="preserve">year in which the data used for accreditation were collected </w:t>
      </w:r>
      <w:r w:rsidR="00337B89">
        <w:rPr>
          <w:b w:val="0"/>
        </w:rPr>
        <w:t>and only have one year of data</w:t>
      </w:r>
      <w:r w:rsidR="006B6745">
        <w:rPr>
          <w:b w:val="0"/>
        </w:rPr>
        <w:t xml:space="preserve"> on which to evaluate indicator performance levels</w:t>
      </w:r>
      <w:r w:rsidR="00337B89">
        <w:rPr>
          <w:b w:val="0"/>
        </w:rPr>
        <w:t>.</w:t>
      </w:r>
    </w:p>
    <w:p w14:paraId="323F261A" w14:textId="77777777" w:rsidR="009357AF" w:rsidRDefault="009357AF" w:rsidP="00BB4306">
      <w:pPr>
        <w:pStyle w:val="Heading2"/>
        <w:spacing w:before="0" w:after="0"/>
      </w:pPr>
    </w:p>
    <w:p w14:paraId="7B49B7B2" w14:textId="551702CF" w:rsidR="00092FE4" w:rsidRDefault="0024267F" w:rsidP="00805840">
      <w:pPr>
        <w:pStyle w:val="Heading9"/>
        <w:spacing w:after="0"/>
      </w:pPr>
      <w:r w:rsidRPr="00E00F47">
        <w:t xml:space="preserve">Superintendent’s </w:t>
      </w:r>
      <w:r w:rsidR="00A972CE" w:rsidRPr="00E00F47">
        <w:t>Recommendation</w:t>
      </w:r>
      <w:r w:rsidR="00A972CE" w:rsidRPr="0094605A">
        <w:t>:</w:t>
      </w:r>
    </w:p>
    <w:p w14:paraId="3C753BDD" w14:textId="340D52AA" w:rsidR="00BB4306" w:rsidRDefault="00BB4306" w:rsidP="00BB4306">
      <w:pPr>
        <w:pStyle w:val="Heading2"/>
        <w:spacing w:before="0" w:after="0"/>
        <w:rPr>
          <w:b w:val="0"/>
        </w:rPr>
      </w:pPr>
      <w:r w:rsidRPr="00BB4306">
        <w:rPr>
          <w:b w:val="0"/>
        </w:rPr>
        <w:t xml:space="preserve">The </w:t>
      </w:r>
      <w:r>
        <w:rPr>
          <w:b w:val="0"/>
        </w:rPr>
        <w:t xml:space="preserve">Superintendent of Public Instruction recommends that the board waive first review and approve the following special provisions for schools that were </w:t>
      </w:r>
      <w:r w:rsidR="004752AD">
        <w:rPr>
          <w:b w:val="0"/>
        </w:rPr>
        <w:t xml:space="preserve">new during the year in which the data used for accreditation were collected </w:t>
      </w:r>
      <w:r>
        <w:rPr>
          <w:b w:val="0"/>
        </w:rPr>
        <w:t>and</w:t>
      </w:r>
      <w:r w:rsidR="004752AD">
        <w:rPr>
          <w:b w:val="0"/>
        </w:rPr>
        <w:t xml:space="preserve"> </w:t>
      </w:r>
      <w:r>
        <w:rPr>
          <w:b w:val="0"/>
        </w:rPr>
        <w:t>only have one year of data</w:t>
      </w:r>
      <w:r w:rsidR="006B6745">
        <w:rPr>
          <w:b w:val="0"/>
        </w:rPr>
        <w:t xml:space="preserve"> on which to evaluate indicator performance levels</w:t>
      </w:r>
      <w:r>
        <w:rPr>
          <w:b w:val="0"/>
        </w:rPr>
        <w:t>:</w:t>
      </w:r>
    </w:p>
    <w:p w14:paraId="788659B5" w14:textId="109EE790" w:rsidR="00BB4306" w:rsidRDefault="00BB4306" w:rsidP="00BB4306">
      <w:pPr>
        <w:pStyle w:val="ListParagraph"/>
        <w:numPr>
          <w:ilvl w:val="1"/>
          <w:numId w:val="8"/>
        </w:numPr>
      </w:pPr>
      <w:r>
        <w:t xml:space="preserve">If </w:t>
      </w:r>
      <w:r w:rsidR="006B6745">
        <w:t xml:space="preserve">an academic indicator is rated at Level Three </w:t>
      </w:r>
      <w:r>
        <w:t xml:space="preserve">based on current year data and the </w:t>
      </w:r>
      <w:r w:rsidR="00F64DDD">
        <w:t xml:space="preserve">combined rate </w:t>
      </w:r>
      <w:r w:rsidR="00F64DDD" w:rsidRPr="009357AF">
        <w:rPr>
          <w:rFonts w:eastAsia="Times New Roman" w:cs="Times New Roman"/>
          <w:szCs w:val="24"/>
        </w:rPr>
        <w:t xml:space="preserve">in English and mathematics or </w:t>
      </w:r>
      <w:r w:rsidR="00F64DDD">
        <w:rPr>
          <w:rFonts w:eastAsia="Times New Roman" w:cs="Times New Roman"/>
          <w:szCs w:val="24"/>
        </w:rPr>
        <w:t xml:space="preserve">the </w:t>
      </w:r>
      <w:r w:rsidR="00F64DDD" w:rsidRPr="009357AF">
        <w:rPr>
          <w:rFonts w:eastAsia="Times New Roman" w:cs="Times New Roman"/>
          <w:szCs w:val="24"/>
        </w:rPr>
        <w:t xml:space="preserve">pass rate in science </w:t>
      </w:r>
      <w:r w:rsidR="00F64DDD">
        <w:rPr>
          <w:rFonts w:eastAsia="Times New Roman" w:cs="Times New Roman"/>
          <w:szCs w:val="24"/>
        </w:rPr>
        <w:t xml:space="preserve">is </w:t>
      </w:r>
      <w:r w:rsidR="00F64DDD" w:rsidRPr="009357AF">
        <w:rPr>
          <w:rFonts w:eastAsia="Times New Roman" w:cs="Times New Roman"/>
          <w:szCs w:val="24"/>
        </w:rPr>
        <w:t xml:space="preserve"> </w:t>
      </w:r>
      <w:r w:rsidR="00F64DDD">
        <w:rPr>
          <w:rFonts w:eastAsia="Times New Roman" w:cs="Times New Roman"/>
          <w:szCs w:val="24"/>
        </w:rPr>
        <w:t>at least 50%,</w:t>
      </w:r>
      <w:r>
        <w:t xml:space="preserve">, the </w:t>
      </w:r>
      <w:r w:rsidR="006B6745">
        <w:t xml:space="preserve">indicator </w:t>
      </w:r>
      <w:r>
        <w:t xml:space="preserve">shall be </w:t>
      </w:r>
      <w:r w:rsidR="006B6745">
        <w:t>rated at Level Two</w:t>
      </w:r>
      <w:r w:rsidR="00805840">
        <w:t>.</w:t>
      </w:r>
    </w:p>
    <w:p w14:paraId="683E6414" w14:textId="72DFD944" w:rsidR="00BB4306" w:rsidRDefault="00BB4306" w:rsidP="00805840">
      <w:pPr>
        <w:pStyle w:val="ListParagraph"/>
        <w:numPr>
          <w:ilvl w:val="1"/>
          <w:numId w:val="8"/>
        </w:numPr>
        <w:spacing w:after="0"/>
      </w:pPr>
      <w:r>
        <w:t xml:space="preserve">If </w:t>
      </w:r>
      <w:r w:rsidR="006B6745">
        <w:t xml:space="preserve">the chronic absenteeism, dropout rate, or graduation and completion rate indicators are rated Level Three </w:t>
      </w:r>
      <w:r>
        <w:t xml:space="preserve">based on current year data on the </w:t>
      </w:r>
      <w:r w:rsidR="006B6745">
        <w:t>indicator shall be rated as Level Two</w:t>
      </w:r>
      <w:r w:rsidR="00805840">
        <w:t>.</w:t>
      </w:r>
    </w:p>
    <w:p w14:paraId="349FD5F5" w14:textId="77777777" w:rsidR="00805840" w:rsidRPr="007503E8" w:rsidRDefault="00805840" w:rsidP="00805840">
      <w:pPr>
        <w:pStyle w:val="ListParagraph"/>
        <w:spacing w:after="0"/>
        <w:ind w:left="1440"/>
      </w:pPr>
    </w:p>
    <w:p w14:paraId="6E74D441" w14:textId="0BA39CCB" w:rsidR="00A3568E" w:rsidRDefault="000E009D" w:rsidP="00805840">
      <w:pPr>
        <w:spacing w:after="0"/>
        <w:rPr>
          <w:color w:val="FF0000"/>
        </w:rPr>
      </w:pPr>
      <w:r w:rsidRPr="007503E8">
        <w:rPr>
          <w:rStyle w:val="Heading2Char"/>
        </w:rPr>
        <w:t>Background Information and Statutory Authority</w:t>
      </w:r>
      <w:r w:rsidR="00A3568E">
        <w:rPr>
          <w:rStyle w:val="Heading2Char"/>
        </w:rPr>
        <w:t>:</w:t>
      </w:r>
      <w:r w:rsidR="00A3568E" w:rsidRPr="00092FE4">
        <w:t xml:space="preserve"> </w:t>
      </w:r>
    </w:p>
    <w:p w14:paraId="17F93682" w14:textId="12FFB023" w:rsidR="00A3568E" w:rsidRPr="009357AF" w:rsidRDefault="00A42685" w:rsidP="009357AF">
      <w:pPr>
        <w:spacing w:after="0"/>
        <w:rPr>
          <w:rFonts w:cs="Times New Roman"/>
          <w:color w:val="FF0000"/>
          <w:szCs w:val="24"/>
        </w:rPr>
      </w:pPr>
      <w:r w:rsidRPr="00092FE4">
        <w:t xml:space="preserve">Under the 2017 revision to the </w:t>
      </w:r>
      <w:r w:rsidRPr="00092FE4">
        <w:rPr>
          <w:i/>
        </w:rPr>
        <w:t>Regulations Establishing Standards for Accrediting Public Schools in Virginia,</w:t>
      </w:r>
      <w:r w:rsidRPr="00092FE4">
        <w:t xml:space="preserve"> the accreditation rating for schools is based on the</w:t>
      </w:r>
      <w:r>
        <w:t xml:space="preserve"> performance levels the school earns </w:t>
      </w:r>
      <w:r w:rsidRPr="00092FE4">
        <w:t>on various school quality indicators</w:t>
      </w:r>
      <w:r w:rsidRPr="009357AF">
        <w:rPr>
          <w:rFonts w:cs="Times New Roman"/>
          <w:szCs w:val="24"/>
        </w:rPr>
        <w:t xml:space="preserve">.  </w:t>
      </w:r>
      <w:r w:rsidR="00A3568E" w:rsidRPr="009357AF">
        <w:rPr>
          <w:rFonts w:cs="Times New Roman"/>
          <w:szCs w:val="24"/>
        </w:rPr>
        <w:t>A s</w:t>
      </w:r>
      <w:r w:rsidR="00A3568E" w:rsidRPr="009357AF">
        <w:rPr>
          <w:rFonts w:eastAsia="Times New Roman" w:cs="Times New Roman"/>
          <w:szCs w:val="24"/>
        </w:rPr>
        <w:t>chool’s performance level on a particular</w:t>
      </w:r>
      <w:r w:rsidR="00A3568E" w:rsidRPr="00BB4306">
        <w:rPr>
          <w:rFonts w:ascii="Times" w:eastAsia="Times New Roman" w:hAnsi="Times" w:cs="Times"/>
          <w:sz w:val="22"/>
        </w:rPr>
        <w:t xml:space="preserve"> </w:t>
      </w:r>
      <w:r w:rsidR="00A3568E" w:rsidRPr="009357AF">
        <w:rPr>
          <w:rFonts w:eastAsia="Times New Roman" w:cs="Times New Roman"/>
          <w:szCs w:val="24"/>
        </w:rPr>
        <w:t xml:space="preserve">indicator may be raised based on improvements to the indicator’s rate from the previous year.  </w:t>
      </w:r>
      <w:r w:rsidR="00A3568E" w:rsidRPr="009357AF">
        <w:rPr>
          <w:rFonts w:eastAsia="Times New Roman" w:cs="Times New Roman"/>
          <w:szCs w:val="24"/>
        </w:rPr>
        <w:lastRenderedPageBreak/>
        <w:t>Specifically, indicators evaluated as Level Three based on current data can move to Level Two under the following conditions:</w:t>
      </w:r>
    </w:p>
    <w:p w14:paraId="4EACE667" w14:textId="32E51170" w:rsidR="00A3568E" w:rsidRPr="009357AF" w:rsidRDefault="00A3568E" w:rsidP="00A3568E">
      <w:pPr>
        <w:pStyle w:val="ListParagraph"/>
        <w:numPr>
          <w:ilvl w:val="0"/>
          <w:numId w:val="11"/>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on the academic indicators if the current year’s combined rate in English and mathematics or pass rate in science was</w:t>
      </w:r>
      <w:r w:rsidR="009357AF">
        <w:rPr>
          <w:rFonts w:eastAsia="Times New Roman" w:cs="Times New Roman"/>
          <w:szCs w:val="24"/>
        </w:rPr>
        <w:t xml:space="preserve"> </w:t>
      </w:r>
      <w:r w:rsidRPr="009357AF">
        <w:rPr>
          <w:rFonts w:eastAsia="Times New Roman" w:cs="Times New Roman"/>
          <w:szCs w:val="24"/>
        </w:rPr>
        <w:t xml:space="preserve">at least 50% and </w:t>
      </w:r>
      <w:r w:rsidR="009357AF">
        <w:rPr>
          <w:rFonts w:eastAsia="Times New Roman" w:cs="Times New Roman"/>
          <w:szCs w:val="24"/>
        </w:rPr>
        <w:t xml:space="preserve">the failure rate was decreased </w:t>
      </w:r>
      <w:r w:rsidRPr="009357AF">
        <w:rPr>
          <w:rFonts w:eastAsia="Times New Roman" w:cs="Times New Roman"/>
          <w:szCs w:val="24"/>
        </w:rPr>
        <w:t xml:space="preserve">by 10% from the previous year,  </w:t>
      </w:r>
    </w:p>
    <w:p w14:paraId="5A0FDAB4" w14:textId="77777777" w:rsidR="00A3568E" w:rsidRPr="009357AF" w:rsidRDefault="00A3568E" w:rsidP="00A3568E">
      <w:pPr>
        <w:pStyle w:val="ListParagraph"/>
        <w:numPr>
          <w:ilvl w:val="0"/>
          <w:numId w:val="11"/>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on the chronic absenteeism indicator if the chronic absenteeism rate was decreased by 10% from the previous year,</w:t>
      </w:r>
    </w:p>
    <w:p w14:paraId="2D460AB3" w14:textId="1E833244" w:rsidR="00A3568E" w:rsidRPr="009357AF" w:rsidRDefault="00A3568E" w:rsidP="00A3568E">
      <w:pPr>
        <w:pStyle w:val="ListParagraph"/>
        <w:numPr>
          <w:ilvl w:val="0"/>
          <w:numId w:val="11"/>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w:t>
      </w:r>
      <w:r w:rsidR="009357AF">
        <w:rPr>
          <w:rFonts w:eastAsia="Times New Roman" w:cs="Times New Roman"/>
          <w:szCs w:val="24"/>
        </w:rPr>
        <w:t xml:space="preserve">n the dropout indicator if </w:t>
      </w:r>
      <w:r w:rsidRPr="009357AF">
        <w:rPr>
          <w:rFonts w:eastAsia="Times New Roman" w:cs="Times New Roman"/>
          <w:szCs w:val="24"/>
        </w:rPr>
        <w:t xml:space="preserve">the dropout rate was decreased by 10% from the previous year, or </w:t>
      </w:r>
    </w:p>
    <w:p w14:paraId="731550A9" w14:textId="7BDA5652" w:rsidR="00A3568E" w:rsidRPr="009357AF" w:rsidRDefault="00A3568E" w:rsidP="00A3568E">
      <w:pPr>
        <w:pStyle w:val="ListParagraph"/>
        <w:numPr>
          <w:ilvl w:val="0"/>
          <w:numId w:val="11"/>
        </w:numPr>
        <w:spacing w:before="60" w:after="60" w:line="324" w:lineRule="atLeast"/>
        <w:ind w:right="120"/>
        <w:textAlignment w:val="baseline"/>
        <w:rPr>
          <w:rFonts w:eastAsia="Times New Roman" w:cs="Times New Roman"/>
          <w:szCs w:val="24"/>
        </w:rPr>
      </w:pPr>
      <w:r w:rsidRPr="009357AF">
        <w:rPr>
          <w:rFonts w:eastAsia="Times New Roman" w:cs="Times New Roman"/>
          <w:szCs w:val="24"/>
        </w:rPr>
        <w:t>on the Grad</w:t>
      </w:r>
      <w:r w:rsidR="009357AF">
        <w:rPr>
          <w:rFonts w:eastAsia="Times New Roman" w:cs="Times New Roman"/>
          <w:szCs w:val="24"/>
        </w:rPr>
        <w:t xml:space="preserve">uation and Completion Index if </w:t>
      </w:r>
      <w:r w:rsidRPr="009357AF">
        <w:rPr>
          <w:rFonts w:eastAsia="Times New Roman" w:cs="Times New Roman"/>
          <w:szCs w:val="24"/>
        </w:rPr>
        <w:t>the index increased by 2.5% over the previous year.</w:t>
      </w:r>
    </w:p>
    <w:p w14:paraId="13C46938" w14:textId="77777777" w:rsidR="00A3568E" w:rsidRPr="009357AF" w:rsidRDefault="00A3568E" w:rsidP="002057DA">
      <w:pPr>
        <w:spacing w:before="60" w:after="0" w:line="324" w:lineRule="atLeast"/>
        <w:ind w:right="120"/>
        <w:textAlignment w:val="baseline"/>
        <w:rPr>
          <w:rFonts w:eastAsia="Times New Roman" w:cs="Times New Roman"/>
          <w:szCs w:val="24"/>
        </w:rPr>
      </w:pPr>
      <w:r w:rsidRPr="009357AF">
        <w:rPr>
          <w:rFonts w:eastAsia="Times New Roman" w:cs="Times New Roman"/>
          <w:szCs w:val="24"/>
        </w:rPr>
        <w:t>However, schools that were determined by VDOE to be new in the 2018-2019 school year have no prior year data and are unable to benefit from improvements in the indicators over the previous year.  Instead, their performance on the accreditation indicators is based on the current year data only.</w:t>
      </w:r>
    </w:p>
    <w:p w14:paraId="7291955F" w14:textId="77777777" w:rsidR="002C3BE7" w:rsidRDefault="002C3BE7" w:rsidP="009357AF">
      <w:pPr>
        <w:spacing w:after="0" w:line="324" w:lineRule="atLeast"/>
        <w:ind w:right="120"/>
        <w:textAlignment w:val="baseline"/>
        <w:rPr>
          <w:rFonts w:ascii="Times" w:eastAsia="Times New Roman" w:hAnsi="Times" w:cs="Times"/>
          <w:sz w:val="22"/>
        </w:rPr>
      </w:pPr>
    </w:p>
    <w:p w14:paraId="561C4E94" w14:textId="59F3D1C4" w:rsidR="002C3BE7" w:rsidRDefault="002C3BE7" w:rsidP="009357AF">
      <w:pPr>
        <w:spacing w:after="60" w:line="324" w:lineRule="atLeast"/>
        <w:ind w:right="120"/>
        <w:textAlignment w:val="baseline"/>
        <w:rPr>
          <w:rFonts w:ascii="Times" w:eastAsia="Times New Roman" w:hAnsi="Times" w:cs="Times"/>
          <w:sz w:val="22"/>
        </w:rPr>
      </w:pPr>
      <w:r w:rsidRPr="00400151">
        <w:rPr>
          <w:i/>
        </w:rPr>
        <w:t xml:space="preserve">The Regulations Establishing Standards for Accrediting Public Schools in Virginia </w:t>
      </w:r>
      <w:r>
        <w:t>at 8VAC20-131-380 F1 describe the school quality indicators used for accreditation.</w:t>
      </w:r>
    </w:p>
    <w:p w14:paraId="40C965D0" w14:textId="3C534130" w:rsidR="00CE6FF9" w:rsidRDefault="00CE6FF9" w:rsidP="00A3568E">
      <w:pPr>
        <w:pStyle w:val="sectind"/>
        <w:spacing w:before="0" w:beforeAutospacing="0" w:after="0" w:afterAutospacing="0"/>
        <w:textAlignment w:val="baseline"/>
        <w:rPr>
          <w:rFonts w:ascii="Times" w:hAnsi="Times" w:cs="Times"/>
          <w:color w:val="444444"/>
        </w:rPr>
      </w:pPr>
      <w:r>
        <w:rPr>
          <w:rFonts w:ascii="Times" w:hAnsi="Times" w:cs="Times"/>
          <w:noProof/>
          <w:color w:val="444444"/>
        </w:rPr>
        <mc:AlternateContent>
          <mc:Choice Requires="wps">
            <w:drawing>
              <wp:anchor distT="0" distB="0" distL="114300" distR="114300" simplePos="0" relativeHeight="251659264" behindDoc="0" locked="0" layoutInCell="1" allowOverlap="1" wp14:anchorId="1E61E927" wp14:editId="25CB846A">
                <wp:simplePos x="0" y="0"/>
                <wp:positionH relativeFrom="column">
                  <wp:posOffset>-219075</wp:posOffset>
                </wp:positionH>
                <wp:positionV relativeFrom="paragraph">
                  <wp:posOffset>158115</wp:posOffset>
                </wp:positionV>
                <wp:extent cx="6372225" cy="4105275"/>
                <wp:effectExtent l="0" t="0" r="28575" b="28575"/>
                <wp:wrapNone/>
                <wp:docPr id="2" name="Rectangle 2" descr="for decorative use only" title="for decorative use only"/>
                <wp:cNvGraphicFramePr/>
                <a:graphic xmlns:a="http://schemas.openxmlformats.org/drawingml/2006/main">
                  <a:graphicData uri="http://schemas.microsoft.com/office/word/2010/wordprocessingShape">
                    <wps:wsp>
                      <wps:cNvSpPr/>
                      <wps:spPr>
                        <a:xfrm>
                          <a:off x="0" y="0"/>
                          <a:ext cx="6372225" cy="41052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3C37F5" id="Rectangle 2" o:spid="_x0000_s1026" alt="Title: for decorative use only - Description: for decorative use only" style="position:absolute;margin-left:-17.25pt;margin-top:12.45pt;width:501.75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" filled="f" strokecolor="black [1600]" strokeweight="1pt"/>
            </w:pict>
          </mc:Fallback>
        </mc:AlternateContent>
      </w:r>
    </w:p>
    <w:p w14:paraId="49A27F59" w14:textId="77777777" w:rsidR="00A3568E" w:rsidRDefault="00A3568E" w:rsidP="00A3568E">
      <w:pPr>
        <w:pStyle w:val="sectind"/>
        <w:spacing w:before="0" w:beforeAutospacing="0" w:after="0" w:afterAutospacing="0"/>
        <w:textAlignment w:val="baseline"/>
        <w:rPr>
          <w:rFonts w:ascii="Times" w:hAnsi="Times" w:cs="Times"/>
          <w:color w:val="444444"/>
        </w:rPr>
      </w:pPr>
      <w:r>
        <w:rPr>
          <w:rFonts w:ascii="Times" w:hAnsi="Times" w:cs="Times"/>
          <w:color w:val="444444"/>
        </w:rPr>
        <w:t>F. School quality indicators for accreditation purposes. Effective with the 2018-2019 school year, the board shall measure performance levels on the school quality indicators and apply them to accreditation, except as provided in </w:t>
      </w:r>
      <w:hyperlink r:id="rId10" w:history="1">
        <w:r>
          <w:rPr>
            <w:rStyle w:val="Hyperlink"/>
            <w:rFonts w:ascii="Times" w:hAnsi="Times" w:cs="Times"/>
            <w:color w:val="1A73AE"/>
            <w:bdr w:val="none" w:sz="0" w:space="0" w:color="auto" w:frame="1"/>
          </w:rPr>
          <w:t>8VAC20-131-390</w:t>
        </w:r>
      </w:hyperlink>
      <w:r>
        <w:rPr>
          <w:rFonts w:ascii="Times" w:hAnsi="Times" w:cs="Times"/>
          <w:color w:val="444444"/>
        </w:rPr>
        <w:t> B 1 for the 2018-2019 school year.</w:t>
      </w:r>
    </w:p>
    <w:p w14:paraId="79FC4BFA" w14:textId="2CA7CC3E" w:rsidR="00A3568E" w:rsidRDefault="00A3568E" w:rsidP="00A3568E">
      <w:pPr>
        <w:pStyle w:val="sectbi"/>
        <w:spacing w:before="0" w:beforeAutospacing="0" w:after="192" w:afterAutospacing="0"/>
        <w:ind w:left="240"/>
        <w:textAlignment w:val="baseline"/>
        <w:rPr>
          <w:rFonts w:ascii="Times" w:hAnsi="Times" w:cs="Times"/>
          <w:color w:val="444444"/>
        </w:rPr>
      </w:pPr>
      <w:r>
        <w:rPr>
          <w:rFonts w:ascii="Times" w:hAnsi="Times" w:cs="Times"/>
          <w:color w:val="444444"/>
        </w:rPr>
        <w:t>1. The school quality indicators and performance levels for each are described in this subdivision:</w:t>
      </w:r>
    </w:p>
    <w:tbl>
      <w:tblPr>
        <w:tblW w:w="0" w:type="auto"/>
        <w:tblCellMar>
          <w:left w:w="0" w:type="dxa"/>
          <w:right w:w="0" w:type="dxa"/>
        </w:tblCellMar>
        <w:tblLook w:val="04A0" w:firstRow="1" w:lastRow="0" w:firstColumn="1" w:lastColumn="0" w:noHBand="0" w:noVBand="1"/>
        <w:tblCaption w:val="Description of the School Quality Indicators and Performance Levels"/>
        <w:tblDescription w:val="This table list school quality indicators for accreditation purposes."/>
      </w:tblPr>
      <w:tblGrid>
        <w:gridCol w:w="3806"/>
        <w:gridCol w:w="5770"/>
      </w:tblGrid>
      <w:tr w:rsidR="00A3568E" w14:paraId="39BB27FF" w14:textId="77777777" w:rsidTr="00A3568E">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FB9D12"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School Quality Indicator</w:t>
            </w:r>
          </w:p>
        </w:tc>
        <w:tc>
          <w:tcPr>
            <w:tcW w:w="76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5C5A0EA"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Performance Levels</w:t>
            </w:r>
          </w:p>
        </w:tc>
      </w:tr>
      <w:tr w:rsidR="00A3568E" w14:paraId="275E0682" w14:textId="77777777" w:rsidTr="002057D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A2632" w14:textId="3380D03F" w:rsidR="00A3568E" w:rsidRDefault="00A3568E" w:rsidP="002057DA">
            <w:pPr>
              <w:pStyle w:val="tblleft"/>
              <w:spacing w:before="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a. Academic achievement indicator for all students for English (reading and writing): the academic indicator shall be calculated based on the rate of (i) students who passed board-approved assessments, (ii) any additional students who showed growth using board-approved measures, and (iii) any additional students who are English learners who showed growth toward English proficiency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26982DB9"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rate of at least 75%, or schools that were at Level Two the prior year and decrease the failure rate by 10% or more from the prior year.</w:t>
            </w:r>
          </w:p>
          <w:p w14:paraId="371ED8B7"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14:paraId="356CBB66"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3684F83B" w14:textId="77777777" w:rsidTr="00A356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2C6385" w14:textId="6FC1C36C" w:rsidR="00A3568E" w:rsidRDefault="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noProof/>
                <w:color w:val="444444"/>
                <w:sz w:val="22"/>
                <w:szCs w:val="22"/>
              </w:rPr>
              <w:lastRenderedPageBreak/>
              <mc:AlternateContent>
                <mc:Choice Requires="wps">
                  <w:drawing>
                    <wp:anchor distT="0" distB="0" distL="114300" distR="114300" simplePos="0" relativeHeight="251660288" behindDoc="0" locked="0" layoutInCell="1" allowOverlap="1" wp14:anchorId="3BAA4B6B" wp14:editId="758E4A71">
                      <wp:simplePos x="0" y="0"/>
                      <wp:positionH relativeFrom="column">
                        <wp:posOffset>-192405</wp:posOffset>
                      </wp:positionH>
                      <wp:positionV relativeFrom="paragraph">
                        <wp:posOffset>-84455</wp:posOffset>
                      </wp:positionV>
                      <wp:extent cx="6324600" cy="8162925"/>
                      <wp:effectExtent l="0" t="0" r="19050" b="28575"/>
                      <wp:wrapNone/>
                      <wp:docPr id="3" name="Rectangle 3" descr="for decorative use only" title="for decorative use only"/>
                      <wp:cNvGraphicFramePr/>
                      <a:graphic xmlns:a="http://schemas.openxmlformats.org/drawingml/2006/main">
                        <a:graphicData uri="http://schemas.microsoft.com/office/word/2010/wordprocessingShape">
                          <wps:wsp>
                            <wps:cNvSpPr/>
                            <wps:spPr>
                              <a:xfrm>
                                <a:off x="0" y="0"/>
                                <a:ext cx="6324600" cy="81629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F323BD" id="Rectangle 3" o:spid="_x0000_s1026" alt="Title: for decorative use only - Description: for decorative use only" style="position:absolute;margin-left:-15.15pt;margin-top:-6.65pt;width:498pt;height:6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" filled="f" strokecolor="black [1600]" strokeweight="1pt"/>
                  </w:pict>
                </mc:Fallback>
              </mc:AlternateContent>
            </w:r>
            <w:r w:rsidR="00A3568E">
              <w:rPr>
                <w:rFonts w:ascii="Times" w:hAnsi="Times" w:cs="Times"/>
                <w:color w:val="444444"/>
                <w:sz w:val="22"/>
                <w:szCs w:val="22"/>
              </w:rPr>
              <w:t>b. Academic achievement indicator for all students for mathematics: the academic indicator shall be calculated based on the rate of (i) students who passed board-approved assessments and (ii) any additional students who showed growth using board-approved measures.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F2CB4C"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rate of at least 70%, or schools that were at Level Two the prior year and decrease the failure rate by 10% or more from the prior year.</w:t>
            </w:r>
          </w:p>
          <w:p w14:paraId="1F6DDE41"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rate of at least 66%, or schools with a prior year rate of at least 50% that decrease the failure rate by 10% or more from the prior year. A school shall not receive a Level Two performance designation for more than four consecutive years.</w:t>
            </w:r>
          </w:p>
          <w:p w14:paraId="54F42D91"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59B027D4" w14:textId="77777777" w:rsidTr="009357A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3C022"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c. Academic achievement indicator for all students for science: the academic indicator shall be calculated based on the rate of students who passed board-approved assessments.</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5EA3E2"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rate of at least 70%, or schools that were at Level Two the prior year and decrease the failure rate by 10% or more from the prior year.</w:t>
            </w:r>
          </w:p>
          <w:p w14:paraId="0BC1CC2D"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rate of at least 66%, or schools with a prior year rate of at least 50% and decrease the failure rate by 10% or more from the prior year. A school shall not receive a Level Two performance designation for more than four consecutive years.</w:t>
            </w:r>
          </w:p>
          <w:p w14:paraId="24C2A13B"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2EABB9DB" w14:textId="77777777" w:rsidTr="009357A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F4D039"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d. Academic achievement gaps for English (reading and writing): A single performance level is assigned for academic achievement gaps for English (reading and writing), based upon the composite of performance levels calculated individually for each reporting group using the same methodology and benchmarks as provided for in the academic achievement indicators for all students, as provided in subdivision F 1 a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2BE4FD3D"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no more than one reporting group demonstrating Level Two performance.</w:t>
            </w:r>
          </w:p>
          <w:p w14:paraId="0AD3E188"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with two or more reporting groups demonstrating Level Two performance and no more than one reporting group demonstrating Level Three performance.</w:t>
            </w:r>
          </w:p>
          <w:p w14:paraId="7D7FE61C"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with two or more reporting groups demonstrating Level Three performance.</w:t>
            </w:r>
          </w:p>
        </w:tc>
      </w:tr>
      <w:tr w:rsidR="00A3568E" w14:paraId="3A22D105" w14:textId="77777777" w:rsidTr="009357A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05DFCD" w14:textId="446F7F91"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lastRenderedPageBreak/>
              <w:t xml:space="preserve">e. Academic achievement gaps for mathematics. A single performance </w:t>
            </w:r>
            <w:r w:rsidR="00CE6FF9">
              <w:rPr>
                <w:rFonts w:ascii="Times" w:hAnsi="Times" w:cs="Times"/>
                <w:noProof/>
                <w:color w:val="444444"/>
                <w:sz w:val="22"/>
                <w:szCs w:val="22"/>
              </w:rPr>
              <mc:AlternateContent>
                <mc:Choice Requires="wps">
                  <w:drawing>
                    <wp:anchor distT="0" distB="0" distL="114300" distR="114300" simplePos="0" relativeHeight="251661312" behindDoc="0" locked="0" layoutInCell="1" allowOverlap="1" wp14:anchorId="047DA888" wp14:editId="71CA93DA">
                      <wp:simplePos x="0" y="0"/>
                      <wp:positionH relativeFrom="column">
                        <wp:posOffset>-158496</wp:posOffset>
                      </wp:positionH>
                      <wp:positionV relativeFrom="paragraph">
                        <wp:posOffset>-109728</wp:posOffset>
                      </wp:positionV>
                      <wp:extent cx="6254496" cy="8363712"/>
                      <wp:effectExtent l="0" t="0" r="13335" b="18415"/>
                      <wp:wrapNone/>
                      <wp:docPr id="4" name="Rectangle 4" descr="for decorative use only" title="for decorative use only"/>
                      <wp:cNvGraphicFramePr/>
                      <a:graphic xmlns:a="http://schemas.openxmlformats.org/drawingml/2006/main">
                        <a:graphicData uri="http://schemas.microsoft.com/office/word/2010/wordprocessingShape">
                          <wps:wsp>
                            <wps:cNvSpPr/>
                            <wps:spPr>
                              <a:xfrm>
                                <a:off x="0" y="0"/>
                                <a:ext cx="6254496" cy="8363712"/>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9FB8A6" id="Rectangle 4" o:spid="_x0000_s1026" alt="Title: for decorative use only - Description: for decorative use only" style="position:absolute;margin-left:-12.5pt;margin-top:-8.65pt;width:492.5pt;height:65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" filled="f" strokecolor="black [1600]" strokeweight="1pt"/>
                  </w:pict>
                </mc:Fallback>
              </mc:AlternateContent>
            </w:r>
            <w:r>
              <w:rPr>
                <w:rFonts w:ascii="Times" w:hAnsi="Times" w:cs="Times"/>
                <w:color w:val="444444"/>
                <w:sz w:val="22"/>
                <w:szCs w:val="22"/>
              </w:rPr>
              <w:t>level is assigned for academic achievement gaps for mathematics, based upon the composite of performance levels calculated individually for each reporting group using the same methodology and benchmarks as provided for in the academic achievement indicators for all students, as provided in subdivision F 1 b of this subsection.</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35677BC3"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no more than one reporting group demonstrating Level Two performance.</w:t>
            </w:r>
          </w:p>
          <w:p w14:paraId="5E03BBD5"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with two or more reporting groups demonstrating Level Two performance and no more than one reporting group demonstrating Level Three performance.</w:t>
            </w:r>
          </w:p>
          <w:p w14:paraId="5049CBF8"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with two or more reporting groups demonstrating Level Three performance.</w:t>
            </w:r>
          </w:p>
        </w:tc>
      </w:tr>
      <w:tr w:rsidR="00A3568E" w14:paraId="0F3D12C1" w14:textId="77777777" w:rsidTr="009357AF">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B9842E"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f. Graduation and completion index (GCI) for schools with a graduating class: The GCI is the percentage of students graduating from or completing high school based upon a graduation and completion index prescribed by the board. The board's GCI shall include weighted points for diploma graduates, recipients of high school equivalency credentials approved by the board, students not graduating but still in school, and students earning certificates of program completion.</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3C10D0F9"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index of at least 88, or schools that were at Level Two the prior year and increase the index by 2.5% or more from the prior year.</w:t>
            </w:r>
          </w:p>
          <w:p w14:paraId="6C2DA863"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index of at least 81, or schools that were at Level Three the prior year and increase the index by 2.5% or more from the prior year. A school shall not receive a Level Two performance designation for more than four consecutive years.</w:t>
            </w:r>
          </w:p>
          <w:p w14:paraId="2EA1C631" w14:textId="77777777" w:rsidR="00A3568E" w:rsidRDefault="00A3568E" w:rsidP="009357AF">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5CF1BC00" w14:textId="77777777" w:rsidTr="002057D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53E7F"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g. Dropout rate for schools with a graduating class.</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253B5373"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rate of no more than 6.0%, or schools that were at Level Two the prior year and decrease the rate by 10% or more from the prior year.</w:t>
            </w:r>
          </w:p>
          <w:p w14:paraId="6FFD16ED"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rate of no more than 9.0%, or schools that were at Level Three the prior year and decrease the rate by 10% or more from the prior year. A school shall not receive a Level Two performance designation for more than four consecutive years.</w:t>
            </w:r>
          </w:p>
          <w:p w14:paraId="5B656C1F"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190466F4" w14:textId="77777777" w:rsidTr="00A3568E">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C62491" w14:textId="1EB0F74F" w:rsidR="00A3568E" w:rsidRDefault="002057DA">
            <w:pPr>
              <w:pStyle w:val="tblleft"/>
              <w:spacing w:before="0" w:beforeAutospacing="0" w:after="0" w:afterAutospacing="0" w:line="324" w:lineRule="atLeast"/>
              <w:ind w:left="120" w:right="120"/>
              <w:textAlignment w:val="baseline"/>
              <w:rPr>
                <w:rFonts w:ascii="Times" w:hAnsi="Times" w:cs="Times"/>
                <w:color w:val="444444"/>
                <w:sz w:val="22"/>
                <w:szCs w:val="22"/>
              </w:rPr>
            </w:pPr>
            <w:r>
              <w:rPr>
                <w:rFonts w:ascii="Times" w:hAnsi="Times" w:cs="Times"/>
                <w:noProof/>
                <w:color w:val="444444"/>
                <w:sz w:val="22"/>
                <w:szCs w:val="22"/>
              </w:rPr>
              <w:lastRenderedPageBreak/>
              <mc:AlternateContent>
                <mc:Choice Requires="wps">
                  <w:drawing>
                    <wp:anchor distT="0" distB="0" distL="114300" distR="114300" simplePos="0" relativeHeight="251662336" behindDoc="0" locked="0" layoutInCell="1" allowOverlap="1" wp14:anchorId="121EE20F" wp14:editId="554BBB8E">
                      <wp:simplePos x="0" y="0"/>
                      <wp:positionH relativeFrom="column">
                        <wp:posOffset>-167005</wp:posOffset>
                      </wp:positionH>
                      <wp:positionV relativeFrom="paragraph">
                        <wp:posOffset>-81280</wp:posOffset>
                      </wp:positionV>
                      <wp:extent cx="6229985" cy="5972175"/>
                      <wp:effectExtent l="0" t="0" r="18415" b="28575"/>
                      <wp:wrapNone/>
                      <wp:docPr id="5" name="Rectangle 5" descr="for decorative use only" title="for decorative use only"/>
                      <wp:cNvGraphicFramePr/>
                      <a:graphic xmlns:a="http://schemas.openxmlformats.org/drawingml/2006/main">
                        <a:graphicData uri="http://schemas.microsoft.com/office/word/2010/wordprocessingShape">
                          <wps:wsp>
                            <wps:cNvSpPr/>
                            <wps:spPr>
                              <a:xfrm>
                                <a:off x="0" y="0"/>
                                <a:ext cx="6229985" cy="5972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B627B5" id="Rectangle 5" o:spid="_x0000_s1026" alt="Title: for decorative use only - Description: for decorative use only" style="position:absolute;margin-left:-13.15pt;margin-top:-6.4pt;width:490.55pt;height:4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" filled="f" strokecolor="black [1600]" strokeweight="1pt"/>
                  </w:pict>
                </mc:Fallback>
              </mc:AlternateContent>
            </w:r>
            <w:r w:rsidR="00A3568E">
              <w:rPr>
                <w:rFonts w:ascii="Times" w:hAnsi="Times" w:cs="Times"/>
                <w:color w:val="444444"/>
                <w:sz w:val="22"/>
                <w:szCs w:val="22"/>
              </w:rPr>
              <w:t>h. Chronic absenteeism: Chronically absent students are defined as those who are enrolled in a given school who miss 10% or more of the school year, regardless of reason. Students receiving homebound instruction, as defined in </w:t>
            </w:r>
            <w:hyperlink r:id="rId11" w:history="1">
              <w:r w:rsidR="00A3568E">
                <w:rPr>
                  <w:rStyle w:val="Hyperlink"/>
                  <w:rFonts w:ascii="Times" w:hAnsi="Times" w:cs="Times"/>
                  <w:color w:val="1A73AE"/>
                  <w:sz w:val="22"/>
                  <w:szCs w:val="22"/>
                  <w:bdr w:val="none" w:sz="0" w:space="0" w:color="auto" w:frame="1"/>
                </w:rPr>
                <w:t>8VAC20-131-5</w:t>
              </w:r>
            </w:hyperlink>
            <w:r w:rsidR="00A3568E">
              <w:rPr>
                <w:rFonts w:ascii="Times" w:hAnsi="Times" w:cs="Times"/>
                <w:color w:val="444444"/>
                <w:sz w:val="22"/>
                <w:szCs w:val="22"/>
              </w:rPr>
              <w:t>, shall be excluded from the chronic absenteeism rate.</w:t>
            </w:r>
          </w:p>
        </w:tc>
        <w:tc>
          <w:tcPr>
            <w:tcW w:w="76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759CFB"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or three-year average rate of no more than 15%, or schools that were at Level Two the prior year and decrease the rate by 10% or more from the prior year.</w:t>
            </w:r>
          </w:p>
          <w:p w14:paraId="1713F58B"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or three-year average rate of no more than 25%, or schools that were at Level Three the prior year and decrease the rate by 10% or more from the prior year. A school shall not receive a Level Two performance designation for more than four consecutive years.</w:t>
            </w:r>
          </w:p>
          <w:p w14:paraId="73BF9D59"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performance.</w:t>
            </w:r>
          </w:p>
        </w:tc>
      </w:tr>
      <w:tr w:rsidR="00A3568E" w14:paraId="1212FBFE" w14:textId="77777777" w:rsidTr="002057D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EE6FA3"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i. College, career, and civic readiness index for schools with a graduating class: The college, career, and civic readiness index measures the extent to which a school's students successfully complete advanced coursework, career and technical education (CTE) coursework and credentialing, and work-based and service-based learning.</w:t>
            </w:r>
          </w:p>
          <w:p w14:paraId="4E3DA79E" w14:textId="77777777" w:rsidR="00A3568E" w:rsidRDefault="00A3568E">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Application of the college, career, and civic readiness index indicator to performance levels for accreditation purposes shall occur no later than the 2021–2022 school year.</w:t>
            </w:r>
          </w:p>
        </w:tc>
        <w:tc>
          <w:tcPr>
            <w:tcW w:w="7624" w:type="dxa"/>
            <w:tcBorders>
              <w:top w:val="nil"/>
              <w:left w:val="nil"/>
              <w:bottom w:val="single" w:sz="8" w:space="0" w:color="auto"/>
              <w:right w:val="single" w:sz="8" w:space="0" w:color="auto"/>
            </w:tcBorders>
            <w:tcMar>
              <w:top w:w="0" w:type="dxa"/>
              <w:left w:w="108" w:type="dxa"/>
              <w:bottom w:w="0" w:type="dxa"/>
              <w:right w:w="108" w:type="dxa"/>
            </w:tcMar>
            <w:hideMark/>
          </w:tcPr>
          <w:p w14:paraId="2E54255A"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One: Schools with a current year index of at least 85.</w:t>
            </w:r>
          </w:p>
          <w:p w14:paraId="6D29B613"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Two: Schools not meeting Level One performance with a current year index of at least 71. A school shall not receive a Level Two performance designation for more than four consecutive years.</w:t>
            </w:r>
          </w:p>
          <w:p w14:paraId="743AE292" w14:textId="77777777" w:rsidR="00A3568E" w:rsidRDefault="00A3568E" w:rsidP="002057DA">
            <w:pPr>
              <w:pStyle w:val="tblleft"/>
              <w:spacing w:before="60" w:beforeAutospacing="0" w:after="60" w:afterAutospacing="0" w:line="324" w:lineRule="atLeast"/>
              <w:ind w:left="120" w:right="120"/>
              <w:textAlignment w:val="baseline"/>
              <w:rPr>
                <w:rFonts w:ascii="Times" w:hAnsi="Times" w:cs="Times"/>
                <w:color w:val="444444"/>
                <w:sz w:val="22"/>
                <w:szCs w:val="22"/>
              </w:rPr>
            </w:pPr>
            <w:r>
              <w:rPr>
                <w:rFonts w:ascii="Times" w:hAnsi="Times" w:cs="Times"/>
                <w:color w:val="444444"/>
                <w:sz w:val="22"/>
                <w:szCs w:val="22"/>
              </w:rPr>
              <w:t>Level Three: Schools not meeting Level One or Level Two perform</w:t>
            </w:r>
          </w:p>
        </w:tc>
      </w:tr>
    </w:tbl>
    <w:p w14:paraId="3AA8897C" w14:textId="77777777" w:rsidR="00A42685" w:rsidRPr="00BB4306" w:rsidRDefault="00A42685" w:rsidP="002057DA">
      <w:pPr>
        <w:spacing w:after="0" w:line="324" w:lineRule="atLeast"/>
        <w:ind w:right="120"/>
        <w:textAlignment w:val="baseline"/>
        <w:rPr>
          <w:rFonts w:ascii="Times" w:eastAsia="Times New Roman" w:hAnsi="Times" w:cs="Times"/>
          <w:sz w:val="22"/>
        </w:rPr>
      </w:pPr>
    </w:p>
    <w:p w14:paraId="663F3967" w14:textId="4237C2E5" w:rsidR="00CF3850" w:rsidRDefault="00400151" w:rsidP="005B087E">
      <w:r w:rsidRPr="00400151">
        <w:rPr>
          <w:i/>
        </w:rPr>
        <w:t xml:space="preserve">The Regulations Establishing Standards for Accrediting Public Schools in Virginia </w:t>
      </w:r>
      <w:r>
        <w:t xml:space="preserve">at </w:t>
      </w:r>
      <w:r w:rsidR="003B0EF4">
        <w:t>8VAC20-131-380 F3 provide</w:t>
      </w:r>
      <w:r w:rsidR="00CF3850">
        <w:t xml:space="preserve"> the Virginia Board of Education with the authority to adopt special provisions related to the use of a school quality indicator in determining the accreditation status of schools.</w:t>
      </w:r>
      <w:r w:rsidR="003B0EF4">
        <w:t xml:space="preserve">  Specifically, the language states:</w:t>
      </w:r>
    </w:p>
    <w:p w14:paraId="2D328C4B" w14:textId="70FB3184" w:rsidR="00B743E2" w:rsidRDefault="00CF3850" w:rsidP="0087410E">
      <w:pPr>
        <w:pBdr>
          <w:top w:val="single" w:sz="4" w:space="1" w:color="auto"/>
          <w:left w:val="single" w:sz="4" w:space="4" w:color="auto"/>
          <w:bottom w:val="single" w:sz="4" w:space="1" w:color="auto"/>
          <w:right w:val="single" w:sz="4" w:space="4" w:color="auto"/>
        </w:pBdr>
      </w:pPr>
      <w:r>
        <w:t>“The board may adopt special provisions related to the measurement and use of a school quality indicator as prescribed by the board.  The board</w:t>
      </w:r>
      <w:r w:rsidR="00023367">
        <w:t xml:space="preserve"> may also alter the inclusions and exclusions from the performance level calculations by providing adequate notice to local school boards.”</w:t>
      </w:r>
    </w:p>
    <w:p w14:paraId="44BEE341" w14:textId="2E84C52A" w:rsidR="00A42685" w:rsidRDefault="00A42685" w:rsidP="000422DB">
      <w:pPr>
        <w:pStyle w:val="Heading2"/>
        <w:spacing w:before="0" w:after="0"/>
        <w:rPr>
          <w:b w:val="0"/>
        </w:rPr>
      </w:pPr>
      <w:r w:rsidRPr="00A42685">
        <w:rPr>
          <w:b w:val="0"/>
        </w:rPr>
        <w:lastRenderedPageBreak/>
        <w:t xml:space="preserve">The Board will be asked to consider the adoption of special provisions related to measurement of school quality indicators for schools that were new </w:t>
      </w:r>
      <w:r w:rsidR="004752AD">
        <w:rPr>
          <w:b w:val="0"/>
        </w:rPr>
        <w:t>during the year in which the data used for accreditation were collected</w:t>
      </w:r>
      <w:r w:rsidRPr="00A42685">
        <w:rPr>
          <w:b w:val="0"/>
        </w:rPr>
        <w:t xml:space="preserve"> (2018-2019</w:t>
      </w:r>
      <w:r w:rsidR="00302488">
        <w:rPr>
          <w:b w:val="0"/>
        </w:rPr>
        <w:t xml:space="preserve">. Such schools </w:t>
      </w:r>
      <w:r w:rsidRPr="00A42685">
        <w:rPr>
          <w:b w:val="0"/>
        </w:rPr>
        <w:t xml:space="preserve">are not able to benefit from the opportunities for improvement in the indicators because </w:t>
      </w:r>
      <w:r w:rsidR="00A3568E">
        <w:rPr>
          <w:b w:val="0"/>
        </w:rPr>
        <w:t>they have only one year of data on which to evaluate indicator performance levels.</w:t>
      </w:r>
    </w:p>
    <w:p w14:paraId="315768BD" w14:textId="77777777" w:rsidR="002057DA" w:rsidRDefault="002057DA" w:rsidP="000422DB">
      <w:pPr>
        <w:pStyle w:val="Heading2"/>
        <w:spacing w:before="0" w:after="0"/>
      </w:pPr>
    </w:p>
    <w:p w14:paraId="7F8E3D4C" w14:textId="1758CD0B" w:rsidR="000422DB" w:rsidRPr="007503E8" w:rsidRDefault="000422DB" w:rsidP="000422DB">
      <w:pPr>
        <w:pStyle w:val="Heading2"/>
        <w:spacing w:before="0" w:after="0"/>
      </w:pPr>
      <w:r w:rsidRPr="007503E8">
        <w:t xml:space="preserve">Previous Review or Action:  </w:t>
      </w:r>
    </w:p>
    <w:p w14:paraId="073CE6F3" w14:textId="32BDAB0A" w:rsidR="0020239B" w:rsidRPr="007503E8" w:rsidRDefault="00717DB8" w:rsidP="00805840">
      <w:pPr>
        <w:spacing w:after="0"/>
      </w:pPr>
      <w:sdt>
        <w:sdtPr>
          <w:id w:val="-1106267288"/>
          <w:placeholder>
            <w:docPart w:val="2593344911634E0795F25D060AA8366F"/>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400151">
            <w:t>No previous review or action.</w:t>
          </w:r>
        </w:sdtContent>
      </w:sdt>
    </w:p>
    <w:p w14:paraId="01F0A9A6" w14:textId="77777777" w:rsidR="00805840" w:rsidRDefault="00805840" w:rsidP="00337B89">
      <w:pPr>
        <w:spacing w:after="0"/>
        <w:rPr>
          <w:rStyle w:val="Heading2Char"/>
        </w:rPr>
      </w:pPr>
    </w:p>
    <w:p w14:paraId="7BC79E44" w14:textId="77777777" w:rsidR="00337B89" w:rsidRDefault="00123E2E" w:rsidP="00337B89">
      <w:pPr>
        <w:spacing w:after="0"/>
        <w:rPr>
          <w:rStyle w:val="Heading2Char"/>
        </w:rPr>
      </w:pPr>
      <w:r w:rsidRPr="007503E8">
        <w:rPr>
          <w:rStyle w:val="Heading2Char"/>
        </w:rPr>
        <w:t>Timetable for Further Review/Action:</w:t>
      </w:r>
    </w:p>
    <w:p w14:paraId="35015519" w14:textId="4297C686" w:rsidR="00337B89" w:rsidRPr="00092FE4" w:rsidRDefault="0024267F" w:rsidP="00337B89">
      <w:pPr>
        <w:spacing w:after="0"/>
        <w:rPr>
          <w:rFonts w:eastAsiaTheme="majorEastAsia" w:cs="Times New Roman"/>
          <w:bCs/>
          <w:szCs w:val="24"/>
        </w:rPr>
      </w:pPr>
      <w:r w:rsidRPr="00E00F47">
        <w:rPr>
          <w:rStyle w:val="Heading2Char"/>
          <w:b w:val="0"/>
        </w:rPr>
        <w:t xml:space="preserve">The Board </w:t>
      </w:r>
      <w:r w:rsidR="00400151">
        <w:rPr>
          <w:rStyle w:val="Heading2Char"/>
          <w:b w:val="0"/>
        </w:rPr>
        <w:t>is asked t</w:t>
      </w:r>
      <w:r w:rsidR="00092FE4">
        <w:rPr>
          <w:rStyle w:val="Heading2Char"/>
          <w:b w:val="0"/>
        </w:rPr>
        <w:t xml:space="preserve">o waive first review and adopt </w:t>
      </w:r>
      <w:r w:rsidR="00400151">
        <w:rPr>
          <w:rStyle w:val="Heading2Char"/>
          <w:b w:val="0"/>
        </w:rPr>
        <w:t xml:space="preserve">special </w:t>
      </w:r>
      <w:r w:rsidR="00092FE4" w:rsidRPr="00092FE4">
        <w:rPr>
          <w:rStyle w:val="Heading2Char"/>
          <w:b w:val="0"/>
        </w:rPr>
        <w:t xml:space="preserve">provisions </w:t>
      </w:r>
      <w:r w:rsidR="00337B89" w:rsidRPr="00092FE4">
        <w:t xml:space="preserve">for schools that were new </w:t>
      </w:r>
      <w:r w:rsidR="00A3568E">
        <w:t xml:space="preserve">during the </w:t>
      </w:r>
      <w:r w:rsidR="00A3568E" w:rsidRPr="00A3568E">
        <w:t>year</w:t>
      </w:r>
      <w:r w:rsidR="00A3568E">
        <w:rPr>
          <w:b/>
        </w:rPr>
        <w:t xml:space="preserve"> </w:t>
      </w:r>
      <w:r w:rsidR="00A3568E" w:rsidRPr="00A3568E">
        <w:t>in which the data used for accreditation were collected</w:t>
      </w:r>
      <w:r w:rsidR="00A3568E">
        <w:rPr>
          <w:b/>
        </w:rPr>
        <w:t xml:space="preserve"> </w:t>
      </w:r>
      <w:r w:rsidR="00337B89" w:rsidRPr="00092FE4">
        <w:t>and only have one year of data</w:t>
      </w:r>
      <w:r w:rsidR="00EF0A7F">
        <w:t xml:space="preserve"> on which to evaluate indicator performance levels</w:t>
      </w:r>
      <w:r w:rsidR="00337B89" w:rsidRPr="00092FE4">
        <w:t>.</w:t>
      </w:r>
    </w:p>
    <w:p w14:paraId="4674B99D" w14:textId="58182E86" w:rsidR="0020239B" w:rsidRPr="00E00F47" w:rsidRDefault="0020239B" w:rsidP="007503E8">
      <w:pPr>
        <w:spacing w:after="0"/>
        <w:rPr>
          <w:b/>
        </w:rPr>
      </w:pPr>
    </w:p>
    <w:p w14:paraId="0FCD235B" w14:textId="77777777" w:rsidR="00BA148E" w:rsidRDefault="000E009D" w:rsidP="007503E8">
      <w:pPr>
        <w:pStyle w:val="Heading2"/>
        <w:spacing w:before="0" w:after="0"/>
      </w:pPr>
      <w:r w:rsidRPr="007503E8">
        <w:t xml:space="preserve">Impact on Fiscal and Human Resources: </w:t>
      </w:r>
    </w:p>
    <w:p w14:paraId="11A9C09B" w14:textId="46760B13" w:rsidR="0020239B" w:rsidRPr="0020239B" w:rsidRDefault="00A3568E" w:rsidP="004A5BA6">
      <w:pPr>
        <w:pStyle w:val="Heading2"/>
        <w:spacing w:before="0" w:after="0"/>
      </w:pPr>
      <w:r>
        <w:rPr>
          <w:b w:val="0"/>
        </w:rPr>
        <w:t>None</w:t>
      </w:r>
      <w:bookmarkStart w:id="0" w:name="_GoBack"/>
      <w:bookmarkEnd w:id="0"/>
    </w:p>
    <w:sectPr w:rsidR="0020239B" w:rsidRPr="0020239B" w:rsidSect="009571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20443" w14:textId="77777777" w:rsidR="00C41FF5" w:rsidRDefault="00C41FF5" w:rsidP="000E009D">
      <w:pPr>
        <w:spacing w:after="0" w:line="240" w:lineRule="auto"/>
      </w:pPr>
      <w:r>
        <w:separator/>
      </w:r>
    </w:p>
  </w:endnote>
  <w:endnote w:type="continuationSeparator" w:id="0">
    <w:p w14:paraId="3CEC2AF8" w14:textId="77777777" w:rsidR="00C41FF5" w:rsidRDefault="00C41FF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2FD64" w14:textId="77777777" w:rsidR="00622217" w:rsidRDefault="0062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73464"/>
      <w:docPartObj>
        <w:docPartGallery w:val="Page Numbers (Bottom of Page)"/>
        <w:docPartUnique/>
      </w:docPartObj>
    </w:sdtPr>
    <w:sdtEndPr>
      <w:rPr>
        <w:noProof/>
      </w:rPr>
    </w:sdtEndPr>
    <w:sdtContent>
      <w:p w14:paraId="6E1C6ED5" w14:textId="5ED03A18" w:rsidR="00E35ED7" w:rsidRDefault="00E35ED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17DB8">
          <w:rPr>
            <w:rFonts w:cs="Times New Roman"/>
            <w:noProof/>
          </w:rPr>
          <w:t>A</w:t>
        </w:r>
        <w:r w:rsidRPr="000E009D">
          <w:rPr>
            <w:rFonts w:cs="Times New Roman"/>
            <w:noProof/>
          </w:rPr>
          <w:fldChar w:fldCharType="end"/>
        </w:r>
      </w:p>
    </w:sdtContent>
  </w:sdt>
  <w:p w14:paraId="53D4C57B" w14:textId="77777777" w:rsidR="00E35ED7" w:rsidRDefault="00E35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03F0" w14:textId="77777777" w:rsidR="00622217" w:rsidRDefault="0062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B4B82" w14:textId="77777777" w:rsidR="00C41FF5" w:rsidRDefault="00C41FF5" w:rsidP="000E009D">
      <w:pPr>
        <w:spacing w:after="0" w:line="240" w:lineRule="auto"/>
      </w:pPr>
      <w:r>
        <w:separator/>
      </w:r>
    </w:p>
  </w:footnote>
  <w:footnote w:type="continuationSeparator" w:id="0">
    <w:p w14:paraId="2FE24E65" w14:textId="77777777" w:rsidR="00C41FF5" w:rsidRDefault="00C41FF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8D2" w14:textId="77777777" w:rsidR="00622217" w:rsidRDefault="0062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8F79" w14:textId="5FFFBC5F" w:rsidR="00E35ED7" w:rsidRDefault="00E35ED7" w:rsidP="00E35ED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FF45" w14:textId="77777777" w:rsidR="00622217" w:rsidRDefault="0062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3A"/>
    <w:multiLevelType w:val="hybridMultilevel"/>
    <w:tmpl w:val="397E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71BD2"/>
    <w:multiLevelType w:val="hybridMultilevel"/>
    <w:tmpl w:val="149A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F102F"/>
    <w:multiLevelType w:val="hybridMultilevel"/>
    <w:tmpl w:val="397E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F5266E"/>
    <w:multiLevelType w:val="hybridMultilevel"/>
    <w:tmpl w:val="211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628AB"/>
    <w:multiLevelType w:val="hybridMultilevel"/>
    <w:tmpl w:val="397EF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6"/>
  </w:num>
  <w:num w:numId="5">
    <w:abstractNumId w:val="3"/>
  </w:num>
  <w:num w:numId="6">
    <w:abstractNumId w:val="1"/>
  </w:num>
  <w:num w:numId="7">
    <w:abstractNumId w:val="7"/>
  </w:num>
  <w:num w:numId="8">
    <w:abstractNumId w:val="2"/>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3367"/>
    <w:rsid w:val="0004026A"/>
    <w:rsid w:val="000422DB"/>
    <w:rsid w:val="00043796"/>
    <w:rsid w:val="00051481"/>
    <w:rsid w:val="00092FE4"/>
    <w:rsid w:val="000C229E"/>
    <w:rsid w:val="000D590D"/>
    <w:rsid w:val="000E009D"/>
    <w:rsid w:val="00123E2E"/>
    <w:rsid w:val="00124A6B"/>
    <w:rsid w:val="00162382"/>
    <w:rsid w:val="00174DBB"/>
    <w:rsid w:val="0017504D"/>
    <w:rsid w:val="00185ADD"/>
    <w:rsid w:val="00197AC5"/>
    <w:rsid w:val="001B62B7"/>
    <w:rsid w:val="0020239B"/>
    <w:rsid w:val="002057DA"/>
    <w:rsid w:val="0022017F"/>
    <w:rsid w:val="00227444"/>
    <w:rsid w:val="0024267F"/>
    <w:rsid w:val="00272066"/>
    <w:rsid w:val="00287BBC"/>
    <w:rsid w:val="002C3BE7"/>
    <w:rsid w:val="002E6CA5"/>
    <w:rsid w:val="00302488"/>
    <w:rsid w:val="003172F1"/>
    <w:rsid w:val="00334B04"/>
    <w:rsid w:val="00337B89"/>
    <w:rsid w:val="003730EB"/>
    <w:rsid w:val="0039621A"/>
    <w:rsid w:val="003B0EF4"/>
    <w:rsid w:val="003B6FB6"/>
    <w:rsid w:val="003E15B5"/>
    <w:rsid w:val="003F536E"/>
    <w:rsid w:val="00400151"/>
    <w:rsid w:val="00437E48"/>
    <w:rsid w:val="00440463"/>
    <w:rsid w:val="00443BB7"/>
    <w:rsid w:val="00445802"/>
    <w:rsid w:val="004752AD"/>
    <w:rsid w:val="004A5BA6"/>
    <w:rsid w:val="004B74B6"/>
    <w:rsid w:val="004E1EB9"/>
    <w:rsid w:val="00527D6D"/>
    <w:rsid w:val="00530462"/>
    <w:rsid w:val="005357C5"/>
    <w:rsid w:val="00537153"/>
    <w:rsid w:val="00566AC7"/>
    <w:rsid w:val="00580A0D"/>
    <w:rsid w:val="00592817"/>
    <w:rsid w:val="005B087E"/>
    <w:rsid w:val="005C021D"/>
    <w:rsid w:val="005C3729"/>
    <w:rsid w:val="005E0983"/>
    <w:rsid w:val="005F0DD8"/>
    <w:rsid w:val="00622217"/>
    <w:rsid w:val="0065013E"/>
    <w:rsid w:val="006526B7"/>
    <w:rsid w:val="006555BA"/>
    <w:rsid w:val="00672EBB"/>
    <w:rsid w:val="00680D3D"/>
    <w:rsid w:val="006B6745"/>
    <w:rsid w:val="006E1472"/>
    <w:rsid w:val="00717DB8"/>
    <w:rsid w:val="00721F5D"/>
    <w:rsid w:val="007503E8"/>
    <w:rsid w:val="00754F29"/>
    <w:rsid w:val="0076707C"/>
    <w:rsid w:val="007853C4"/>
    <w:rsid w:val="00787BCB"/>
    <w:rsid w:val="007C3C00"/>
    <w:rsid w:val="007D7297"/>
    <w:rsid w:val="007F719B"/>
    <w:rsid w:val="00805840"/>
    <w:rsid w:val="00805AF1"/>
    <w:rsid w:val="0087410E"/>
    <w:rsid w:val="00874A3B"/>
    <w:rsid w:val="00892D0F"/>
    <w:rsid w:val="008A187D"/>
    <w:rsid w:val="008C34B8"/>
    <w:rsid w:val="00910164"/>
    <w:rsid w:val="00916E54"/>
    <w:rsid w:val="009357AF"/>
    <w:rsid w:val="009364AE"/>
    <w:rsid w:val="0094605A"/>
    <w:rsid w:val="0095710D"/>
    <w:rsid w:val="009667A1"/>
    <w:rsid w:val="009811A8"/>
    <w:rsid w:val="00987E79"/>
    <w:rsid w:val="009950B6"/>
    <w:rsid w:val="009B109E"/>
    <w:rsid w:val="009B7A05"/>
    <w:rsid w:val="00A3568E"/>
    <w:rsid w:val="00A42685"/>
    <w:rsid w:val="00A47F8C"/>
    <w:rsid w:val="00A542DE"/>
    <w:rsid w:val="00A75C80"/>
    <w:rsid w:val="00A972CE"/>
    <w:rsid w:val="00AC0C95"/>
    <w:rsid w:val="00B06E81"/>
    <w:rsid w:val="00B450A0"/>
    <w:rsid w:val="00B5126A"/>
    <w:rsid w:val="00B64816"/>
    <w:rsid w:val="00B743E2"/>
    <w:rsid w:val="00BA148E"/>
    <w:rsid w:val="00BA7FAF"/>
    <w:rsid w:val="00BB4306"/>
    <w:rsid w:val="00BF12AC"/>
    <w:rsid w:val="00C15486"/>
    <w:rsid w:val="00C25041"/>
    <w:rsid w:val="00C41FF5"/>
    <w:rsid w:val="00C42ECA"/>
    <w:rsid w:val="00C85EF3"/>
    <w:rsid w:val="00CE6FF9"/>
    <w:rsid w:val="00CF3850"/>
    <w:rsid w:val="00CF71ED"/>
    <w:rsid w:val="00D457F7"/>
    <w:rsid w:val="00D7302C"/>
    <w:rsid w:val="00D9096B"/>
    <w:rsid w:val="00E00F47"/>
    <w:rsid w:val="00E232DD"/>
    <w:rsid w:val="00E35ED7"/>
    <w:rsid w:val="00E50D9B"/>
    <w:rsid w:val="00EA275B"/>
    <w:rsid w:val="00EC7CF9"/>
    <w:rsid w:val="00EF0A7F"/>
    <w:rsid w:val="00F1617C"/>
    <w:rsid w:val="00F64DDD"/>
    <w:rsid w:val="00F77BDE"/>
    <w:rsid w:val="00F94EE4"/>
    <w:rsid w:val="00FC22E0"/>
    <w:rsid w:val="00FC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9B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22217"/>
    <w:pPr>
      <w:keepNext/>
      <w:keepLines/>
      <w:spacing w:before="200" w:after="0"/>
      <w:outlineLvl w:val="4"/>
    </w:pPr>
    <w:rPr>
      <w:rFonts w:eastAsiaTheme="majorEastAsia" w:cs="Times New Roman"/>
      <w:b/>
    </w:rPr>
  </w:style>
  <w:style w:type="paragraph" w:styleId="Heading6">
    <w:name w:val="heading 6"/>
    <w:basedOn w:val="Heading2"/>
    <w:next w:val="Normal"/>
    <w:link w:val="Heading6Char"/>
    <w:uiPriority w:val="9"/>
    <w:unhideWhenUsed/>
    <w:qFormat/>
    <w:rsid w:val="00622217"/>
    <w:pPr>
      <w:spacing w:before="0" w:after="0"/>
      <w:outlineLvl w:val="5"/>
    </w:pPr>
  </w:style>
  <w:style w:type="paragraph" w:styleId="Heading7">
    <w:name w:val="heading 7"/>
    <w:basedOn w:val="Heading2"/>
    <w:next w:val="Normal"/>
    <w:link w:val="Heading7Char"/>
    <w:uiPriority w:val="9"/>
    <w:unhideWhenUsed/>
    <w:qFormat/>
    <w:rsid w:val="00622217"/>
    <w:pPr>
      <w:spacing w:before="0" w:after="0"/>
      <w:outlineLvl w:val="6"/>
    </w:pPr>
  </w:style>
  <w:style w:type="paragraph" w:styleId="Heading8">
    <w:name w:val="heading 8"/>
    <w:basedOn w:val="Normal"/>
    <w:next w:val="Normal"/>
    <w:link w:val="Heading8Char"/>
    <w:uiPriority w:val="9"/>
    <w:unhideWhenUsed/>
    <w:qFormat/>
    <w:rsid w:val="00622217"/>
    <w:pPr>
      <w:jc w:val="both"/>
      <w:outlineLvl w:val="7"/>
    </w:pPr>
    <w:rPr>
      <w:b/>
    </w:rPr>
  </w:style>
  <w:style w:type="paragraph" w:styleId="Heading9">
    <w:name w:val="heading 9"/>
    <w:basedOn w:val="Heading2"/>
    <w:next w:val="Normal"/>
    <w:link w:val="Heading9Char"/>
    <w:uiPriority w:val="9"/>
    <w:unhideWhenUsed/>
    <w:qFormat/>
    <w:rsid w:val="00622217"/>
    <w:pPr>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22217"/>
    <w:rPr>
      <w:rFonts w:ascii="Times New Roman" w:eastAsiaTheme="majorEastAsia" w:hAnsi="Times New Roman" w:cs="Times New Roman"/>
      <w:b/>
      <w:sz w:val="24"/>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sectbi">
    <w:name w:val="sectbi"/>
    <w:basedOn w:val="Normal"/>
    <w:rsid w:val="00A75C80"/>
    <w:pPr>
      <w:spacing w:before="100" w:beforeAutospacing="1" w:after="100" w:afterAutospacing="1" w:line="240" w:lineRule="auto"/>
    </w:pPr>
    <w:rPr>
      <w:rFonts w:eastAsia="Times New Roman" w:cs="Times New Roman"/>
      <w:szCs w:val="24"/>
    </w:rPr>
  </w:style>
  <w:style w:type="paragraph" w:customStyle="1" w:styleId="tblleft">
    <w:name w:val="tblleft"/>
    <w:basedOn w:val="Normal"/>
    <w:rsid w:val="00A75C80"/>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87410E"/>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622217"/>
    <w:rPr>
      <w:rFonts w:ascii="Times New Roman" w:eastAsiaTheme="majorEastAsia" w:hAnsi="Times New Roman" w:cs="Times New Roman"/>
      <w:b/>
      <w:bCs/>
      <w:sz w:val="24"/>
      <w:szCs w:val="24"/>
    </w:rPr>
  </w:style>
  <w:style w:type="character" w:customStyle="1" w:styleId="Heading7Char">
    <w:name w:val="Heading 7 Char"/>
    <w:basedOn w:val="DefaultParagraphFont"/>
    <w:link w:val="Heading7"/>
    <w:uiPriority w:val="9"/>
    <w:rsid w:val="00622217"/>
    <w:rPr>
      <w:rFonts w:ascii="Times New Roman" w:eastAsiaTheme="majorEastAsia" w:hAnsi="Times New Roman" w:cs="Times New Roman"/>
      <w:b/>
      <w:bCs/>
      <w:sz w:val="24"/>
      <w:szCs w:val="24"/>
    </w:rPr>
  </w:style>
  <w:style w:type="character" w:customStyle="1" w:styleId="Heading8Char">
    <w:name w:val="Heading 8 Char"/>
    <w:basedOn w:val="DefaultParagraphFont"/>
    <w:link w:val="Heading8"/>
    <w:uiPriority w:val="9"/>
    <w:rsid w:val="00622217"/>
    <w:rPr>
      <w:rFonts w:ascii="Times New Roman" w:hAnsi="Times New Roman"/>
      <w:b/>
      <w:sz w:val="24"/>
    </w:rPr>
  </w:style>
  <w:style w:type="character" w:customStyle="1" w:styleId="Heading9Char">
    <w:name w:val="Heading 9 Char"/>
    <w:basedOn w:val="DefaultParagraphFont"/>
    <w:link w:val="Heading9"/>
    <w:uiPriority w:val="9"/>
    <w:rsid w:val="00622217"/>
    <w:rPr>
      <w:rFonts w:ascii="Times New Roman" w:eastAsiaTheme="majorEastAsia" w:hAnsi="Times New Roman" w:cs="Times New Roman"/>
      <w:b/>
      <w:bCs/>
      <w:sz w:val="24"/>
      <w:szCs w:val="24"/>
    </w:rPr>
  </w:style>
  <w:style w:type="paragraph" w:customStyle="1" w:styleId="Heading10">
    <w:name w:val="Heading 10"/>
    <w:basedOn w:val="Heading9"/>
    <w:qFormat/>
    <w:rsid w:val="00652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22217"/>
    <w:pPr>
      <w:keepNext/>
      <w:keepLines/>
      <w:spacing w:before="200" w:after="0"/>
      <w:outlineLvl w:val="4"/>
    </w:pPr>
    <w:rPr>
      <w:rFonts w:eastAsiaTheme="majorEastAsia" w:cs="Times New Roman"/>
      <w:b/>
    </w:rPr>
  </w:style>
  <w:style w:type="paragraph" w:styleId="Heading6">
    <w:name w:val="heading 6"/>
    <w:basedOn w:val="Heading2"/>
    <w:next w:val="Normal"/>
    <w:link w:val="Heading6Char"/>
    <w:uiPriority w:val="9"/>
    <w:unhideWhenUsed/>
    <w:qFormat/>
    <w:rsid w:val="00622217"/>
    <w:pPr>
      <w:spacing w:before="0" w:after="0"/>
      <w:outlineLvl w:val="5"/>
    </w:pPr>
  </w:style>
  <w:style w:type="paragraph" w:styleId="Heading7">
    <w:name w:val="heading 7"/>
    <w:basedOn w:val="Heading2"/>
    <w:next w:val="Normal"/>
    <w:link w:val="Heading7Char"/>
    <w:uiPriority w:val="9"/>
    <w:unhideWhenUsed/>
    <w:qFormat/>
    <w:rsid w:val="00622217"/>
    <w:pPr>
      <w:spacing w:before="0" w:after="0"/>
      <w:outlineLvl w:val="6"/>
    </w:pPr>
  </w:style>
  <w:style w:type="paragraph" w:styleId="Heading8">
    <w:name w:val="heading 8"/>
    <w:basedOn w:val="Normal"/>
    <w:next w:val="Normal"/>
    <w:link w:val="Heading8Char"/>
    <w:uiPriority w:val="9"/>
    <w:unhideWhenUsed/>
    <w:qFormat/>
    <w:rsid w:val="00622217"/>
    <w:pPr>
      <w:jc w:val="both"/>
      <w:outlineLvl w:val="7"/>
    </w:pPr>
    <w:rPr>
      <w:b/>
    </w:rPr>
  </w:style>
  <w:style w:type="paragraph" w:styleId="Heading9">
    <w:name w:val="heading 9"/>
    <w:basedOn w:val="Heading2"/>
    <w:next w:val="Normal"/>
    <w:link w:val="Heading9Char"/>
    <w:uiPriority w:val="9"/>
    <w:unhideWhenUsed/>
    <w:qFormat/>
    <w:rsid w:val="00622217"/>
    <w:pPr>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22217"/>
    <w:rPr>
      <w:rFonts w:ascii="Times New Roman" w:eastAsiaTheme="majorEastAsia" w:hAnsi="Times New Roman" w:cs="Times New Roman"/>
      <w:b/>
      <w:sz w:val="24"/>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185ADD"/>
    <w:rPr>
      <w:color w:val="0000FF" w:themeColor="hyperlink"/>
      <w:u w:val="single"/>
    </w:rPr>
  </w:style>
  <w:style w:type="character" w:styleId="CommentReference">
    <w:name w:val="annotation reference"/>
    <w:basedOn w:val="DefaultParagraphFont"/>
    <w:uiPriority w:val="99"/>
    <w:semiHidden/>
    <w:unhideWhenUsed/>
    <w:rsid w:val="00721F5D"/>
    <w:rPr>
      <w:sz w:val="16"/>
      <w:szCs w:val="16"/>
    </w:rPr>
  </w:style>
  <w:style w:type="paragraph" w:styleId="CommentText">
    <w:name w:val="annotation text"/>
    <w:basedOn w:val="Normal"/>
    <w:link w:val="CommentTextChar"/>
    <w:uiPriority w:val="99"/>
    <w:semiHidden/>
    <w:unhideWhenUsed/>
    <w:rsid w:val="00721F5D"/>
    <w:pPr>
      <w:spacing w:line="240" w:lineRule="auto"/>
    </w:pPr>
    <w:rPr>
      <w:sz w:val="20"/>
      <w:szCs w:val="20"/>
    </w:rPr>
  </w:style>
  <w:style w:type="character" w:customStyle="1" w:styleId="CommentTextChar">
    <w:name w:val="Comment Text Char"/>
    <w:basedOn w:val="DefaultParagraphFont"/>
    <w:link w:val="CommentText"/>
    <w:uiPriority w:val="99"/>
    <w:semiHidden/>
    <w:rsid w:val="00721F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F5D"/>
    <w:rPr>
      <w:b/>
      <w:bCs/>
    </w:rPr>
  </w:style>
  <w:style w:type="character" w:customStyle="1" w:styleId="CommentSubjectChar">
    <w:name w:val="Comment Subject Char"/>
    <w:basedOn w:val="CommentTextChar"/>
    <w:link w:val="CommentSubject"/>
    <w:uiPriority w:val="99"/>
    <w:semiHidden/>
    <w:rsid w:val="00721F5D"/>
    <w:rPr>
      <w:rFonts w:ascii="Times New Roman" w:hAnsi="Times New Roman"/>
      <w:b/>
      <w:bCs/>
      <w:sz w:val="20"/>
      <w:szCs w:val="20"/>
    </w:rPr>
  </w:style>
  <w:style w:type="paragraph" w:customStyle="1" w:styleId="sectbi">
    <w:name w:val="sectbi"/>
    <w:basedOn w:val="Normal"/>
    <w:rsid w:val="00A75C80"/>
    <w:pPr>
      <w:spacing w:before="100" w:beforeAutospacing="1" w:after="100" w:afterAutospacing="1" w:line="240" w:lineRule="auto"/>
    </w:pPr>
    <w:rPr>
      <w:rFonts w:eastAsia="Times New Roman" w:cs="Times New Roman"/>
      <w:szCs w:val="24"/>
    </w:rPr>
  </w:style>
  <w:style w:type="paragraph" w:customStyle="1" w:styleId="tblleft">
    <w:name w:val="tblleft"/>
    <w:basedOn w:val="Normal"/>
    <w:rsid w:val="00A75C80"/>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87410E"/>
    <w:pPr>
      <w:spacing w:before="100" w:beforeAutospacing="1" w:after="100" w:afterAutospacing="1" w:line="240" w:lineRule="auto"/>
    </w:pPr>
    <w:rPr>
      <w:rFonts w:eastAsia="Times New Roman" w:cs="Times New Roman"/>
      <w:szCs w:val="24"/>
    </w:rPr>
  </w:style>
  <w:style w:type="character" w:customStyle="1" w:styleId="Heading6Char">
    <w:name w:val="Heading 6 Char"/>
    <w:basedOn w:val="DefaultParagraphFont"/>
    <w:link w:val="Heading6"/>
    <w:uiPriority w:val="9"/>
    <w:rsid w:val="00622217"/>
    <w:rPr>
      <w:rFonts w:ascii="Times New Roman" w:eastAsiaTheme="majorEastAsia" w:hAnsi="Times New Roman" w:cs="Times New Roman"/>
      <w:b/>
      <w:bCs/>
      <w:sz w:val="24"/>
      <w:szCs w:val="24"/>
    </w:rPr>
  </w:style>
  <w:style w:type="character" w:customStyle="1" w:styleId="Heading7Char">
    <w:name w:val="Heading 7 Char"/>
    <w:basedOn w:val="DefaultParagraphFont"/>
    <w:link w:val="Heading7"/>
    <w:uiPriority w:val="9"/>
    <w:rsid w:val="00622217"/>
    <w:rPr>
      <w:rFonts w:ascii="Times New Roman" w:eastAsiaTheme="majorEastAsia" w:hAnsi="Times New Roman" w:cs="Times New Roman"/>
      <w:b/>
      <w:bCs/>
      <w:sz w:val="24"/>
      <w:szCs w:val="24"/>
    </w:rPr>
  </w:style>
  <w:style w:type="character" w:customStyle="1" w:styleId="Heading8Char">
    <w:name w:val="Heading 8 Char"/>
    <w:basedOn w:val="DefaultParagraphFont"/>
    <w:link w:val="Heading8"/>
    <w:uiPriority w:val="9"/>
    <w:rsid w:val="00622217"/>
    <w:rPr>
      <w:rFonts w:ascii="Times New Roman" w:hAnsi="Times New Roman"/>
      <w:b/>
      <w:sz w:val="24"/>
    </w:rPr>
  </w:style>
  <w:style w:type="character" w:customStyle="1" w:styleId="Heading9Char">
    <w:name w:val="Heading 9 Char"/>
    <w:basedOn w:val="DefaultParagraphFont"/>
    <w:link w:val="Heading9"/>
    <w:uiPriority w:val="9"/>
    <w:rsid w:val="00622217"/>
    <w:rPr>
      <w:rFonts w:ascii="Times New Roman" w:eastAsiaTheme="majorEastAsia" w:hAnsi="Times New Roman" w:cs="Times New Roman"/>
      <w:b/>
      <w:bCs/>
      <w:sz w:val="24"/>
      <w:szCs w:val="24"/>
    </w:rPr>
  </w:style>
  <w:style w:type="paragraph" w:customStyle="1" w:styleId="Heading10">
    <w:name w:val="Heading 10"/>
    <w:basedOn w:val="Heading9"/>
    <w:qFormat/>
    <w:rsid w:val="0065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0652">
      <w:bodyDiv w:val="1"/>
      <w:marLeft w:val="0"/>
      <w:marRight w:val="0"/>
      <w:marTop w:val="0"/>
      <w:marBottom w:val="0"/>
      <w:divBdr>
        <w:top w:val="none" w:sz="0" w:space="0" w:color="auto"/>
        <w:left w:val="none" w:sz="0" w:space="0" w:color="auto"/>
        <w:bottom w:val="none" w:sz="0" w:space="0" w:color="auto"/>
        <w:right w:val="none" w:sz="0" w:space="0" w:color="auto"/>
      </w:divBdr>
    </w:div>
    <w:div w:id="1281961872">
      <w:bodyDiv w:val="1"/>
      <w:marLeft w:val="0"/>
      <w:marRight w:val="0"/>
      <w:marTop w:val="0"/>
      <w:marBottom w:val="0"/>
      <w:divBdr>
        <w:top w:val="none" w:sz="0" w:space="0" w:color="auto"/>
        <w:left w:val="none" w:sz="0" w:space="0" w:color="auto"/>
        <w:bottom w:val="none" w:sz="0" w:space="0" w:color="auto"/>
        <w:right w:val="none" w:sz="0" w:space="0" w:color="auto"/>
      </w:divBdr>
    </w:div>
    <w:div w:id="134146990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131/section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aw.lis.virginia.gov/admincode/title8/agency20/chapter131/section390/"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2593344911634E0795F25D060AA8366F"/>
        <w:category>
          <w:name w:val="General"/>
          <w:gallery w:val="placeholder"/>
        </w:category>
        <w:types>
          <w:type w:val="bbPlcHdr"/>
        </w:types>
        <w:behaviors>
          <w:behavior w:val="content"/>
        </w:behaviors>
        <w:guid w:val="{228517EF-A39E-4B45-8407-529C5ED0EAB2}"/>
      </w:docPartPr>
      <w:docPartBody>
        <w:p w:rsidR="00A8677C" w:rsidRDefault="00AE0AD9" w:rsidP="00AE0AD9">
          <w:pPr>
            <w:pStyle w:val="2593344911634E0795F25D060AA836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53E10"/>
    <w:rsid w:val="00336AF3"/>
    <w:rsid w:val="006820B1"/>
    <w:rsid w:val="009B1BA0"/>
    <w:rsid w:val="009D4A61"/>
    <w:rsid w:val="00A8677C"/>
    <w:rsid w:val="00AA6A5C"/>
    <w:rsid w:val="00AE0AD9"/>
    <w:rsid w:val="00B95EC1"/>
    <w:rsid w:val="00DA4899"/>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AD9"/>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2593344911634E0795F25D060AA8366F">
    <w:name w:val="2593344911634E0795F25D060AA8366F"/>
    <w:rsid w:val="00AE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A112-7B6E-4C19-9F69-C0F5C83A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First Review of a Proposal to Adopt Special Provisions Related to the Use of a School Quality Indicator</vt:lpstr>
    </vt:vector>
  </TitlesOfParts>
  <Company>Virginia IT Infrastructure Partnership</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 Proposal to Adopt Special Provisions Related to the Use of a School Quality Indicator</dc:title>
  <dc:creator>Emily V. Webb (DOE)</dc:creator>
  <cp:lastModifiedBy>Emily V. Webb (DOE) </cp:lastModifiedBy>
  <cp:revision>2</cp:revision>
  <cp:lastPrinted>2019-09-05T14:22:00Z</cp:lastPrinted>
  <dcterms:created xsi:type="dcterms:W3CDTF">2019-09-11T16:52:00Z</dcterms:created>
  <dcterms:modified xsi:type="dcterms:W3CDTF">2019-09-11T16:52:00Z</dcterms:modified>
</cp:coreProperties>
</file>