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B6173F">
        <w:t>Poquoson</w:t>
      </w:r>
      <w:r w:rsidR="00570984">
        <w:t xml:space="preserve"> City</w:t>
      </w:r>
      <w:r w:rsidR="00F41905">
        <w:t xml:space="preserve"> School Division</w:t>
      </w:r>
    </w:p>
    <w:p w:rsidR="00E63DC5" w:rsidRDefault="00E63DC5" w:rsidP="00E63DC5">
      <w:pPr>
        <w:pStyle w:val="NormalTNR"/>
      </w:pPr>
      <w:r w:rsidRPr="008B62AA">
        <w:rPr>
          <w:b/>
        </w:rPr>
        <w:t>Report Publication Date:</w:t>
      </w:r>
      <w:r w:rsidR="001C0DE3">
        <w:t xml:space="preserve"> April 2018</w:t>
      </w:r>
    </w:p>
    <w:p w:rsidR="00E63DC5" w:rsidRDefault="00E63DC5" w:rsidP="00E63DC5">
      <w:pPr>
        <w:pStyle w:val="NormalTNR"/>
      </w:pPr>
      <w:r w:rsidRPr="008B62AA">
        <w:rPr>
          <w:b/>
        </w:rPr>
        <w:t>Administrative Review Dates:</w:t>
      </w:r>
      <w:r>
        <w:t xml:space="preserve"> </w:t>
      </w:r>
      <w:r w:rsidR="001358FF">
        <w:t>January 30- February</w:t>
      </w:r>
      <w:r w:rsidR="0084533E">
        <w:t xml:space="preserve"> </w:t>
      </w:r>
      <w:r w:rsidR="001358FF">
        <w:t>1, 2018</w:t>
      </w:r>
    </w:p>
    <w:p w:rsidR="00E63DC5" w:rsidRDefault="00E63DC5" w:rsidP="00E63DC5">
      <w:pPr>
        <w:pStyle w:val="NormalTNR"/>
      </w:pPr>
      <w:r w:rsidRPr="008B62AA">
        <w:rPr>
          <w:b/>
        </w:rPr>
        <w:t>Review Month and Year:</w:t>
      </w:r>
      <w:r>
        <w:t xml:space="preserve"> </w:t>
      </w:r>
      <w:r w:rsidR="001358FF">
        <w:t>December 2017</w:t>
      </w:r>
    </w:p>
    <w:p w:rsidR="00E63DC5" w:rsidRDefault="00E63DC5" w:rsidP="00E63DC5">
      <w:pPr>
        <w:pStyle w:val="NormalTNR"/>
      </w:pPr>
      <w:r w:rsidRPr="008B62AA">
        <w:rPr>
          <w:b/>
        </w:rPr>
        <w:t>Participating Programs:</w:t>
      </w:r>
      <w:r>
        <w:t xml:space="preserve"> </w:t>
      </w:r>
      <w:r w:rsidR="001358FF">
        <w:t>NSLP, SBP</w:t>
      </w:r>
    </w:p>
    <w:p w:rsidR="00E63DC5" w:rsidRPr="00E63DC5" w:rsidRDefault="00E63DC5" w:rsidP="00F70D82">
      <w:pPr>
        <w:pStyle w:val="NormalTNR"/>
        <w:spacing w:after="600"/>
      </w:pPr>
      <w:r w:rsidRPr="008B62AA">
        <w:rPr>
          <w:b/>
        </w:rPr>
        <w:t>Participates in Special Provisions?</w:t>
      </w:r>
      <w:r>
        <w:t xml:space="preserve"> </w:t>
      </w:r>
      <w:r w:rsidR="001358FF">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1358FF">
        <w:rPr>
          <w:sz w:val="28"/>
        </w:rPr>
        <w:t>December 2017</w:t>
      </w:r>
      <w:r w:rsidRPr="00A61E27">
        <w:rPr>
          <w:sz w:val="28"/>
        </w:rPr>
        <w:t>:</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1C0DE3">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1C0DE3">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1C0DE3">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1C0DE3">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1C0DE3">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1C0DE3">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84533E" w:rsidP="001C0DE3">
            <w:pPr>
              <w:pStyle w:val="NormalTNR"/>
              <w:spacing w:after="0"/>
              <w:rPr>
                <w:b/>
                <w:lang w:eastAsia="ja-JP"/>
              </w:rPr>
            </w:pPr>
            <w:r>
              <w:rPr>
                <w:b/>
                <w:lang w:eastAsia="ja-JP"/>
              </w:rPr>
              <w:t>Total Reimbursement (</w:t>
            </w:r>
            <w:r w:rsidR="006C3986" w:rsidRPr="00937A7F">
              <w:rPr>
                <w:b/>
                <w:lang w:eastAsia="ja-JP"/>
              </w:rPr>
              <w:t>$)</w:t>
            </w:r>
          </w:p>
        </w:tc>
      </w:tr>
      <w:tr w:rsidR="00767813" w:rsidRPr="00937A7F" w:rsidTr="00937A7F">
        <w:trPr>
          <w:tblHeader/>
        </w:trPr>
        <w:tc>
          <w:tcPr>
            <w:tcW w:w="1230" w:type="dxa"/>
            <w:tcBorders>
              <w:top w:val="single" w:sz="4" w:space="0" w:color="auto"/>
            </w:tcBorders>
            <w:shd w:val="clear" w:color="auto" w:fill="auto"/>
          </w:tcPr>
          <w:p w:rsidR="006C3986" w:rsidRPr="001C0DE3" w:rsidRDefault="006C3986" w:rsidP="001C0DE3">
            <w:pPr>
              <w:pStyle w:val="NormalTNR"/>
              <w:spacing w:after="0"/>
              <w:rPr>
                <w:b/>
                <w:lang w:eastAsia="ja-JP"/>
              </w:rPr>
            </w:pPr>
            <w:r w:rsidRPr="001C0DE3">
              <w:rPr>
                <w:b/>
                <w:lang w:eastAsia="ja-JP"/>
              </w:rPr>
              <w:t>Free</w:t>
            </w:r>
          </w:p>
        </w:tc>
        <w:tc>
          <w:tcPr>
            <w:tcW w:w="1390" w:type="dxa"/>
            <w:shd w:val="clear" w:color="auto" w:fill="auto"/>
          </w:tcPr>
          <w:p w:rsidR="006C3986" w:rsidRPr="001C0DE3" w:rsidRDefault="001358FF" w:rsidP="001C0DE3">
            <w:pPr>
              <w:pStyle w:val="NormalTNR"/>
              <w:spacing w:after="0"/>
              <w:rPr>
                <w:lang w:eastAsia="ja-JP"/>
              </w:rPr>
            </w:pPr>
            <w:r w:rsidRPr="001C0DE3">
              <w:rPr>
                <w:lang w:eastAsia="ja-JP"/>
              </w:rPr>
              <w:t>315</w:t>
            </w:r>
          </w:p>
        </w:tc>
        <w:tc>
          <w:tcPr>
            <w:tcW w:w="1563" w:type="dxa"/>
            <w:shd w:val="clear" w:color="auto" w:fill="auto"/>
            <w:vAlign w:val="center"/>
          </w:tcPr>
          <w:p w:rsidR="006C3986" w:rsidRPr="001C0DE3" w:rsidRDefault="001358FF" w:rsidP="001C0DE3">
            <w:pPr>
              <w:pStyle w:val="NormalTNR"/>
              <w:spacing w:after="0"/>
              <w:rPr>
                <w:lang w:eastAsia="ja-JP"/>
              </w:rPr>
            </w:pPr>
            <w:r w:rsidRPr="001C0DE3">
              <w:rPr>
                <w:lang w:eastAsia="ja-JP"/>
              </w:rPr>
              <w:t>199</w:t>
            </w:r>
          </w:p>
        </w:tc>
        <w:tc>
          <w:tcPr>
            <w:tcW w:w="1027" w:type="dxa"/>
            <w:shd w:val="clear" w:color="auto" w:fill="auto"/>
          </w:tcPr>
          <w:p w:rsidR="006C3986" w:rsidRPr="001C0DE3" w:rsidRDefault="001358FF" w:rsidP="001C0DE3">
            <w:pPr>
              <w:pStyle w:val="NormalTNR"/>
              <w:spacing w:after="0"/>
              <w:rPr>
                <w:lang w:eastAsia="ja-JP"/>
              </w:rPr>
            </w:pPr>
            <w:r w:rsidRPr="001C0DE3">
              <w:rPr>
                <w:lang w:eastAsia="ja-JP"/>
              </w:rPr>
              <w:t>28.51</w:t>
            </w:r>
          </w:p>
        </w:tc>
        <w:tc>
          <w:tcPr>
            <w:tcW w:w="1249" w:type="dxa"/>
            <w:shd w:val="clear" w:color="auto" w:fill="auto"/>
            <w:vAlign w:val="center"/>
          </w:tcPr>
          <w:p w:rsidR="006C3986" w:rsidRPr="001C0DE3" w:rsidRDefault="00454B5B" w:rsidP="001C0DE3">
            <w:pPr>
              <w:pStyle w:val="NormalTNR"/>
              <w:spacing w:after="0"/>
              <w:rPr>
                <w:lang w:eastAsia="ja-JP"/>
              </w:rPr>
            </w:pPr>
            <w:r w:rsidRPr="001C0DE3">
              <w:rPr>
                <w:lang w:eastAsia="ja-JP"/>
              </w:rPr>
              <w:t>76</w:t>
            </w:r>
          </w:p>
        </w:tc>
        <w:tc>
          <w:tcPr>
            <w:tcW w:w="1216" w:type="dxa"/>
            <w:shd w:val="clear" w:color="auto" w:fill="auto"/>
            <w:vAlign w:val="center"/>
          </w:tcPr>
          <w:p w:rsidR="006C3986" w:rsidRPr="001C0DE3" w:rsidRDefault="00454B5B" w:rsidP="001C0DE3">
            <w:pPr>
              <w:pStyle w:val="NormalTNR"/>
              <w:spacing w:after="0"/>
              <w:rPr>
                <w:lang w:eastAsia="ja-JP"/>
              </w:rPr>
            </w:pPr>
            <w:r w:rsidRPr="001C0DE3">
              <w:rPr>
                <w:lang w:eastAsia="ja-JP"/>
              </w:rPr>
              <w:t>48.72</w:t>
            </w:r>
          </w:p>
        </w:tc>
        <w:tc>
          <w:tcPr>
            <w:tcW w:w="1860" w:type="dxa"/>
            <w:shd w:val="clear" w:color="auto" w:fill="auto"/>
            <w:vAlign w:val="center"/>
          </w:tcPr>
          <w:p w:rsidR="006C3986" w:rsidRPr="001C0DE3" w:rsidRDefault="007775AF" w:rsidP="001C0DE3">
            <w:pPr>
              <w:pStyle w:val="NormalTNR"/>
              <w:spacing w:after="0"/>
              <w:rPr>
                <w:lang w:eastAsia="ja-JP"/>
              </w:rPr>
            </w:pPr>
            <w:r w:rsidRPr="001C0DE3">
              <w:rPr>
                <w:lang w:eastAsia="ja-JP"/>
              </w:rPr>
              <w:t>$10,402.14</w:t>
            </w:r>
          </w:p>
        </w:tc>
      </w:tr>
      <w:tr w:rsidR="00767813" w:rsidRPr="00937A7F" w:rsidTr="00937A7F">
        <w:trPr>
          <w:tblHeader/>
        </w:trPr>
        <w:tc>
          <w:tcPr>
            <w:tcW w:w="1230" w:type="dxa"/>
            <w:shd w:val="clear" w:color="auto" w:fill="auto"/>
          </w:tcPr>
          <w:p w:rsidR="006C3986" w:rsidRPr="001C0DE3" w:rsidRDefault="006C3986" w:rsidP="001C0DE3">
            <w:pPr>
              <w:pStyle w:val="NormalTNR"/>
              <w:spacing w:after="0"/>
              <w:rPr>
                <w:b/>
                <w:lang w:eastAsia="ja-JP"/>
              </w:rPr>
            </w:pPr>
            <w:r w:rsidRPr="001C0DE3">
              <w:rPr>
                <w:b/>
                <w:lang w:eastAsia="ja-JP"/>
              </w:rPr>
              <w:t>Reduced</w:t>
            </w:r>
          </w:p>
        </w:tc>
        <w:tc>
          <w:tcPr>
            <w:tcW w:w="1390" w:type="dxa"/>
            <w:shd w:val="clear" w:color="auto" w:fill="auto"/>
          </w:tcPr>
          <w:p w:rsidR="006C3986" w:rsidRPr="001C0DE3" w:rsidRDefault="001358FF" w:rsidP="001C0DE3">
            <w:pPr>
              <w:pStyle w:val="NormalTNR"/>
              <w:spacing w:after="0"/>
              <w:rPr>
                <w:lang w:eastAsia="ja-JP"/>
              </w:rPr>
            </w:pPr>
            <w:r w:rsidRPr="001C0DE3">
              <w:rPr>
                <w:lang w:eastAsia="ja-JP"/>
              </w:rPr>
              <w:t>71</w:t>
            </w:r>
          </w:p>
        </w:tc>
        <w:tc>
          <w:tcPr>
            <w:tcW w:w="1563" w:type="dxa"/>
            <w:shd w:val="clear" w:color="auto" w:fill="auto"/>
            <w:vAlign w:val="center"/>
          </w:tcPr>
          <w:p w:rsidR="006C3986" w:rsidRPr="001C0DE3" w:rsidRDefault="00454B5B" w:rsidP="001C0DE3">
            <w:pPr>
              <w:pStyle w:val="NormalTNR"/>
              <w:spacing w:after="0"/>
              <w:rPr>
                <w:lang w:eastAsia="ja-JP"/>
              </w:rPr>
            </w:pPr>
            <w:r w:rsidRPr="001C0DE3">
              <w:rPr>
                <w:lang w:eastAsia="ja-JP"/>
              </w:rPr>
              <w:t>43</w:t>
            </w:r>
          </w:p>
        </w:tc>
        <w:tc>
          <w:tcPr>
            <w:tcW w:w="1027" w:type="dxa"/>
            <w:shd w:val="clear" w:color="auto" w:fill="auto"/>
          </w:tcPr>
          <w:p w:rsidR="006C3986" w:rsidRPr="001C0DE3" w:rsidRDefault="00454B5B" w:rsidP="001C0DE3">
            <w:pPr>
              <w:pStyle w:val="NormalTNR"/>
              <w:spacing w:after="0"/>
              <w:rPr>
                <w:lang w:eastAsia="ja-JP"/>
              </w:rPr>
            </w:pPr>
            <w:r w:rsidRPr="001C0DE3">
              <w:rPr>
                <w:lang w:eastAsia="ja-JP"/>
              </w:rPr>
              <w:t>6.16</w:t>
            </w:r>
          </w:p>
        </w:tc>
        <w:tc>
          <w:tcPr>
            <w:tcW w:w="1249" w:type="dxa"/>
            <w:shd w:val="clear" w:color="auto" w:fill="auto"/>
            <w:vAlign w:val="center"/>
          </w:tcPr>
          <w:p w:rsidR="006C3986" w:rsidRPr="001C0DE3" w:rsidRDefault="00454B5B" w:rsidP="001C0DE3">
            <w:pPr>
              <w:pStyle w:val="NormalTNR"/>
              <w:spacing w:after="0"/>
              <w:rPr>
                <w:lang w:eastAsia="ja-JP"/>
              </w:rPr>
            </w:pPr>
            <w:r w:rsidRPr="001C0DE3">
              <w:rPr>
                <w:lang w:eastAsia="ja-JP"/>
              </w:rPr>
              <w:t>9</w:t>
            </w:r>
          </w:p>
        </w:tc>
        <w:tc>
          <w:tcPr>
            <w:tcW w:w="1216" w:type="dxa"/>
            <w:shd w:val="clear" w:color="auto" w:fill="auto"/>
            <w:vAlign w:val="center"/>
          </w:tcPr>
          <w:p w:rsidR="006C3986" w:rsidRPr="001C0DE3" w:rsidRDefault="00454B5B" w:rsidP="001C0DE3">
            <w:pPr>
              <w:pStyle w:val="NormalTNR"/>
              <w:spacing w:after="0"/>
              <w:rPr>
                <w:lang w:eastAsia="ja-JP"/>
              </w:rPr>
            </w:pPr>
            <w:r w:rsidRPr="001C0DE3">
              <w:rPr>
                <w:lang w:eastAsia="ja-JP"/>
              </w:rPr>
              <w:t>5.77</w:t>
            </w:r>
          </w:p>
        </w:tc>
        <w:tc>
          <w:tcPr>
            <w:tcW w:w="1860" w:type="dxa"/>
            <w:shd w:val="clear" w:color="auto" w:fill="auto"/>
            <w:vAlign w:val="center"/>
          </w:tcPr>
          <w:p w:rsidR="006C3986" w:rsidRPr="001C0DE3" w:rsidRDefault="007775AF" w:rsidP="001C0DE3">
            <w:pPr>
              <w:pStyle w:val="NormalTNR"/>
              <w:spacing w:after="0"/>
              <w:rPr>
                <w:lang w:eastAsia="ja-JP"/>
              </w:rPr>
            </w:pPr>
            <w:r w:rsidRPr="001C0DE3">
              <w:rPr>
                <w:lang w:eastAsia="ja-JP"/>
              </w:rPr>
              <w:t>$1,814.13</w:t>
            </w:r>
          </w:p>
        </w:tc>
      </w:tr>
      <w:tr w:rsidR="00767813" w:rsidRPr="00937A7F" w:rsidTr="00937A7F">
        <w:trPr>
          <w:tblHeader/>
        </w:trPr>
        <w:tc>
          <w:tcPr>
            <w:tcW w:w="1230" w:type="dxa"/>
            <w:shd w:val="clear" w:color="auto" w:fill="auto"/>
          </w:tcPr>
          <w:p w:rsidR="006C3986" w:rsidRPr="001C0DE3" w:rsidRDefault="006C3986" w:rsidP="001C0DE3">
            <w:pPr>
              <w:pStyle w:val="NormalTNR"/>
              <w:spacing w:after="0"/>
              <w:rPr>
                <w:b/>
                <w:lang w:eastAsia="ja-JP"/>
              </w:rPr>
            </w:pPr>
            <w:r w:rsidRPr="001C0DE3">
              <w:rPr>
                <w:b/>
                <w:lang w:eastAsia="ja-JP"/>
              </w:rPr>
              <w:t>Paid</w:t>
            </w:r>
          </w:p>
        </w:tc>
        <w:tc>
          <w:tcPr>
            <w:tcW w:w="1390" w:type="dxa"/>
            <w:shd w:val="clear" w:color="auto" w:fill="auto"/>
          </w:tcPr>
          <w:p w:rsidR="006C3986" w:rsidRPr="001C0DE3" w:rsidRDefault="00454B5B" w:rsidP="001C0DE3">
            <w:pPr>
              <w:pStyle w:val="NormalTNR"/>
              <w:spacing w:after="0"/>
              <w:rPr>
                <w:lang w:eastAsia="ja-JP"/>
              </w:rPr>
            </w:pPr>
            <w:r w:rsidRPr="001C0DE3">
              <w:rPr>
                <w:lang w:eastAsia="ja-JP"/>
              </w:rPr>
              <w:t>1717</w:t>
            </w:r>
          </w:p>
        </w:tc>
        <w:tc>
          <w:tcPr>
            <w:tcW w:w="1563" w:type="dxa"/>
            <w:shd w:val="clear" w:color="auto" w:fill="auto"/>
            <w:vAlign w:val="center"/>
          </w:tcPr>
          <w:p w:rsidR="006C3986" w:rsidRPr="001C0DE3" w:rsidRDefault="00454B5B" w:rsidP="001C0DE3">
            <w:pPr>
              <w:pStyle w:val="NormalTNR"/>
              <w:spacing w:after="0"/>
              <w:rPr>
                <w:lang w:eastAsia="ja-JP"/>
              </w:rPr>
            </w:pPr>
            <w:r w:rsidRPr="001C0DE3">
              <w:rPr>
                <w:lang w:eastAsia="ja-JP"/>
              </w:rPr>
              <w:t>456</w:t>
            </w:r>
          </w:p>
        </w:tc>
        <w:tc>
          <w:tcPr>
            <w:tcW w:w="1027" w:type="dxa"/>
            <w:shd w:val="clear" w:color="auto" w:fill="auto"/>
          </w:tcPr>
          <w:p w:rsidR="006C3986" w:rsidRPr="001C0DE3" w:rsidRDefault="00454B5B" w:rsidP="001C0DE3">
            <w:pPr>
              <w:pStyle w:val="NormalTNR"/>
              <w:spacing w:after="0"/>
              <w:rPr>
                <w:lang w:eastAsia="ja-JP"/>
              </w:rPr>
            </w:pPr>
            <w:r w:rsidRPr="001C0DE3">
              <w:rPr>
                <w:lang w:eastAsia="ja-JP"/>
              </w:rPr>
              <w:t>65.33</w:t>
            </w:r>
          </w:p>
        </w:tc>
        <w:tc>
          <w:tcPr>
            <w:tcW w:w="1249" w:type="dxa"/>
            <w:shd w:val="clear" w:color="auto" w:fill="auto"/>
            <w:vAlign w:val="center"/>
          </w:tcPr>
          <w:p w:rsidR="006C3986" w:rsidRPr="001C0DE3" w:rsidRDefault="00454B5B" w:rsidP="001C0DE3">
            <w:pPr>
              <w:pStyle w:val="NormalTNR"/>
              <w:spacing w:after="0"/>
              <w:rPr>
                <w:lang w:eastAsia="ja-JP"/>
              </w:rPr>
            </w:pPr>
            <w:r w:rsidRPr="001C0DE3">
              <w:rPr>
                <w:lang w:eastAsia="ja-JP"/>
              </w:rPr>
              <w:t>71</w:t>
            </w:r>
          </w:p>
        </w:tc>
        <w:tc>
          <w:tcPr>
            <w:tcW w:w="1216" w:type="dxa"/>
            <w:shd w:val="clear" w:color="auto" w:fill="auto"/>
            <w:vAlign w:val="center"/>
          </w:tcPr>
          <w:p w:rsidR="006C3986" w:rsidRPr="001C0DE3" w:rsidRDefault="00454B5B" w:rsidP="001C0DE3">
            <w:pPr>
              <w:pStyle w:val="NormalTNR"/>
              <w:spacing w:after="0"/>
              <w:rPr>
                <w:lang w:eastAsia="ja-JP"/>
              </w:rPr>
            </w:pPr>
            <w:r w:rsidRPr="001C0DE3">
              <w:rPr>
                <w:lang w:eastAsia="ja-JP"/>
              </w:rPr>
              <w:t>45.51</w:t>
            </w:r>
          </w:p>
        </w:tc>
        <w:tc>
          <w:tcPr>
            <w:tcW w:w="1860" w:type="dxa"/>
            <w:shd w:val="clear" w:color="auto" w:fill="auto"/>
            <w:vAlign w:val="center"/>
          </w:tcPr>
          <w:p w:rsidR="006C3986" w:rsidRPr="001C0DE3" w:rsidRDefault="007775AF" w:rsidP="001C0DE3">
            <w:pPr>
              <w:pStyle w:val="NormalTNR"/>
              <w:spacing w:after="0"/>
              <w:rPr>
                <w:lang w:eastAsia="ja-JP"/>
              </w:rPr>
            </w:pPr>
            <w:r w:rsidRPr="001C0DE3">
              <w:rPr>
                <w:lang w:eastAsia="ja-JP"/>
              </w:rPr>
              <w:t>$2,496.39</w:t>
            </w:r>
          </w:p>
        </w:tc>
      </w:tr>
      <w:tr w:rsidR="00767813" w:rsidRPr="00937A7F" w:rsidTr="00937A7F">
        <w:trPr>
          <w:tblHeader/>
        </w:trPr>
        <w:tc>
          <w:tcPr>
            <w:tcW w:w="1230" w:type="dxa"/>
            <w:shd w:val="clear" w:color="auto" w:fill="auto"/>
          </w:tcPr>
          <w:p w:rsidR="006C3986" w:rsidRPr="00937A7F" w:rsidRDefault="006C3986" w:rsidP="001C0DE3">
            <w:pPr>
              <w:pStyle w:val="NormalTNR"/>
              <w:spacing w:after="0"/>
              <w:rPr>
                <w:b/>
                <w:lang w:eastAsia="ja-JP"/>
              </w:rPr>
            </w:pPr>
            <w:r w:rsidRPr="00937A7F">
              <w:rPr>
                <w:b/>
                <w:lang w:eastAsia="ja-JP"/>
              </w:rPr>
              <w:t>Total</w:t>
            </w:r>
          </w:p>
        </w:tc>
        <w:tc>
          <w:tcPr>
            <w:tcW w:w="1390" w:type="dxa"/>
            <w:shd w:val="clear" w:color="auto" w:fill="auto"/>
          </w:tcPr>
          <w:p w:rsidR="006C3986" w:rsidRPr="00937A7F" w:rsidRDefault="00454B5B" w:rsidP="001C0DE3">
            <w:pPr>
              <w:pStyle w:val="NormalTNR"/>
              <w:spacing w:after="0"/>
              <w:rPr>
                <w:b/>
                <w:lang w:eastAsia="ja-JP"/>
              </w:rPr>
            </w:pPr>
            <w:r>
              <w:rPr>
                <w:b/>
                <w:lang w:eastAsia="ja-JP"/>
              </w:rPr>
              <w:t>2103</w:t>
            </w:r>
          </w:p>
        </w:tc>
        <w:tc>
          <w:tcPr>
            <w:tcW w:w="1563" w:type="dxa"/>
            <w:shd w:val="clear" w:color="auto" w:fill="auto"/>
            <w:vAlign w:val="center"/>
          </w:tcPr>
          <w:p w:rsidR="006C3986" w:rsidRPr="00937A7F" w:rsidRDefault="00454B5B" w:rsidP="001C0DE3">
            <w:pPr>
              <w:pStyle w:val="NormalTNR"/>
              <w:spacing w:after="0"/>
              <w:rPr>
                <w:b/>
                <w:lang w:eastAsia="ja-JP"/>
              </w:rPr>
            </w:pPr>
            <w:r>
              <w:rPr>
                <w:b/>
                <w:lang w:eastAsia="ja-JP"/>
              </w:rPr>
              <w:t>698</w:t>
            </w:r>
          </w:p>
        </w:tc>
        <w:tc>
          <w:tcPr>
            <w:tcW w:w="1027" w:type="dxa"/>
            <w:shd w:val="clear" w:color="auto" w:fill="auto"/>
          </w:tcPr>
          <w:p w:rsidR="006C3986" w:rsidRPr="00937A7F" w:rsidRDefault="007775AF" w:rsidP="001C0DE3">
            <w:pPr>
              <w:pStyle w:val="NormalTNR"/>
              <w:spacing w:after="0"/>
              <w:rPr>
                <w:b/>
                <w:lang w:eastAsia="ja-JP"/>
              </w:rPr>
            </w:pPr>
            <w:r>
              <w:rPr>
                <w:b/>
                <w:lang w:eastAsia="ja-JP"/>
              </w:rPr>
              <w:t>33.19</w:t>
            </w:r>
          </w:p>
        </w:tc>
        <w:tc>
          <w:tcPr>
            <w:tcW w:w="1249" w:type="dxa"/>
            <w:shd w:val="clear" w:color="auto" w:fill="auto"/>
            <w:vAlign w:val="center"/>
          </w:tcPr>
          <w:p w:rsidR="006C3986" w:rsidRPr="00937A7F" w:rsidRDefault="00454B5B" w:rsidP="001C0DE3">
            <w:pPr>
              <w:pStyle w:val="NormalTNR"/>
              <w:spacing w:after="0"/>
              <w:rPr>
                <w:b/>
                <w:lang w:eastAsia="ja-JP"/>
              </w:rPr>
            </w:pPr>
            <w:r>
              <w:rPr>
                <w:b/>
                <w:lang w:eastAsia="ja-JP"/>
              </w:rPr>
              <w:t>156</w:t>
            </w:r>
          </w:p>
        </w:tc>
        <w:tc>
          <w:tcPr>
            <w:tcW w:w="1216" w:type="dxa"/>
            <w:shd w:val="clear" w:color="auto" w:fill="auto"/>
            <w:vAlign w:val="center"/>
          </w:tcPr>
          <w:p w:rsidR="006C3986" w:rsidRPr="00937A7F" w:rsidRDefault="007775AF" w:rsidP="001C0DE3">
            <w:pPr>
              <w:pStyle w:val="NormalTNR"/>
              <w:spacing w:after="0"/>
              <w:rPr>
                <w:b/>
                <w:lang w:eastAsia="ja-JP"/>
              </w:rPr>
            </w:pPr>
            <w:r>
              <w:rPr>
                <w:b/>
                <w:lang w:eastAsia="ja-JP"/>
              </w:rPr>
              <w:t>7.41</w:t>
            </w:r>
          </w:p>
        </w:tc>
        <w:tc>
          <w:tcPr>
            <w:tcW w:w="1860" w:type="dxa"/>
            <w:shd w:val="clear" w:color="auto" w:fill="auto"/>
            <w:vAlign w:val="center"/>
          </w:tcPr>
          <w:p w:rsidR="006C3986" w:rsidRPr="00937A7F" w:rsidRDefault="0084533E" w:rsidP="001C0DE3">
            <w:pPr>
              <w:pStyle w:val="NormalTNR"/>
              <w:spacing w:after="0"/>
              <w:rPr>
                <w:b/>
                <w:lang w:eastAsia="ja-JP"/>
              </w:rPr>
            </w:pPr>
            <w:r>
              <w:rPr>
                <w:b/>
                <w:lang w:eastAsia="ja-JP"/>
              </w:rPr>
              <w:t>$</w:t>
            </w:r>
            <w:r w:rsidR="007775AF">
              <w:rPr>
                <w:b/>
                <w:lang w:eastAsia="ja-JP"/>
              </w:rPr>
              <w:t>14,712.66</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EF1C86" w:rsidP="002D2FED">
            <w:pPr>
              <w:spacing w:before="0"/>
              <w:rPr>
                <w:rFonts w:ascii="Times New Roman" w:eastAsia="Times New Roman" w:hAnsi="Times New Roman"/>
                <w:b/>
                <w:color w:val="005E20"/>
                <w:szCs w:val="16"/>
                <w:lang w:eastAsia="ja-JP"/>
              </w:rPr>
            </w:pPr>
            <w:r>
              <w:rPr>
                <w:rFonts w:ascii="Times New Roman" w:eastAsia="Times New Roman" w:hAnsi="Times New Roman"/>
                <w:noProof/>
                <w:color w:val="005E20"/>
                <w:szCs w:val="16"/>
              </w:rPr>
              <w:drawing>
                <wp:inline distT="0" distB="0" distL="0" distR="0" wp14:anchorId="0B29B54C" wp14:editId="5A1CEBB7">
                  <wp:extent cx="207010" cy="207010"/>
                  <wp:effectExtent l="0" t="0" r="2540" b="2540"/>
                  <wp:docPr id="28" name="Picture 28"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5E20"/>
                <w:szCs w:val="16"/>
              </w:rPr>
              <w:t xml:space="preserve"> </w:t>
            </w:r>
            <w:r w:rsidRPr="00914162">
              <w:rPr>
                <w:rFonts w:ascii="Times New Roman" w:eastAsia="Times New Roman" w:hAnsi="Times New Roman"/>
                <w:b/>
                <w:color w:val="9E0B0F"/>
                <w:szCs w:val="16"/>
                <w:lang w:eastAsia="ja-JP"/>
              </w:rPr>
              <w:t>FINDINGS IDENTIFIED</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EE1EC7">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r w:rsidR="007775AF">
              <w:rPr>
                <w:rFonts w:ascii="Times New Roman" w:eastAsia="Times New Roman" w:hAnsi="Times New Roman"/>
                <w:b/>
                <w:color w:val="000000"/>
                <w:szCs w:val="16"/>
                <w:lang w:eastAsia="ja-JP"/>
              </w:rPr>
              <w:t xml:space="preserve"> </w:t>
            </w:r>
          </w:p>
        </w:tc>
        <w:tc>
          <w:tcPr>
            <w:tcW w:w="4677" w:type="dxa"/>
            <w:vAlign w:val="center"/>
          </w:tcPr>
          <w:p w:rsidR="00906D57" w:rsidRPr="007D3AFD" w:rsidRDefault="00EE1EC7" w:rsidP="00FC03D3">
            <w:pPr>
              <w:spacing w:before="0"/>
              <w:rPr>
                <w:rFonts w:ascii="Times New Roman" w:eastAsia="Times New Roman" w:hAnsi="Times New Roman"/>
                <w:noProof/>
                <w:color w:val="000000"/>
                <w:szCs w:val="20"/>
              </w:rPr>
            </w:pPr>
            <w:r>
              <w:rPr>
                <w:rFonts w:ascii="Times New Roman" w:eastAsia="Times New Roman" w:hAnsi="Times New Roman"/>
                <w:color w:val="000000"/>
                <w:szCs w:val="24"/>
                <w:lang w:eastAsia="ja-JP"/>
              </w:rPr>
              <w:t>Eligibility</w:t>
            </w:r>
            <w:r w:rsidRPr="007775AF">
              <w:rPr>
                <w:rFonts w:ascii="Times New Roman" w:eastAsia="Times New Roman" w:hAnsi="Times New Roman"/>
                <w:color w:val="000000"/>
                <w:szCs w:val="24"/>
                <w:lang w:eastAsia="ja-JP"/>
              </w:rPr>
              <w:t xml:space="preserve"> a</w:t>
            </w:r>
            <w:r w:rsidRPr="007775AF">
              <w:rPr>
                <w:rFonts w:ascii="Times New Roman" w:hAnsi="Times New Roman"/>
                <w:szCs w:val="24"/>
              </w:rPr>
              <w:t>pplication</w:t>
            </w:r>
            <w:r>
              <w:rPr>
                <w:rFonts w:ascii="Times New Roman" w:hAnsi="Times New Roman"/>
                <w:szCs w:val="24"/>
              </w:rPr>
              <w:t xml:space="preserve"> was incorrectly approved.</w:t>
            </w:r>
            <w:bookmarkStart w:id="0" w:name="_GoBack"/>
            <w:bookmarkEnd w:id="0"/>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EE1EC7"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B235653" wp14:editId="25B38C7D">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EE1EC7"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83CA226" wp14:editId="3925544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b/>
                <w:color w:val="0CA200"/>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EE1EC7"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EE1EC7"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EE1EC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CB2C553" wp14:editId="3148CA82">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EE1EC7" w:rsidRDefault="00846C3D" w:rsidP="00BC0516">
            <w:pPr>
              <w:rPr>
                <w:rFonts w:ascii="Times New Roman" w:eastAsia="Times New Roman" w:hAnsi="Times New Roman"/>
                <w:b/>
                <w:color w:val="005E20"/>
                <w:szCs w:val="16"/>
                <w:lang w:eastAsia="ja-JP"/>
              </w:rPr>
            </w:pPr>
            <w:r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noProof/>
                <w:color w:val="0CA200"/>
                <w:szCs w:val="16"/>
              </w:rPr>
              <w:drawing>
                <wp:inline distT="0" distB="0" distL="0" distR="0" wp14:anchorId="234ED21E">
                  <wp:extent cx="189230" cy="189230"/>
                  <wp:effectExtent l="0" t="0" r="1270" b="1270"/>
                  <wp:docPr id="21" name="Picture 2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EE1EC7"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EE1EC7"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EE1EC7"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E7" w:rsidRDefault="00BD09E7" w:rsidP="00EA0AD0">
      <w:pPr>
        <w:spacing w:before="0" w:after="0"/>
      </w:pPr>
      <w:r>
        <w:separator/>
      </w:r>
    </w:p>
  </w:endnote>
  <w:endnote w:type="continuationSeparator" w:id="0">
    <w:p w:rsidR="00BD09E7" w:rsidRDefault="00BD09E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E7" w:rsidRDefault="00BD09E7" w:rsidP="00EA0AD0">
      <w:pPr>
        <w:spacing w:before="0" w:after="0"/>
      </w:pPr>
      <w:r>
        <w:separator/>
      </w:r>
    </w:p>
  </w:footnote>
  <w:footnote w:type="continuationSeparator" w:id="0">
    <w:p w:rsidR="00BD09E7" w:rsidRDefault="00BD09E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358FF"/>
    <w:rsid w:val="001B0603"/>
    <w:rsid w:val="001C0DE3"/>
    <w:rsid w:val="001F75BE"/>
    <w:rsid w:val="002032A0"/>
    <w:rsid w:val="00217886"/>
    <w:rsid w:val="00260CA2"/>
    <w:rsid w:val="00265D36"/>
    <w:rsid w:val="00274A66"/>
    <w:rsid w:val="002D2FED"/>
    <w:rsid w:val="002D4167"/>
    <w:rsid w:val="0031611E"/>
    <w:rsid w:val="0032739D"/>
    <w:rsid w:val="003507AB"/>
    <w:rsid w:val="003C5AEE"/>
    <w:rsid w:val="00454B5B"/>
    <w:rsid w:val="00464DF8"/>
    <w:rsid w:val="004A5012"/>
    <w:rsid w:val="004C04E4"/>
    <w:rsid w:val="004C18F7"/>
    <w:rsid w:val="004D45AD"/>
    <w:rsid w:val="00527106"/>
    <w:rsid w:val="00570984"/>
    <w:rsid w:val="00576EFE"/>
    <w:rsid w:val="005C2719"/>
    <w:rsid w:val="005E617A"/>
    <w:rsid w:val="005E72E8"/>
    <w:rsid w:val="006070B4"/>
    <w:rsid w:val="00620948"/>
    <w:rsid w:val="006475A6"/>
    <w:rsid w:val="00694D91"/>
    <w:rsid w:val="006C3986"/>
    <w:rsid w:val="006D0B91"/>
    <w:rsid w:val="006E68D8"/>
    <w:rsid w:val="00705097"/>
    <w:rsid w:val="0073582B"/>
    <w:rsid w:val="00767813"/>
    <w:rsid w:val="007775AF"/>
    <w:rsid w:val="007D26AA"/>
    <w:rsid w:val="007D3AFD"/>
    <w:rsid w:val="00806AE0"/>
    <w:rsid w:val="0084533E"/>
    <w:rsid w:val="00846C3D"/>
    <w:rsid w:val="00906D57"/>
    <w:rsid w:val="00914162"/>
    <w:rsid w:val="00926804"/>
    <w:rsid w:val="00937A7F"/>
    <w:rsid w:val="00964666"/>
    <w:rsid w:val="00994F2F"/>
    <w:rsid w:val="00997295"/>
    <w:rsid w:val="009A1995"/>
    <w:rsid w:val="00A011BB"/>
    <w:rsid w:val="00A03102"/>
    <w:rsid w:val="00A22EC3"/>
    <w:rsid w:val="00A354A6"/>
    <w:rsid w:val="00A51528"/>
    <w:rsid w:val="00A61E27"/>
    <w:rsid w:val="00A72169"/>
    <w:rsid w:val="00A7393F"/>
    <w:rsid w:val="00AA5A0C"/>
    <w:rsid w:val="00AC433F"/>
    <w:rsid w:val="00B130AE"/>
    <w:rsid w:val="00B2489A"/>
    <w:rsid w:val="00B34186"/>
    <w:rsid w:val="00B6173F"/>
    <w:rsid w:val="00B62C03"/>
    <w:rsid w:val="00BC0516"/>
    <w:rsid w:val="00BD09E7"/>
    <w:rsid w:val="00C450BF"/>
    <w:rsid w:val="00C55670"/>
    <w:rsid w:val="00C75889"/>
    <w:rsid w:val="00CC5420"/>
    <w:rsid w:val="00CD4C75"/>
    <w:rsid w:val="00D8766D"/>
    <w:rsid w:val="00DB68F3"/>
    <w:rsid w:val="00DD07D9"/>
    <w:rsid w:val="00DE1159"/>
    <w:rsid w:val="00DF70F6"/>
    <w:rsid w:val="00E63DC5"/>
    <w:rsid w:val="00E74FFA"/>
    <w:rsid w:val="00EA0AD0"/>
    <w:rsid w:val="00EB6A3E"/>
    <w:rsid w:val="00EC4887"/>
    <w:rsid w:val="00EC4C76"/>
    <w:rsid w:val="00EE1EC7"/>
    <w:rsid w:val="00EF1C86"/>
    <w:rsid w:val="00EF640A"/>
    <w:rsid w:val="00F04C94"/>
    <w:rsid w:val="00F32B5F"/>
    <w:rsid w:val="00F41905"/>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343E"/>
  <w15:docId w15:val="{37AB108B-BB76-417B-9565-2EDFE64A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A174-D7FB-4389-B0CE-0941A0BF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Poquoson City FPAR Summary</vt:lpstr>
    </vt:vector>
  </TitlesOfParts>
  <Company>Virginia IT Infrastructure Partnership</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Poquoson City FPAR Summary</dc:title>
  <dc:creator>DOE - NUTRITION (DOE)</dc:creator>
  <cp:lastModifiedBy>Bowman, Kelly (DOE)</cp:lastModifiedBy>
  <cp:revision>3</cp:revision>
  <cp:lastPrinted>2018-03-27T12:01:00Z</cp:lastPrinted>
  <dcterms:created xsi:type="dcterms:W3CDTF">2018-04-12T13:01:00Z</dcterms:created>
  <dcterms:modified xsi:type="dcterms:W3CDTF">2018-04-12T13:02:00Z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