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6A703E">
        <w:t>Park Place School</w:t>
      </w:r>
    </w:p>
    <w:p w:rsidR="00E63DC5" w:rsidRDefault="00E63DC5" w:rsidP="00E63DC5">
      <w:pPr>
        <w:pStyle w:val="NormalTNR"/>
      </w:pPr>
      <w:r w:rsidRPr="008B62AA">
        <w:rPr>
          <w:b/>
        </w:rPr>
        <w:t>Report Publication Date:</w:t>
      </w:r>
      <w:r>
        <w:t xml:space="preserve"> </w:t>
      </w:r>
      <w:r w:rsidR="00372346">
        <w:t>April 2, 2019</w:t>
      </w:r>
    </w:p>
    <w:p w:rsidR="00E63DC5" w:rsidRDefault="00E63DC5" w:rsidP="00E63DC5">
      <w:pPr>
        <w:pStyle w:val="NormalTNR"/>
      </w:pPr>
      <w:r w:rsidRPr="008B62AA">
        <w:rPr>
          <w:b/>
        </w:rPr>
        <w:t>Administrative Review Dates:</w:t>
      </w:r>
      <w:r>
        <w:t xml:space="preserve"> </w:t>
      </w:r>
      <w:r w:rsidR="006A703E">
        <w:t>October 24 – 26, 2018</w:t>
      </w:r>
    </w:p>
    <w:p w:rsidR="00E63DC5" w:rsidRDefault="00E63DC5" w:rsidP="00E63DC5">
      <w:pPr>
        <w:pStyle w:val="NormalTNR"/>
      </w:pPr>
      <w:r w:rsidRPr="008B62AA">
        <w:rPr>
          <w:b/>
        </w:rPr>
        <w:t>Review Month and Year:</w:t>
      </w:r>
      <w:r>
        <w:t xml:space="preserve"> </w:t>
      </w:r>
      <w:r w:rsidR="006A703E">
        <w:t>September 2018</w:t>
      </w:r>
    </w:p>
    <w:p w:rsidR="00E63DC5" w:rsidRDefault="00E63DC5" w:rsidP="00E63DC5">
      <w:pPr>
        <w:pStyle w:val="NormalTNR"/>
      </w:pPr>
      <w:r w:rsidRPr="008B62AA">
        <w:rPr>
          <w:b/>
        </w:rPr>
        <w:t>Participating Programs:</w:t>
      </w:r>
      <w:r>
        <w:t xml:space="preserve"> </w:t>
      </w:r>
      <w:r w:rsidR="006A703E">
        <w:t>NSLP</w:t>
      </w:r>
      <w:r w:rsidR="002F79B8">
        <w:t>, SBP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372346">
        <w:t xml:space="preserve">No </w:t>
      </w:r>
    </w:p>
    <w:p w:rsidR="0031611E" w:rsidRPr="00A72169" w:rsidRDefault="0031611E" w:rsidP="00F70D82">
      <w:pPr>
        <w:pStyle w:val="Heading2"/>
        <w:spacing w:after="120"/>
      </w:pPr>
      <w:r w:rsidRPr="00A61E27">
        <w:rPr>
          <w:sz w:val="28"/>
        </w:rPr>
        <w:t>Enrollm</w:t>
      </w:r>
      <w:r w:rsidR="002F79B8">
        <w:rPr>
          <w:sz w:val="28"/>
        </w:rPr>
        <w:t>ent and Participation Data for September 2018</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DD2524" w:rsidP="007B68D3">
            <w:pPr>
              <w:pStyle w:val="NormalTNR"/>
              <w:spacing w:after="0"/>
              <w:rPr>
                <w:lang w:eastAsia="ja-JP"/>
              </w:rPr>
            </w:pPr>
            <w:r>
              <w:rPr>
                <w:lang w:eastAsia="ja-JP"/>
              </w:rPr>
              <w:t>72</w:t>
            </w:r>
          </w:p>
        </w:tc>
        <w:tc>
          <w:tcPr>
            <w:tcW w:w="1563" w:type="dxa"/>
            <w:shd w:val="clear" w:color="auto" w:fill="auto"/>
            <w:vAlign w:val="center"/>
          </w:tcPr>
          <w:p w:rsidR="006C3986" w:rsidRPr="00690A00" w:rsidRDefault="00DD2524" w:rsidP="007B68D3">
            <w:pPr>
              <w:pStyle w:val="NormalTNR"/>
              <w:spacing w:after="0"/>
              <w:rPr>
                <w:lang w:eastAsia="ja-JP"/>
              </w:rPr>
            </w:pPr>
            <w:r>
              <w:rPr>
                <w:lang w:eastAsia="ja-JP"/>
              </w:rPr>
              <w:t>0</w:t>
            </w:r>
          </w:p>
        </w:tc>
        <w:tc>
          <w:tcPr>
            <w:tcW w:w="1027" w:type="dxa"/>
            <w:shd w:val="clear" w:color="auto" w:fill="auto"/>
            <w:vAlign w:val="center"/>
          </w:tcPr>
          <w:p w:rsidR="006C3986" w:rsidRPr="00690A00" w:rsidRDefault="00DD2524" w:rsidP="007B68D3">
            <w:pPr>
              <w:pStyle w:val="NormalTNR"/>
              <w:spacing w:after="0"/>
              <w:rPr>
                <w:lang w:eastAsia="ja-JP"/>
              </w:rPr>
            </w:pPr>
            <w:r>
              <w:rPr>
                <w:lang w:eastAsia="ja-JP"/>
              </w:rPr>
              <w:t>0</w:t>
            </w:r>
          </w:p>
        </w:tc>
        <w:tc>
          <w:tcPr>
            <w:tcW w:w="1249" w:type="dxa"/>
            <w:shd w:val="clear" w:color="auto" w:fill="auto"/>
            <w:vAlign w:val="center"/>
          </w:tcPr>
          <w:p w:rsidR="006C3986" w:rsidRPr="00690A00" w:rsidRDefault="006A703E" w:rsidP="007B68D3">
            <w:pPr>
              <w:pStyle w:val="NormalTNR"/>
              <w:spacing w:after="0"/>
              <w:rPr>
                <w:lang w:eastAsia="ja-JP"/>
              </w:rPr>
            </w:pPr>
            <w:r>
              <w:rPr>
                <w:lang w:eastAsia="ja-JP"/>
              </w:rPr>
              <w:t>55</w:t>
            </w:r>
          </w:p>
        </w:tc>
        <w:tc>
          <w:tcPr>
            <w:tcW w:w="1216" w:type="dxa"/>
            <w:shd w:val="clear" w:color="auto" w:fill="auto"/>
            <w:vAlign w:val="center"/>
          </w:tcPr>
          <w:p w:rsidR="006C3986" w:rsidRPr="00690A00" w:rsidRDefault="006A703E" w:rsidP="007B68D3">
            <w:pPr>
              <w:pStyle w:val="NormalTNR"/>
              <w:spacing w:after="0"/>
              <w:rPr>
                <w:lang w:eastAsia="ja-JP"/>
              </w:rPr>
            </w:pPr>
            <w:r>
              <w:rPr>
                <w:lang w:eastAsia="ja-JP"/>
              </w:rPr>
              <w:t>87</w:t>
            </w:r>
            <w:r w:rsidR="008E6134">
              <w:rPr>
                <w:lang w:eastAsia="ja-JP"/>
              </w:rPr>
              <w:t>.30</w:t>
            </w:r>
          </w:p>
        </w:tc>
        <w:tc>
          <w:tcPr>
            <w:tcW w:w="1860" w:type="dxa"/>
            <w:shd w:val="clear" w:color="auto" w:fill="auto"/>
            <w:vAlign w:val="center"/>
          </w:tcPr>
          <w:p w:rsidR="006C3986" w:rsidRPr="00690A00" w:rsidRDefault="006A703E" w:rsidP="007B68D3">
            <w:pPr>
              <w:pStyle w:val="NormalTNR"/>
              <w:spacing w:after="0"/>
              <w:rPr>
                <w:lang w:eastAsia="ja-JP"/>
              </w:rPr>
            </w:pPr>
            <w:r>
              <w:rPr>
                <w:lang w:eastAsia="ja-JP"/>
              </w:rPr>
              <w:t>1</w:t>
            </w:r>
            <w:r w:rsidR="008E6134">
              <w:rPr>
                <w:lang w:eastAsia="ja-JP"/>
              </w:rPr>
              <w:t>,</w:t>
            </w:r>
            <w:r>
              <w:rPr>
                <w:lang w:eastAsia="ja-JP"/>
              </w:rPr>
              <w:t>656.36</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DD2524" w:rsidP="007B68D3">
            <w:pPr>
              <w:pStyle w:val="NormalTNR"/>
              <w:spacing w:after="0"/>
              <w:rPr>
                <w:lang w:eastAsia="ja-JP"/>
              </w:rPr>
            </w:pPr>
            <w:r>
              <w:rPr>
                <w:lang w:eastAsia="ja-JP"/>
              </w:rPr>
              <w:t>3</w:t>
            </w:r>
          </w:p>
        </w:tc>
        <w:tc>
          <w:tcPr>
            <w:tcW w:w="1563" w:type="dxa"/>
            <w:shd w:val="clear" w:color="auto" w:fill="auto"/>
            <w:vAlign w:val="center"/>
          </w:tcPr>
          <w:p w:rsidR="006C3986" w:rsidRPr="00690A00" w:rsidRDefault="00DD2524" w:rsidP="007B68D3">
            <w:pPr>
              <w:pStyle w:val="NormalTNR"/>
              <w:spacing w:after="0"/>
              <w:rPr>
                <w:lang w:eastAsia="ja-JP"/>
              </w:rPr>
            </w:pPr>
            <w:r>
              <w:rPr>
                <w:lang w:eastAsia="ja-JP"/>
              </w:rPr>
              <w:t>0</w:t>
            </w:r>
          </w:p>
        </w:tc>
        <w:tc>
          <w:tcPr>
            <w:tcW w:w="1027" w:type="dxa"/>
            <w:shd w:val="clear" w:color="auto" w:fill="auto"/>
            <w:vAlign w:val="center"/>
          </w:tcPr>
          <w:p w:rsidR="006C3986" w:rsidRPr="00690A00" w:rsidRDefault="00DD2524" w:rsidP="007B68D3">
            <w:pPr>
              <w:pStyle w:val="NormalTNR"/>
              <w:spacing w:after="0"/>
              <w:rPr>
                <w:lang w:eastAsia="ja-JP"/>
              </w:rPr>
            </w:pPr>
            <w:r>
              <w:rPr>
                <w:lang w:eastAsia="ja-JP"/>
              </w:rPr>
              <w:t>0</w:t>
            </w:r>
          </w:p>
        </w:tc>
        <w:tc>
          <w:tcPr>
            <w:tcW w:w="1249" w:type="dxa"/>
            <w:shd w:val="clear" w:color="auto" w:fill="auto"/>
            <w:vAlign w:val="center"/>
          </w:tcPr>
          <w:p w:rsidR="006C3986" w:rsidRPr="00690A00" w:rsidRDefault="00DD2524" w:rsidP="007B68D3">
            <w:pPr>
              <w:pStyle w:val="NormalTNR"/>
              <w:spacing w:after="0"/>
              <w:rPr>
                <w:lang w:eastAsia="ja-JP"/>
              </w:rPr>
            </w:pPr>
            <w:r>
              <w:rPr>
                <w:lang w:eastAsia="ja-JP"/>
              </w:rPr>
              <w:t>2</w:t>
            </w:r>
          </w:p>
        </w:tc>
        <w:tc>
          <w:tcPr>
            <w:tcW w:w="1216" w:type="dxa"/>
            <w:shd w:val="clear" w:color="auto" w:fill="auto"/>
            <w:vAlign w:val="center"/>
          </w:tcPr>
          <w:p w:rsidR="006C3986" w:rsidRPr="00690A00" w:rsidRDefault="00DD2524" w:rsidP="007B68D3">
            <w:pPr>
              <w:pStyle w:val="NormalTNR"/>
              <w:spacing w:after="0"/>
              <w:rPr>
                <w:lang w:eastAsia="ja-JP"/>
              </w:rPr>
            </w:pPr>
            <w:r>
              <w:rPr>
                <w:lang w:eastAsia="ja-JP"/>
              </w:rPr>
              <w:t>3</w:t>
            </w:r>
            <w:r w:rsidR="008E6134">
              <w:rPr>
                <w:lang w:eastAsia="ja-JP"/>
              </w:rPr>
              <w:t>.17</w:t>
            </w:r>
          </w:p>
        </w:tc>
        <w:tc>
          <w:tcPr>
            <w:tcW w:w="1860" w:type="dxa"/>
            <w:shd w:val="clear" w:color="auto" w:fill="auto"/>
            <w:vAlign w:val="center"/>
          </w:tcPr>
          <w:p w:rsidR="006C3986" w:rsidRPr="00690A00" w:rsidRDefault="006A703E" w:rsidP="007B68D3">
            <w:pPr>
              <w:pStyle w:val="NormalTNR"/>
              <w:spacing w:after="0"/>
              <w:rPr>
                <w:lang w:eastAsia="ja-JP"/>
              </w:rPr>
            </w:pPr>
            <w:r>
              <w:rPr>
                <w:lang w:eastAsia="ja-JP"/>
              </w:rPr>
              <w:t>57.04</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DD2524" w:rsidP="007B68D3">
            <w:pPr>
              <w:pStyle w:val="NormalTNR"/>
              <w:spacing w:after="0"/>
              <w:rPr>
                <w:lang w:eastAsia="ja-JP"/>
              </w:rPr>
            </w:pPr>
            <w:r>
              <w:rPr>
                <w:lang w:eastAsia="ja-JP"/>
              </w:rPr>
              <w:t>8</w:t>
            </w:r>
          </w:p>
        </w:tc>
        <w:tc>
          <w:tcPr>
            <w:tcW w:w="1563" w:type="dxa"/>
            <w:shd w:val="clear" w:color="auto" w:fill="auto"/>
            <w:vAlign w:val="center"/>
          </w:tcPr>
          <w:p w:rsidR="006C3986" w:rsidRPr="00690A00" w:rsidRDefault="00DD2524" w:rsidP="007B68D3">
            <w:pPr>
              <w:pStyle w:val="NormalTNR"/>
              <w:spacing w:after="0"/>
              <w:rPr>
                <w:lang w:eastAsia="ja-JP"/>
              </w:rPr>
            </w:pPr>
            <w:r>
              <w:rPr>
                <w:lang w:eastAsia="ja-JP"/>
              </w:rPr>
              <w:t>0</w:t>
            </w:r>
          </w:p>
        </w:tc>
        <w:tc>
          <w:tcPr>
            <w:tcW w:w="1027" w:type="dxa"/>
            <w:shd w:val="clear" w:color="auto" w:fill="auto"/>
            <w:vAlign w:val="center"/>
          </w:tcPr>
          <w:p w:rsidR="006C3986" w:rsidRPr="00690A00" w:rsidRDefault="00DD2524" w:rsidP="007B68D3">
            <w:pPr>
              <w:pStyle w:val="NormalTNR"/>
              <w:spacing w:after="0"/>
              <w:rPr>
                <w:lang w:eastAsia="ja-JP"/>
              </w:rPr>
            </w:pPr>
            <w:r>
              <w:rPr>
                <w:lang w:eastAsia="ja-JP"/>
              </w:rPr>
              <w:t>0</w:t>
            </w:r>
          </w:p>
        </w:tc>
        <w:tc>
          <w:tcPr>
            <w:tcW w:w="1249" w:type="dxa"/>
            <w:shd w:val="clear" w:color="auto" w:fill="auto"/>
            <w:vAlign w:val="center"/>
          </w:tcPr>
          <w:p w:rsidR="006C3986" w:rsidRPr="00690A00" w:rsidRDefault="00DD2524" w:rsidP="007B68D3">
            <w:pPr>
              <w:pStyle w:val="NormalTNR"/>
              <w:spacing w:after="0"/>
              <w:rPr>
                <w:lang w:eastAsia="ja-JP"/>
              </w:rPr>
            </w:pPr>
            <w:r>
              <w:rPr>
                <w:lang w:eastAsia="ja-JP"/>
              </w:rPr>
              <w:t>6</w:t>
            </w:r>
          </w:p>
        </w:tc>
        <w:tc>
          <w:tcPr>
            <w:tcW w:w="1216" w:type="dxa"/>
            <w:shd w:val="clear" w:color="auto" w:fill="auto"/>
            <w:vAlign w:val="center"/>
          </w:tcPr>
          <w:p w:rsidR="006C3986" w:rsidRPr="00690A00" w:rsidRDefault="008E6134" w:rsidP="006A703E">
            <w:pPr>
              <w:pStyle w:val="NormalTNR"/>
              <w:spacing w:after="0"/>
              <w:rPr>
                <w:lang w:eastAsia="ja-JP"/>
              </w:rPr>
            </w:pPr>
            <w:r>
              <w:rPr>
                <w:lang w:eastAsia="ja-JP"/>
              </w:rPr>
              <w:t>9.52</w:t>
            </w:r>
          </w:p>
        </w:tc>
        <w:tc>
          <w:tcPr>
            <w:tcW w:w="1860" w:type="dxa"/>
            <w:shd w:val="clear" w:color="auto" w:fill="auto"/>
            <w:vAlign w:val="center"/>
          </w:tcPr>
          <w:p w:rsidR="006C3986" w:rsidRPr="00690A00" w:rsidRDefault="006A703E" w:rsidP="007B68D3">
            <w:pPr>
              <w:pStyle w:val="NormalTNR"/>
              <w:spacing w:after="0"/>
              <w:rPr>
                <w:lang w:eastAsia="ja-JP"/>
              </w:rPr>
            </w:pPr>
            <w:r>
              <w:rPr>
                <w:lang w:eastAsia="ja-JP"/>
              </w:rPr>
              <w:t>26.66</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DD2524" w:rsidP="007B68D3">
            <w:pPr>
              <w:pStyle w:val="NormalTNR"/>
              <w:spacing w:after="0"/>
              <w:rPr>
                <w:b/>
                <w:lang w:eastAsia="ja-JP"/>
              </w:rPr>
            </w:pPr>
            <w:r>
              <w:rPr>
                <w:b/>
                <w:lang w:eastAsia="ja-JP"/>
              </w:rPr>
              <w:t>83</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6A703E" w:rsidP="007B68D3">
            <w:pPr>
              <w:pStyle w:val="NormalTNR"/>
              <w:spacing w:after="0"/>
              <w:rPr>
                <w:b/>
                <w:lang w:eastAsia="ja-JP"/>
              </w:rPr>
            </w:pPr>
            <w:r>
              <w:rPr>
                <w:b/>
                <w:lang w:eastAsia="ja-JP"/>
              </w:rPr>
              <w:t>1</w:t>
            </w:r>
            <w:r w:rsidR="008E6134">
              <w:rPr>
                <w:b/>
                <w:lang w:eastAsia="ja-JP"/>
              </w:rPr>
              <w:t>,</w:t>
            </w:r>
            <w:r>
              <w:rPr>
                <w:b/>
                <w:lang w:eastAsia="ja-JP"/>
              </w:rPr>
              <w:t>740.06</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5"/>
        <w:gridCol w:w="4677"/>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8E6134" w:rsidRDefault="002032A0" w:rsidP="004709DE">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8E6134" w:rsidRDefault="002032A0" w:rsidP="004709DE">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r w:rsidR="00EF1C86">
              <w:rPr>
                <w:rFonts w:ascii="Times New Roman" w:hAnsi="Times New Roman"/>
                <w:szCs w:val="16"/>
              </w:rPr>
              <w:t xml:space="preserve"> </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8E6134" w:rsidRDefault="002032A0" w:rsidP="004709DE">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2032A0" w:rsidP="004709DE">
            <w:pPr>
              <w:rPr>
                <w:rFonts w:ascii="Times New Roman" w:eastAsia="Times New Roman" w:hAnsi="Times New Roman"/>
                <w:b/>
                <w:color w:val="9E0B0F"/>
                <w:szCs w:val="16"/>
                <w:lang w:eastAsia="ja-JP"/>
              </w:rPr>
            </w:pPr>
            <w:r>
              <w:rPr>
                <w:rFonts w:ascii="Times New Roman" w:eastAsia="Times New Roman" w:hAnsi="Times New Roman"/>
                <w:b/>
                <w:color w:val="005E20"/>
                <w:szCs w:val="16"/>
                <w:lang w:eastAsia="ja-JP"/>
              </w:rPr>
              <w:t xml:space="preserve">  </w:t>
            </w:r>
            <w:r w:rsidR="004A5012">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004A5012">
              <w:rPr>
                <w:rFonts w:ascii="Times New Roman" w:eastAsia="Times New Roman" w:hAnsi="Times New Roman"/>
                <w:b/>
                <w:color w:val="9E0B0F"/>
                <w:szCs w:val="16"/>
                <w:lang w:eastAsia="ja-JP"/>
              </w:rPr>
              <w:t xml:space="preserve"> </w:t>
            </w:r>
            <w:r w:rsidR="004A5012"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8E613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8E6134" w:rsidRDefault="0051042F" w:rsidP="0051042F">
            <w:pPr>
              <w:rPr>
                <w:rFonts w:ascii="Times New Roman" w:eastAsia="Times New Roman" w:hAnsi="Times New Roman"/>
                <w:noProof/>
                <w:color w:val="000000"/>
                <w:szCs w:val="20"/>
              </w:rPr>
            </w:pPr>
            <w:r>
              <w:rPr>
                <w:rFonts w:ascii="Times New Roman" w:eastAsia="Times New Roman" w:hAnsi="Times New Roman"/>
                <w:color w:val="000000"/>
                <w:szCs w:val="16"/>
                <w:lang w:eastAsia="ja-JP"/>
              </w:rPr>
              <w:t>The f</w:t>
            </w:r>
            <w:r w:rsidR="008E6134" w:rsidRPr="008E6134">
              <w:rPr>
                <w:rFonts w:ascii="Times New Roman" w:eastAsia="Times New Roman" w:hAnsi="Times New Roman"/>
                <w:color w:val="000000"/>
                <w:szCs w:val="16"/>
                <w:lang w:eastAsia="ja-JP"/>
              </w:rPr>
              <w:t>luid milk</w:t>
            </w:r>
            <w:r>
              <w:rPr>
                <w:rFonts w:ascii="Times New Roman" w:eastAsia="Times New Roman" w:hAnsi="Times New Roman"/>
                <w:color w:val="000000"/>
                <w:szCs w:val="16"/>
                <w:lang w:eastAsia="ja-JP"/>
              </w:rPr>
              <w:t xml:space="preserve"> requirement was not met.</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7D3AFD" w:rsidRDefault="006E4CA1" w:rsidP="00EC4C76">
            <w:pPr>
              <w:rPr>
                <w:rFonts w:ascii="Times New Roman" w:hAnsi="Times New Roman"/>
              </w:rPr>
            </w:pPr>
            <w:r>
              <w:rPr>
                <w:rFonts w:ascii="Times New Roman" w:eastAsia="Times New Roman" w:hAnsi="Times New Roman"/>
                <w:b/>
                <w:noProof/>
                <w:color w:val="9E0B0F"/>
                <w:szCs w:val="16"/>
              </w:rPr>
              <w:drawing>
                <wp:inline distT="0" distB="0" distL="0" distR="0" wp14:anchorId="3FFEE544" wp14:editId="30AE2A9C">
                  <wp:extent cx="207010" cy="207010"/>
                  <wp:effectExtent l="0" t="0" r="2540" b="2540"/>
                  <wp:docPr id="3" name="Picture 3"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8E613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4709DE">
              <w:rPr>
                <w:rFonts w:ascii="Times New Roman" w:eastAsia="Times New Roman" w:hAnsi="Times New Roman"/>
                <w:b/>
                <w:color w:val="000000"/>
                <w:szCs w:val="16"/>
                <w:lang w:eastAsia="ja-JP"/>
              </w:rPr>
              <w:t xml:space="preserve"> </w:t>
            </w:r>
          </w:p>
        </w:tc>
        <w:tc>
          <w:tcPr>
            <w:tcW w:w="4675" w:type="dxa"/>
            <w:vAlign w:val="center"/>
          </w:tcPr>
          <w:p w:rsidR="00B130AE" w:rsidRPr="006E4CA1" w:rsidRDefault="006E4CA1" w:rsidP="00FC03D3">
            <w:pPr>
              <w:rPr>
                <w:rFonts w:ascii="Times New Roman" w:eastAsia="Times New Roman" w:hAnsi="Times New Roman"/>
                <w:color w:val="000000"/>
                <w:szCs w:val="16"/>
                <w:lang w:eastAsia="ja-JP"/>
              </w:rPr>
            </w:pPr>
            <w:r w:rsidRPr="008E6134">
              <w:rPr>
                <w:rFonts w:ascii="Times New Roman" w:eastAsia="Times New Roman" w:hAnsi="Times New Roman"/>
                <w:color w:val="000000"/>
                <w:szCs w:val="16"/>
                <w:lang w:eastAsia="ja-JP"/>
              </w:rPr>
              <w:t>No point of service signage was posted explaining what constitutes a reimbursable meal.</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8E6134" w:rsidRDefault="002032A0" w:rsidP="004709DE">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846C3D" w:rsidP="004709DE">
            <w:pPr>
              <w:rPr>
                <w:rFonts w:ascii="Times New Roman" w:hAnsi="Times New Roman"/>
              </w:rPr>
            </w:pPr>
            <w:r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4A5012">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004A5012">
              <w:rPr>
                <w:rFonts w:ascii="Times New Roman" w:hAnsi="Times New Roman"/>
              </w:rPr>
              <w:t xml:space="preserve"> </w:t>
            </w:r>
            <w:r w:rsidR="004A5012"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8E613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4709DE">
              <w:rPr>
                <w:rFonts w:ascii="Times New Roman" w:eastAsia="Times New Roman" w:hAnsi="Times New Roman"/>
                <w:b/>
                <w:color w:val="000000"/>
                <w:szCs w:val="16"/>
                <w:lang w:eastAsia="ja-JP"/>
              </w:rPr>
              <w:t xml:space="preserve"> </w:t>
            </w:r>
          </w:p>
        </w:tc>
        <w:tc>
          <w:tcPr>
            <w:tcW w:w="4669" w:type="dxa"/>
            <w:vAlign w:val="center"/>
          </w:tcPr>
          <w:p w:rsidR="00B130AE" w:rsidRPr="008E6134" w:rsidRDefault="008E6134" w:rsidP="00FC03D3">
            <w:pPr>
              <w:rPr>
                <w:rFonts w:ascii="Times New Roman" w:eastAsia="Times New Roman" w:hAnsi="Times New Roman"/>
                <w:noProof/>
                <w:color w:val="000000"/>
                <w:szCs w:val="20"/>
              </w:rPr>
            </w:pPr>
            <w:r w:rsidRPr="008E6134">
              <w:rPr>
                <w:rFonts w:ascii="Times New Roman" w:eastAsia="Times New Roman" w:hAnsi="Times New Roman"/>
                <w:color w:val="000000"/>
                <w:szCs w:val="16"/>
                <w:lang w:eastAsia="ja-JP"/>
              </w:rPr>
              <w:t>A written copy of the food safety plan was not available.</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lastRenderedPageBreak/>
              <w:t>Local School Wellness Policy</w:t>
            </w:r>
          </w:p>
        </w:tc>
        <w:tc>
          <w:tcPr>
            <w:tcW w:w="4669" w:type="dxa"/>
            <w:vAlign w:val="center"/>
          </w:tcPr>
          <w:p w:rsidR="006475A6" w:rsidRPr="008E6134" w:rsidRDefault="002032A0" w:rsidP="004709DE">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8E6134" w:rsidRDefault="002032A0" w:rsidP="004709DE">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6475A6" w:rsidRDefault="00846C3D" w:rsidP="004709DE">
            <w:pPr>
              <w:rPr>
                <w:rFonts w:ascii="Times New Roman" w:eastAsia="Times New Roman" w:hAnsi="Times New Roman"/>
                <w:noProof/>
                <w:color w:val="000000"/>
                <w:szCs w:val="16"/>
              </w:rPr>
            </w:pPr>
            <w:r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drawing>
                <wp:inline distT="0" distB="0" distL="0" distR="0" wp14:anchorId="3A9C9E5A">
                  <wp:extent cx="207010" cy="207010"/>
                  <wp:effectExtent l="0" t="0" r="2540" b="2540"/>
                  <wp:docPr id="40" name="Picture 4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8E613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8E6134" w:rsidRDefault="008E6134" w:rsidP="00FC03D3">
            <w:pPr>
              <w:rPr>
                <w:rFonts w:ascii="Times New Roman" w:eastAsia="Times New Roman" w:hAnsi="Times New Roman"/>
                <w:noProof/>
                <w:color w:val="000000"/>
                <w:szCs w:val="20"/>
              </w:rPr>
            </w:pPr>
            <w:r w:rsidRPr="008E6134">
              <w:rPr>
                <w:rFonts w:ascii="Times New Roman" w:eastAsia="Times New Roman" w:hAnsi="Times New Roman"/>
                <w:color w:val="000000"/>
                <w:szCs w:val="16"/>
                <w:lang w:eastAsia="ja-JP"/>
              </w:rPr>
              <w:t>Annual</w:t>
            </w:r>
            <w:r w:rsidR="006E4CA1">
              <w:rPr>
                <w:rFonts w:ascii="Times New Roman" w:eastAsia="Times New Roman" w:hAnsi="Times New Roman"/>
                <w:color w:val="000000"/>
                <w:szCs w:val="16"/>
                <w:lang w:eastAsia="ja-JP"/>
              </w:rPr>
              <w:t xml:space="preserve"> civil rights</w:t>
            </w:r>
            <w:r w:rsidRPr="008E6134">
              <w:rPr>
                <w:rFonts w:ascii="Times New Roman" w:eastAsia="Times New Roman" w:hAnsi="Times New Roman"/>
                <w:color w:val="000000"/>
                <w:szCs w:val="16"/>
                <w:lang w:eastAsia="ja-JP"/>
              </w:rPr>
              <w:t xml:space="preserve"> training was not conducted for all staff.</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2F" w:rsidRDefault="0070342F" w:rsidP="00EA0AD0">
      <w:pPr>
        <w:spacing w:before="0" w:after="0"/>
      </w:pPr>
      <w:r>
        <w:separator/>
      </w:r>
    </w:p>
  </w:endnote>
  <w:endnote w:type="continuationSeparator" w:id="0">
    <w:p w:rsidR="0070342F" w:rsidRDefault="0070342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2F" w:rsidRDefault="0070342F" w:rsidP="00EA0AD0">
      <w:pPr>
        <w:spacing w:before="0" w:after="0"/>
      </w:pPr>
      <w:r>
        <w:separator/>
      </w:r>
    </w:p>
  </w:footnote>
  <w:footnote w:type="continuationSeparator" w:id="0">
    <w:p w:rsidR="0070342F" w:rsidRDefault="0070342F" w:rsidP="00EA0AD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1.75pt;height:21.75pt;visibility:visible;mso-wrap-style:square" o:bullet="t">
        <v:imagedata r:id="rId1" o:title=""/>
      </v:shape>
    </w:pict>
  </w:numPicBullet>
  <w:numPicBullet w:numPicBulletId="1">
    <w:pict>
      <v:shape id="_x0000_i1055" type="#_x0000_t75" alt="Denotes no findings" style="width:15pt;height:15pt;visibility:visible;mso-wrap-style:square" o:bullet="t">
        <v:imagedata r:id="rId2" o:title="Denotes no findings"/>
      </v:shape>
    </w:pict>
  </w:numPicBullet>
  <w:numPicBullet w:numPicBulletId="2">
    <w:pict>
      <v:shape id="_x0000_i1056" type="#_x0000_t75" alt="Denotes findings identified" style="width:21.75pt;height:21.75pt;visibility:visible;mso-wrap-style:square" o:bullet="t">
        <v:imagedata r:id="rId3" o:title="Denotes findings identified"/>
      </v:shape>
    </w:pict>
  </w:numPicBullet>
  <w:numPicBullet w:numPicBulletId="3">
    <w:pict>
      <v:shape id="_x0000_i1057" type="#_x0000_t75" style="width:15.75pt;height:15.75pt;visibility:visible;mso-wrap-style:square" o:bullet="t">
        <v:imagedata r:id="rId4" o:title=""/>
      </v:shape>
    </w:pict>
  </w:numPicBullet>
  <w:numPicBullet w:numPicBulletId="4">
    <w:pict>
      <v:shape id="_x0000_i1058" type="#_x0000_t75" style="width:15pt;height:15pt;visibility:visible;mso-wrap-style:square" o:bullet="t">
        <v:imagedata r:id="rId5" o:title=""/>
      </v:shape>
    </w:pict>
  </w:numPicBullet>
  <w:numPicBullet w:numPicBulletId="5">
    <w:pict>
      <v:shape id="_x0000_i1059" type="#_x0000_t75" alt="Denotes no findings" style="width:15pt;height:15pt;visibility:visible;mso-wrap-style:square" o:bullet="t">
        <v:imagedata r:id="rId6" o:title="Denotes no findings"/>
      </v:shape>
    </w:pict>
  </w:numPicBullet>
  <w:numPicBullet w:numPicBulletId="6">
    <w:pict>
      <v:shape id="_x0000_i1060" type="#_x0000_t75" style="width:15pt;height:15pt;visibility:visible;mso-wrap-style:square" o:bullet="t">
        <v:imagedata r:id="rId7" o:title=""/>
      </v:shape>
    </w:pict>
  </w:numPicBullet>
  <w:abstractNum w:abstractNumId="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70"/>
    <w:rsid w:val="00097AFF"/>
    <w:rsid w:val="000B155A"/>
    <w:rsid w:val="000C309B"/>
    <w:rsid w:val="000C4495"/>
    <w:rsid w:val="000D3488"/>
    <w:rsid w:val="00103DCA"/>
    <w:rsid w:val="00161C6D"/>
    <w:rsid w:val="001B0603"/>
    <w:rsid w:val="001F75BE"/>
    <w:rsid w:val="002032A0"/>
    <w:rsid w:val="00217886"/>
    <w:rsid w:val="00260CA2"/>
    <w:rsid w:val="00265D36"/>
    <w:rsid w:val="00274A66"/>
    <w:rsid w:val="002D2FED"/>
    <w:rsid w:val="002D4167"/>
    <w:rsid w:val="002F79B8"/>
    <w:rsid w:val="0031611E"/>
    <w:rsid w:val="0032739D"/>
    <w:rsid w:val="003507AB"/>
    <w:rsid w:val="00372346"/>
    <w:rsid w:val="003C5AEE"/>
    <w:rsid w:val="00464DF8"/>
    <w:rsid w:val="004709DE"/>
    <w:rsid w:val="004A5012"/>
    <w:rsid w:val="004C04E4"/>
    <w:rsid w:val="004C18F7"/>
    <w:rsid w:val="004D45AD"/>
    <w:rsid w:val="0051042F"/>
    <w:rsid w:val="00527106"/>
    <w:rsid w:val="00563F0B"/>
    <w:rsid w:val="00576EFE"/>
    <w:rsid w:val="00585DEA"/>
    <w:rsid w:val="00593DA0"/>
    <w:rsid w:val="005C2719"/>
    <w:rsid w:val="005E617A"/>
    <w:rsid w:val="005E72E8"/>
    <w:rsid w:val="006070B4"/>
    <w:rsid w:val="00620948"/>
    <w:rsid w:val="006475A6"/>
    <w:rsid w:val="00690A00"/>
    <w:rsid w:val="00694D91"/>
    <w:rsid w:val="006A703E"/>
    <w:rsid w:val="006C3986"/>
    <w:rsid w:val="006D0B91"/>
    <w:rsid w:val="006E4CA1"/>
    <w:rsid w:val="006E68D8"/>
    <w:rsid w:val="0070342F"/>
    <w:rsid w:val="00705097"/>
    <w:rsid w:val="0073582B"/>
    <w:rsid w:val="00767813"/>
    <w:rsid w:val="007B68D3"/>
    <w:rsid w:val="007D26AA"/>
    <w:rsid w:val="007D3AFD"/>
    <w:rsid w:val="007F1384"/>
    <w:rsid w:val="00806AE0"/>
    <w:rsid w:val="00846C3D"/>
    <w:rsid w:val="008E6134"/>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93531"/>
    <w:rsid w:val="00AA5A0C"/>
    <w:rsid w:val="00AC433F"/>
    <w:rsid w:val="00B130AE"/>
    <w:rsid w:val="00B2489A"/>
    <w:rsid w:val="00B34186"/>
    <w:rsid w:val="00B37355"/>
    <w:rsid w:val="00B62C03"/>
    <w:rsid w:val="00BC0516"/>
    <w:rsid w:val="00C450BF"/>
    <w:rsid w:val="00C55670"/>
    <w:rsid w:val="00C75889"/>
    <w:rsid w:val="00CC5420"/>
    <w:rsid w:val="00D3128B"/>
    <w:rsid w:val="00D8766D"/>
    <w:rsid w:val="00DB68F3"/>
    <w:rsid w:val="00DD07D9"/>
    <w:rsid w:val="00DD2524"/>
    <w:rsid w:val="00DE1159"/>
    <w:rsid w:val="00DF70F6"/>
    <w:rsid w:val="00E63DC5"/>
    <w:rsid w:val="00E71C1B"/>
    <w:rsid w:val="00E74FFA"/>
    <w:rsid w:val="00EA0AD0"/>
    <w:rsid w:val="00EB6A3E"/>
    <w:rsid w:val="00EC4887"/>
    <w:rsid w:val="00EC4C76"/>
    <w:rsid w:val="00EF1C86"/>
    <w:rsid w:val="00EF640A"/>
    <w:rsid w:val="00F040F7"/>
    <w:rsid w:val="00F04C94"/>
    <w:rsid w:val="00F205EF"/>
    <w:rsid w:val="00F32B5F"/>
    <w:rsid w:val="00F570B2"/>
    <w:rsid w:val="00F60239"/>
    <w:rsid w:val="00F70D82"/>
    <w:rsid w:val="00F93689"/>
    <w:rsid w:val="00FB055E"/>
    <w:rsid w:val="00FC03D3"/>
    <w:rsid w:val="00FF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8.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C76F-C49F-478C-AC50-322ED425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park-place-school-fpar-summary-2019</vt:lpstr>
    </vt:vector>
  </TitlesOfParts>
  <Company>Virginia IT Infrastructure Partnership</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park-place-school-fpar-summary-2018</dc:title>
  <dc:creator>DOE - NUTRITION (DOE)</dc:creator>
  <cp:lastModifiedBy>Judkins, LaDonna (DOE)</cp:lastModifiedBy>
  <cp:revision>10</cp:revision>
  <cp:lastPrinted>2018-03-27T12:01:00Z</cp:lastPrinted>
  <dcterms:created xsi:type="dcterms:W3CDTF">2019-03-28T20:10:00Z</dcterms:created>
  <dcterms:modified xsi:type="dcterms:W3CDTF">2019-04-02T13:17:00Z</dcterms:modified>
</cp:coreProperties>
</file>