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8125"/>
        <w:gridCol w:w="1451"/>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4473DAC2" wp14:editId="2B9C0E48">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3D27FD">
      <w:pPr>
        <w:pStyle w:val="Heading1"/>
        <w:spacing w:before="0" w:after="240"/>
        <w:rPr>
          <w:rFonts w:cs="Times New Roman"/>
          <w:szCs w:val="24"/>
        </w:rPr>
      </w:pPr>
      <w:r>
        <w:br/>
      </w:r>
      <w:r w:rsidR="00A972CE" w:rsidRPr="007503E8">
        <w:rPr>
          <w:rFonts w:cs="Times New Roman"/>
          <w:szCs w:val="24"/>
        </w:rPr>
        <w:t>Agenda Item:</w:t>
      </w:r>
      <w:r w:rsidR="00AC0C95" w:rsidRPr="007503E8">
        <w:rPr>
          <w:rFonts w:cs="Times New Roman"/>
          <w:szCs w:val="24"/>
        </w:rPr>
        <w:tab/>
      </w:r>
      <w:r w:rsidR="006C1D03">
        <w:rPr>
          <w:rFonts w:cs="Times New Roman"/>
          <w:szCs w:val="24"/>
        </w:rPr>
        <w:tab/>
      </w:r>
      <w:r w:rsidR="00907703">
        <w:rPr>
          <w:rFonts w:cs="Times New Roman"/>
          <w:szCs w:val="24"/>
        </w:rPr>
        <w:t>D</w:t>
      </w:r>
    </w:p>
    <w:p w:rsidR="00A972CE" w:rsidRPr="007503E8" w:rsidRDefault="00A972CE" w:rsidP="003D27FD">
      <w:pPr>
        <w:pStyle w:val="Heading2"/>
        <w:spacing w:before="0"/>
      </w:pPr>
      <w:r w:rsidRPr="007503E8">
        <w:t>Date:</w:t>
      </w:r>
      <w:r w:rsidR="007503E8" w:rsidRPr="007503E8">
        <w:tab/>
      </w:r>
      <w:r w:rsidR="002F2346">
        <w:tab/>
      </w:r>
      <w:r w:rsidR="006C1D03">
        <w:tab/>
      </w:r>
      <w:r w:rsidR="002F2346">
        <w:t>June 20, 2019</w:t>
      </w:r>
    </w:p>
    <w:p w:rsidR="00A972CE" w:rsidRPr="00897713" w:rsidRDefault="00A972CE" w:rsidP="006C1D03">
      <w:pPr>
        <w:pStyle w:val="Heading3"/>
        <w:spacing w:before="0" w:after="240"/>
        <w:ind w:left="2160" w:hanging="2160"/>
        <w:rPr>
          <w:rFonts w:cs="Times New Roman"/>
          <w:color w:val="auto"/>
          <w:szCs w:val="24"/>
        </w:rPr>
      </w:pPr>
      <w:r w:rsidRPr="007503E8">
        <w:rPr>
          <w:rFonts w:cs="Times New Roman"/>
          <w:color w:val="auto"/>
          <w:szCs w:val="24"/>
        </w:rPr>
        <w:t>Title</w:t>
      </w:r>
      <w:r w:rsidRPr="002F2346">
        <w:rPr>
          <w:rFonts w:cs="Times New Roman"/>
          <w:color w:val="auto"/>
          <w:szCs w:val="24"/>
        </w:rPr>
        <w:t xml:space="preserve">: </w:t>
      </w:r>
      <w:r w:rsidR="002F2346">
        <w:rPr>
          <w:rFonts w:cs="Times New Roman"/>
          <w:color w:val="auto"/>
          <w:szCs w:val="24"/>
        </w:rPr>
        <w:tab/>
      </w:r>
      <w:r w:rsidR="00907703">
        <w:rPr>
          <w:rFonts w:cs="Times New Roman"/>
          <w:color w:val="auto"/>
          <w:szCs w:val="24"/>
        </w:rPr>
        <w:t>Final</w:t>
      </w:r>
      <w:r w:rsidR="00897713" w:rsidRPr="00897713">
        <w:rPr>
          <w:bCs w:val="0"/>
          <w:color w:val="222222"/>
          <w:shd w:val="clear" w:color="auto" w:fill="FFFFFF"/>
        </w:rPr>
        <w:t xml:space="preserve"> Review of the Triennial Report to the Chairmen of the House Committee on Education and the Senate Committee on Education and Health on the Issuance of Three-year Licenses Pursuant to House Bill 279 of the 2016 General Assembly. </w:t>
      </w:r>
    </w:p>
    <w:p w:rsidR="007503E8" w:rsidRPr="007503E8" w:rsidRDefault="00A972CE" w:rsidP="006C1D03">
      <w:pPr>
        <w:pStyle w:val="Heading4"/>
        <w:spacing w:before="0" w:after="240"/>
        <w:ind w:left="2160" w:hanging="2160"/>
        <w:rPr>
          <w:rFonts w:cs="Times New Roman"/>
          <w:szCs w:val="24"/>
        </w:rPr>
      </w:pPr>
      <w:r w:rsidRPr="007503E8">
        <w:rPr>
          <w:rFonts w:cs="Times New Roman"/>
          <w:szCs w:val="24"/>
        </w:rPr>
        <w:t xml:space="preserve">Presenter: </w:t>
      </w:r>
      <w:r w:rsidR="002F2346">
        <w:rPr>
          <w:rFonts w:cs="Times New Roman"/>
          <w:szCs w:val="24"/>
        </w:rPr>
        <w:t xml:space="preserve"> </w:t>
      </w:r>
      <w:r w:rsidR="002F2346">
        <w:rPr>
          <w:rFonts w:cs="Times New Roman"/>
          <w:szCs w:val="24"/>
        </w:rPr>
        <w:tab/>
        <w:t>Mrs. Patty S. Pitts</w:t>
      </w:r>
      <w:r w:rsidR="00897713">
        <w:rPr>
          <w:rFonts w:cs="Times New Roman"/>
          <w:szCs w:val="24"/>
        </w:rPr>
        <w:t>, Assistant Superintendent for Teacher Education and Licensure</w:t>
      </w:r>
    </w:p>
    <w:p w:rsidR="00A972CE" w:rsidRPr="007503E8" w:rsidRDefault="00A972CE" w:rsidP="003D27FD">
      <w:pPr>
        <w:pStyle w:val="Heading4"/>
        <w:spacing w:before="0"/>
        <w:rPr>
          <w:rFonts w:cs="Times New Roman"/>
          <w:szCs w:val="24"/>
        </w:rPr>
      </w:pPr>
      <w:r w:rsidRPr="007503E8">
        <w:rPr>
          <w:rFonts w:cs="Times New Roman"/>
          <w:szCs w:val="24"/>
        </w:rPr>
        <w:t>Email:</w:t>
      </w:r>
      <w:r w:rsidR="00F8158F">
        <w:rPr>
          <w:rFonts w:cs="Times New Roman"/>
          <w:szCs w:val="24"/>
        </w:rPr>
        <w:tab/>
      </w:r>
      <w:r w:rsidR="002F2346">
        <w:rPr>
          <w:rFonts w:cs="Times New Roman"/>
          <w:szCs w:val="24"/>
        </w:rPr>
        <w:tab/>
      </w:r>
      <w:r w:rsidR="006C1D03">
        <w:rPr>
          <w:rFonts w:cs="Times New Roman"/>
          <w:szCs w:val="24"/>
        </w:rPr>
        <w:tab/>
      </w:r>
      <w:hyperlink r:id="rId10" w:history="1">
        <w:r w:rsidR="002F2346" w:rsidRPr="002F2346">
          <w:rPr>
            <w:rStyle w:val="Hyperlink"/>
            <w:rFonts w:cs="Times New Roman"/>
            <w:color w:val="1F497D" w:themeColor="text2"/>
            <w:szCs w:val="24"/>
          </w:rPr>
          <w:t>Patty.Pitts@doe.virginia.gov</w:t>
        </w:r>
      </w:hyperlink>
      <w:r w:rsidR="00F77BDE" w:rsidRPr="007503E8">
        <w:rPr>
          <w:rFonts w:cs="Times New Roman"/>
          <w:szCs w:val="24"/>
        </w:rPr>
        <w:tab/>
      </w:r>
      <w:r w:rsidR="00892D0F" w:rsidRPr="007503E8">
        <w:rPr>
          <w:rFonts w:cs="Times New Roman"/>
          <w:szCs w:val="24"/>
        </w:rPr>
        <w:t xml:space="preserve">Phone: </w:t>
      </w:r>
      <w:r w:rsidR="002F2346">
        <w:rPr>
          <w:rFonts w:cs="Times New Roman"/>
          <w:szCs w:val="24"/>
        </w:rPr>
        <w:t xml:space="preserve"> (804) 371-2522</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F8158F"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AB153F">
            <w:t>Action required by state or federal law or regulation.</w:t>
          </w:r>
        </w:sdtContent>
      </w:sdt>
    </w:p>
    <w:p w:rsidR="002F2346" w:rsidRPr="00D351DB" w:rsidRDefault="003D27FD" w:rsidP="002F2346">
      <w:pPr>
        <w:shd w:val="clear" w:color="auto" w:fill="FFFFFF"/>
        <w:spacing w:after="0" w:line="240" w:lineRule="auto"/>
        <w:rPr>
          <w:b/>
        </w:rPr>
      </w:pPr>
      <w:r>
        <w:br/>
      </w:r>
      <w:r w:rsidR="00A972CE" w:rsidRPr="00D351DB">
        <w:rPr>
          <w:b/>
        </w:rPr>
        <w:t>Executive Summary:</w:t>
      </w:r>
    </w:p>
    <w:p w:rsidR="00897713" w:rsidRPr="00897713" w:rsidRDefault="00897713" w:rsidP="00760C0D">
      <w:pPr>
        <w:rPr>
          <w:rFonts w:cs="Times New Roman"/>
          <w:szCs w:val="24"/>
        </w:rPr>
      </w:pPr>
      <w:r w:rsidRPr="00897713">
        <w:rPr>
          <w:rFonts w:cs="Times New Roman"/>
          <w:szCs w:val="24"/>
        </w:rPr>
        <w:t>The 2016 Virginia General Assembly approved House Bill 279, providing for a three-year career and technical education license.  The 2018 General Assembly approved Hou</w:t>
      </w:r>
      <w:r>
        <w:rPr>
          <w:rFonts w:cs="Times New Roman"/>
          <w:szCs w:val="24"/>
        </w:rPr>
        <w:t>se Bill 1125 amending</w:t>
      </w:r>
      <w:r w:rsidRPr="00897713">
        <w:rPr>
          <w:rFonts w:cs="Times New Roman"/>
          <w:szCs w:val="24"/>
        </w:rPr>
        <w:t xml:space="preserve"> the original legislation.</w:t>
      </w:r>
    </w:p>
    <w:p w:rsidR="00897713" w:rsidRDefault="00897713" w:rsidP="00760C0D">
      <w:pPr>
        <w:rPr>
          <w:rFonts w:eastAsia="Times New Roman" w:cs="Times New Roman"/>
          <w:szCs w:val="24"/>
        </w:rPr>
      </w:pPr>
      <w:r w:rsidRPr="00897713">
        <w:rPr>
          <w:rFonts w:cs="Times New Roman"/>
          <w:szCs w:val="24"/>
        </w:rPr>
        <w:t>Both bills require that the Virginia Board of Education report, at least triennially,</w:t>
      </w:r>
      <w:r w:rsidR="00230A40">
        <w:rPr>
          <w:rFonts w:cs="Times New Roman"/>
          <w:szCs w:val="24"/>
        </w:rPr>
        <w:t xml:space="preserve"> </w:t>
      </w:r>
      <w:r w:rsidRPr="00897713">
        <w:rPr>
          <w:rFonts w:cs="Times New Roman"/>
          <w:szCs w:val="24"/>
        </w:rPr>
        <w:t xml:space="preserve">on the issuance of three-year career and technical education licenses. </w:t>
      </w:r>
      <w:r>
        <w:rPr>
          <w:rFonts w:cs="Times New Roman"/>
          <w:szCs w:val="24"/>
        </w:rPr>
        <w:t>N</w:t>
      </w:r>
      <w:r w:rsidRPr="00897713">
        <w:rPr>
          <w:rFonts w:cs="Times New Roman"/>
          <w:szCs w:val="24"/>
        </w:rPr>
        <w:t xml:space="preserve">o requests have been received by the Virginia Department of Education for the three-year career and technical education license, and no licenses have been issued.  </w:t>
      </w:r>
    </w:p>
    <w:p w:rsidR="002F2346" w:rsidRPr="00897713" w:rsidRDefault="00897713" w:rsidP="00760C0D">
      <w:pPr>
        <w:pStyle w:val="Subtitle"/>
        <w:rPr>
          <w:rFonts w:ascii="Times New Roman" w:eastAsia="Times New Roman" w:hAnsi="Times New Roman" w:cs="Times New Roman"/>
          <w:color w:val="auto"/>
        </w:rPr>
      </w:pPr>
      <w:r w:rsidRPr="00897713">
        <w:rPr>
          <w:rFonts w:ascii="Times New Roman" w:eastAsia="Times New Roman" w:hAnsi="Times New Roman" w:cs="Times New Roman"/>
          <w:i w:val="0"/>
          <w:color w:val="auto"/>
        </w:rPr>
        <w:t xml:space="preserve">Attached is the </w:t>
      </w:r>
      <w:r w:rsidRPr="00897713">
        <w:rPr>
          <w:rFonts w:ascii="Times New Roman" w:eastAsia="Times New Roman" w:hAnsi="Times New Roman" w:cs="Times New Roman"/>
          <w:color w:val="auto"/>
        </w:rPr>
        <w:t>Triennial Report on House Bill 279 of the 2016 Virginia General Assembly.</w:t>
      </w:r>
      <w:r w:rsidRPr="00897713">
        <w:rPr>
          <w:rFonts w:ascii="Times New Roman" w:hAnsi="Times New Roman" w:cs="Times New Roman"/>
        </w:rPr>
        <w:t xml:space="preserve"> </w:t>
      </w:r>
    </w:p>
    <w:p w:rsidR="00A972CE" w:rsidRPr="007503E8" w:rsidRDefault="00A972CE" w:rsidP="00CA31DA">
      <w:pPr>
        <w:pStyle w:val="Heading2"/>
        <w:spacing w:before="0" w:after="0"/>
      </w:pPr>
      <w:r w:rsidRPr="007503E8">
        <w:t xml:space="preserve">Action Requested:  </w:t>
      </w:r>
    </w:p>
    <w:p w:rsidR="00A972CE" w:rsidRPr="007503E8" w:rsidRDefault="00F8158F" w:rsidP="00CA31DA">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AB153F">
            <w:t>Final review: Action requested at this meeting.</w:t>
          </w:r>
        </w:sdtContent>
      </w:sdt>
    </w:p>
    <w:p w:rsidR="002F2346" w:rsidRDefault="00A972CE" w:rsidP="00CA31DA">
      <w:pPr>
        <w:pStyle w:val="Heading2"/>
        <w:spacing w:before="0" w:after="0"/>
      </w:pPr>
      <w:r w:rsidRPr="0094605A">
        <w:lastRenderedPageBreak/>
        <w:t>Superintendent’s Recommendation:</w:t>
      </w:r>
      <w:r w:rsidRPr="007503E8">
        <w:t xml:space="preserve"> </w:t>
      </w:r>
    </w:p>
    <w:p w:rsidR="00D351DB" w:rsidRDefault="00D351DB" w:rsidP="00CA31DA">
      <w:pPr>
        <w:pStyle w:val="Heading2"/>
        <w:spacing w:before="0" w:after="0"/>
        <w:rPr>
          <w:rFonts w:eastAsia="Times New Roman"/>
          <w:b w:val="0"/>
        </w:rPr>
      </w:pPr>
      <w:r w:rsidRPr="00D351DB">
        <w:rPr>
          <w:b w:val="0"/>
        </w:rPr>
        <w:t>The Superintendent of Public Instruction recommends that the Board of E</w:t>
      </w:r>
      <w:r w:rsidR="00C762AE">
        <w:rPr>
          <w:b w:val="0"/>
        </w:rPr>
        <w:t>ducation</w:t>
      </w:r>
      <w:r>
        <w:rPr>
          <w:b w:val="0"/>
        </w:rPr>
        <w:t xml:space="preserve"> </w:t>
      </w:r>
      <w:r w:rsidRPr="00D351DB">
        <w:rPr>
          <w:b w:val="0"/>
        </w:rPr>
        <w:t>approve the report,</w:t>
      </w:r>
      <w:r w:rsidR="00897713" w:rsidRPr="00897713">
        <w:rPr>
          <w:rFonts w:eastAsia="Times New Roman"/>
        </w:rPr>
        <w:t xml:space="preserve"> </w:t>
      </w:r>
      <w:r w:rsidR="00897713" w:rsidRPr="00897713">
        <w:rPr>
          <w:rFonts w:eastAsia="Times New Roman"/>
          <w:b w:val="0"/>
          <w:i/>
        </w:rPr>
        <w:t>Triennial Report on House Bill 279 of the 2016 Virginia General Assembly</w:t>
      </w:r>
      <w:r w:rsidR="00C762AE" w:rsidRPr="00897713">
        <w:rPr>
          <w:rFonts w:eastAsia="Times New Roman"/>
          <w:b w:val="0"/>
        </w:rPr>
        <w:t>;</w:t>
      </w:r>
      <w:r w:rsidRPr="00897713">
        <w:rPr>
          <w:rFonts w:eastAsia="Times New Roman"/>
          <w:b w:val="0"/>
          <w:i/>
        </w:rPr>
        <w:t xml:space="preserve"> </w:t>
      </w:r>
      <w:r w:rsidRPr="00897713">
        <w:rPr>
          <w:rFonts w:eastAsia="Times New Roman"/>
          <w:b w:val="0"/>
        </w:rPr>
        <w:t>and authorize submission to the</w:t>
      </w:r>
      <w:r w:rsidR="00897713" w:rsidRPr="00897713">
        <w:rPr>
          <w:rFonts w:eastAsia="Times New Roman"/>
          <w:b w:val="0"/>
        </w:rPr>
        <w:t xml:space="preserve"> Chairmen of the House Committees on Appropriations and Education and the Senate Committees on Finance and Education and Health</w:t>
      </w:r>
      <w:r w:rsidRPr="00897713">
        <w:rPr>
          <w:rFonts w:eastAsia="Times New Roman"/>
          <w:b w:val="0"/>
        </w:rPr>
        <w:t>.</w:t>
      </w:r>
    </w:p>
    <w:p w:rsidR="00611E81" w:rsidRDefault="00611E81" w:rsidP="00CA31DA">
      <w:pPr>
        <w:pStyle w:val="Heading2"/>
        <w:spacing w:before="0" w:after="0"/>
      </w:pPr>
    </w:p>
    <w:p w:rsidR="00D351DB" w:rsidRDefault="002F2346" w:rsidP="00CA31DA">
      <w:pPr>
        <w:pStyle w:val="Heading2"/>
        <w:spacing w:before="0" w:after="0"/>
      </w:pPr>
      <w:r>
        <w:t>Rational for Action:</w:t>
      </w:r>
    </w:p>
    <w:p w:rsidR="00D351DB" w:rsidRPr="002F2346" w:rsidRDefault="00D351DB" w:rsidP="00CA31DA">
      <w:pPr>
        <w:shd w:val="clear" w:color="auto" w:fill="FFFFFF"/>
        <w:spacing w:after="0"/>
        <w:rPr>
          <w:rFonts w:eastAsia="Times New Roman" w:cs="Times New Roman"/>
          <w:szCs w:val="24"/>
        </w:rPr>
      </w:pPr>
      <w:r w:rsidRPr="002F2346">
        <w:rPr>
          <w:rFonts w:eastAsia="Times New Roman" w:cs="Times New Roman"/>
          <w:szCs w:val="24"/>
        </w:rPr>
        <w:t>The legislation requires that the Department of Education and the Board of Education shall report</w:t>
      </w:r>
      <w:r w:rsidR="00230A40">
        <w:rPr>
          <w:rFonts w:eastAsia="Times New Roman" w:cs="Times New Roman"/>
          <w:szCs w:val="24"/>
        </w:rPr>
        <w:t xml:space="preserve">, at least triennially, </w:t>
      </w:r>
      <w:r w:rsidRPr="002F2346">
        <w:rPr>
          <w:rFonts w:eastAsia="Times New Roman" w:cs="Times New Roman"/>
          <w:szCs w:val="24"/>
        </w:rPr>
        <w:t xml:space="preserve">to the Chairmen of the House Committees on Appropriations and Education and the Senate Committees on Finance and Education and Health </w:t>
      </w:r>
      <w:r w:rsidR="00760C0D">
        <w:rPr>
          <w:rFonts w:eastAsia="Times New Roman" w:cs="Times New Roman"/>
          <w:szCs w:val="24"/>
        </w:rPr>
        <w:t>on the issuance of three-year career and technical education licenses</w:t>
      </w:r>
      <w:r w:rsidRPr="002F2346">
        <w:rPr>
          <w:rFonts w:eastAsia="Times New Roman" w:cs="Times New Roman"/>
          <w:szCs w:val="24"/>
        </w:rPr>
        <w:t>.</w:t>
      </w:r>
      <w:r>
        <w:rPr>
          <w:rFonts w:eastAsia="Times New Roman" w:cs="Times New Roman"/>
          <w:szCs w:val="24"/>
        </w:rPr>
        <w:t xml:space="preserve">  The Board of Education is requested to review and approve the report on June 20, 2019, to ensure submission of the report in accordance with this timeline.</w:t>
      </w:r>
    </w:p>
    <w:p w:rsidR="00123E2E" w:rsidRPr="007503E8" w:rsidRDefault="007503E8" w:rsidP="007503E8">
      <w:pPr>
        <w:pStyle w:val="Heading2"/>
        <w:spacing w:before="0" w:after="0"/>
      </w:pPr>
      <w:r>
        <w:br/>
      </w:r>
      <w:r w:rsidR="00123E2E"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AB153F" w:rsidP="003D27FD">
          <w:pPr>
            <w:spacing w:after="0"/>
          </w:pPr>
          <w:r>
            <w:t>No previous review or action.</w:t>
          </w:r>
        </w:p>
      </w:sdtContent>
    </w:sdt>
    <w:p w:rsidR="00611E81" w:rsidRDefault="00611E81" w:rsidP="00D351DB">
      <w:pPr>
        <w:shd w:val="clear" w:color="auto" w:fill="FFFFFF"/>
        <w:spacing w:after="0" w:line="240" w:lineRule="auto"/>
        <w:rPr>
          <w:rStyle w:val="Heading2Char"/>
        </w:rPr>
      </w:pPr>
    </w:p>
    <w:p w:rsidR="00897713" w:rsidRDefault="000E009D" w:rsidP="00760C0D">
      <w:pPr>
        <w:shd w:val="clear" w:color="auto" w:fill="FFFFFF"/>
        <w:spacing w:after="0"/>
        <w:rPr>
          <w:rFonts w:cs="Times New Roman"/>
          <w:szCs w:val="24"/>
        </w:rPr>
      </w:pPr>
      <w:r w:rsidRPr="007503E8">
        <w:rPr>
          <w:rStyle w:val="Heading2Char"/>
        </w:rPr>
        <w:t>Background Information and Statutory Authority:</w:t>
      </w:r>
      <w:r w:rsidRPr="007503E8">
        <w:t xml:space="preserve"> </w:t>
      </w:r>
      <w:r w:rsidR="007503E8">
        <w:br/>
      </w:r>
      <w:r w:rsidR="00897713" w:rsidRPr="00636FD9">
        <w:rPr>
          <w:rFonts w:cs="Times New Roman"/>
          <w:szCs w:val="24"/>
        </w:rPr>
        <w:t>The 2016 Virginia General Assembly approved</w:t>
      </w:r>
      <w:r w:rsidR="00760C0D">
        <w:rPr>
          <w:rFonts w:cs="Times New Roman"/>
          <w:szCs w:val="24"/>
        </w:rPr>
        <w:t xml:space="preserve"> </w:t>
      </w:r>
      <w:hyperlink r:id="rId11" w:history="1">
        <w:r w:rsidR="00760C0D" w:rsidRPr="00760C0D">
          <w:rPr>
            <w:rFonts w:eastAsia="Times New Roman" w:cs="Times New Roman"/>
            <w:color w:val="0066CC"/>
            <w:szCs w:val="24"/>
          </w:rPr>
          <w:t>House Bill 279</w:t>
        </w:r>
      </w:hyperlink>
      <w:r w:rsidR="00897713" w:rsidRPr="00636FD9">
        <w:rPr>
          <w:rFonts w:cs="Times New Roman"/>
          <w:szCs w:val="24"/>
        </w:rPr>
        <w:t>, providing for a three-year career and technical education l</w:t>
      </w:r>
      <w:r w:rsidR="00760C0D">
        <w:rPr>
          <w:rFonts w:cs="Times New Roman"/>
          <w:szCs w:val="24"/>
        </w:rPr>
        <w:t xml:space="preserve">icense.  </w:t>
      </w:r>
      <w:r w:rsidR="00897713" w:rsidRPr="00636FD9">
        <w:rPr>
          <w:rFonts w:cs="Times New Roman"/>
          <w:szCs w:val="24"/>
        </w:rPr>
        <w:t xml:space="preserve">The 2018 General Assembly approved </w:t>
      </w:r>
      <w:hyperlink r:id="rId12" w:history="1">
        <w:r w:rsidR="00897713" w:rsidRPr="00760C0D">
          <w:rPr>
            <w:rStyle w:val="Hyperlink"/>
            <w:rFonts w:cs="Times New Roman"/>
            <w:color w:val="0066CC"/>
            <w:szCs w:val="24"/>
            <w:u w:val="none"/>
          </w:rPr>
          <w:t>Hou</w:t>
        </w:r>
        <w:r w:rsidR="00636FD9" w:rsidRPr="00760C0D">
          <w:rPr>
            <w:rStyle w:val="Hyperlink"/>
            <w:rFonts w:cs="Times New Roman"/>
            <w:color w:val="0066CC"/>
            <w:szCs w:val="24"/>
            <w:u w:val="none"/>
          </w:rPr>
          <w:t>se Bill 1125</w:t>
        </w:r>
      </w:hyperlink>
      <w:r w:rsidR="00636FD9">
        <w:rPr>
          <w:rFonts w:cs="Times New Roman"/>
          <w:szCs w:val="24"/>
        </w:rPr>
        <w:t xml:space="preserve"> amending </w:t>
      </w:r>
      <w:r w:rsidR="00897713" w:rsidRPr="00636FD9">
        <w:rPr>
          <w:rFonts w:cs="Times New Roman"/>
          <w:szCs w:val="24"/>
        </w:rPr>
        <w:t>the original legislation.</w:t>
      </w:r>
      <w:r w:rsidR="00760C0D">
        <w:rPr>
          <w:rFonts w:cs="Times New Roman"/>
          <w:szCs w:val="24"/>
        </w:rPr>
        <w:t xml:space="preserve"> </w:t>
      </w:r>
      <w:r w:rsidR="00897713" w:rsidRPr="00897713">
        <w:rPr>
          <w:rFonts w:cs="Times New Roman"/>
          <w:szCs w:val="24"/>
        </w:rPr>
        <w:t xml:space="preserve">Both bills require that the Virginia Board of Education report, at least triennially, on the issuance of three-year career and technical education licenses. </w:t>
      </w:r>
    </w:p>
    <w:p w:rsidR="00760C0D" w:rsidRPr="00897713" w:rsidRDefault="00760C0D" w:rsidP="00760C0D">
      <w:pPr>
        <w:shd w:val="clear" w:color="auto" w:fill="FFFFFF"/>
        <w:spacing w:after="0" w:line="240" w:lineRule="auto"/>
        <w:rPr>
          <w:rFonts w:cs="Times New Roman"/>
          <w:szCs w:val="24"/>
        </w:rPr>
      </w:pPr>
    </w:p>
    <w:p w:rsidR="00897713" w:rsidRPr="00897713" w:rsidRDefault="00897713" w:rsidP="00636FD9">
      <w:pPr>
        <w:rPr>
          <w:rFonts w:eastAsia="Times New Roman" w:cs="Times New Roman"/>
          <w:iCs/>
          <w:szCs w:val="24"/>
        </w:rPr>
      </w:pPr>
      <w:r w:rsidRPr="00897713">
        <w:rPr>
          <w:rFonts w:cs="Times New Roman"/>
          <w:szCs w:val="24"/>
        </w:rPr>
        <w:t xml:space="preserve">No requests have been received by the Virginia Department of Education for the three-year career and technical education license, and no licenses have been issued.  Other alternate routes to licensure set forth in the </w:t>
      </w:r>
      <w:r w:rsidRPr="00897713">
        <w:rPr>
          <w:rFonts w:cs="Times New Roman"/>
          <w:i/>
          <w:szCs w:val="24"/>
        </w:rPr>
        <w:t>Licensure Regulations for School Personnel</w:t>
      </w:r>
      <w:r w:rsidRPr="00897713">
        <w:rPr>
          <w:rFonts w:cs="Times New Roman"/>
          <w:szCs w:val="24"/>
        </w:rPr>
        <w:t xml:space="preserve"> are available to individuals seeking a license in a career and technical education area.  The requirements for the three-year career and technical education license do not allow the license holder to </w:t>
      </w:r>
      <w:r w:rsidRPr="00897713">
        <w:rPr>
          <w:rFonts w:eastAsia="Times New Roman" w:cs="Times New Roman"/>
          <w:iCs/>
          <w:szCs w:val="24"/>
        </w:rPr>
        <w:t>be eligible for continuing contract status while teaching under such license; other license types do not have this restriction.  Also, the 2016 legislation required that individuals must meet qualifying scores on the communication and literacy professional teacher's assessment prescribed by the Board; this assessment was and is not required for those individuals seeking a provisional license through an alternate route to a technical professional license.  The 2018 legislation did amend this requirement.</w:t>
      </w:r>
    </w:p>
    <w:p w:rsidR="0020239B" w:rsidRDefault="00123E2E" w:rsidP="007503E8">
      <w:pPr>
        <w:spacing w:after="0"/>
        <w:rPr>
          <w:rFonts w:eastAsia="Times New Roman" w:cs="Times New Roman"/>
          <w:szCs w:val="24"/>
        </w:rPr>
      </w:pPr>
      <w:r w:rsidRPr="007503E8">
        <w:rPr>
          <w:rStyle w:val="Heading2Char"/>
        </w:rPr>
        <w:t>Timetable for Further Review/Action:</w:t>
      </w:r>
      <w:r w:rsidR="00D351DB" w:rsidRPr="00611E81">
        <w:rPr>
          <w:rFonts w:eastAsia="Times New Roman" w:cs="Times New Roman"/>
          <w:szCs w:val="24"/>
        </w:rPr>
        <w:t xml:space="preserve">.  </w:t>
      </w:r>
      <w:r w:rsidR="007503E8">
        <w:br/>
      </w:r>
      <w:r w:rsidR="00760C0D">
        <w:rPr>
          <w:rFonts w:eastAsia="Times New Roman" w:cs="Times New Roman"/>
          <w:szCs w:val="24"/>
        </w:rPr>
        <w:t>Upon Board of Education approval, the</w:t>
      </w:r>
      <w:r w:rsidR="00897713" w:rsidRPr="002F2346">
        <w:rPr>
          <w:rFonts w:eastAsia="Times New Roman" w:cs="Times New Roman"/>
          <w:szCs w:val="24"/>
        </w:rPr>
        <w:t xml:space="preserve"> report</w:t>
      </w:r>
      <w:r w:rsidR="00451304">
        <w:rPr>
          <w:rFonts w:eastAsia="Times New Roman" w:cs="Times New Roman"/>
          <w:szCs w:val="24"/>
        </w:rPr>
        <w:t xml:space="preserve"> will be sent</w:t>
      </w:r>
      <w:r w:rsidR="00897713" w:rsidRPr="002F2346">
        <w:rPr>
          <w:rFonts w:eastAsia="Times New Roman" w:cs="Times New Roman"/>
          <w:szCs w:val="24"/>
        </w:rPr>
        <w:t xml:space="preserve"> to the Chairmen of the House Committees on Appropriations and Education and the Senate Committees on Finance and Education and Health.</w:t>
      </w:r>
      <w:r w:rsidR="00897713">
        <w:rPr>
          <w:rFonts w:eastAsia="Times New Roman" w:cs="Times New Roman"/>
          <w:szCs w:val="24"/>
        </w:rPr>
        <w:t xml:space="preserve"> </w:t>
      </w:r>
    </w:p>
    <w:p w:rsidR="00897713" w:rsidRPr="007503E8" w:rsidRDefault="00897713" w:rsidP="007503E8">
      <w:pPr>
        <w:spacing w:after="0"/>
      </w:pPr>
    </w:p>
    <w:p w:rsidR="009B109E" w:rsidRDefault="000E009D" w:rsidP="007503E8">
      <w:pPr>
        <w:pStyle w:val="Heading2"/>
        <w:spacing w:before="0" w:after="0"/>
      </w:pPr>
      <w:r w:rsidRPr="007503E8">
        <w:lastRenderedPageBreak/>
        <w:t xml:space="preserve">Impact on Fiscal and Human Resources: </w:t>
      </w:r>
    </w:p>
    <w:p w:rsidR="00D351DB" w:rsidRPr="00D351DB" w:rsidRDefault="00D351DB" w:rsidP="00D351DB">
      <w:pPr>
        <w:spacing w:after="0"/>
        <w:rPr>
          <w:rFonts w:cs="Times New Roman"/>
          <w:szCs w:val="24"/>
        </w:rPr>
      </w:pPr>
      <w:r w:rsidRPr="00D351DB">
        <w:rPr>
          <w:rFonts w:cs="Times New Roman"/>
          <w:szCs w:val="24"/>
        </w:rPr>
        <w:t xml:space="preserve">The administrative impact </w:t>
      </w:r>
      <w:r>
        <w:rPr>
          <w:rFonts w:cs="Times New Roman"/>
          <w:szCs w:val="24"/>
        </w:rPr>
        <w:t>was</w:t>
      </w:r>
      <w:r w:rsidRPr="00D351DB">
        <w:rPr>
          <w:rFonts w:cs="Times New Roman"/>
          <w:szCs w:val="24"/>
        </w:rPr>
        <w:t xml:space="preserve"> absorbed within existing resources at the Department of Education.</w:t>
      </w:r>
      <w:bookmarkStart w:id="0" w:name="_GoBack"/>
      <w:bookmarkEnd w:id="0"/>
      <w:r w:rsidRPr="00D351DB">
        <w:rPr>
          <w:rFonts w:cs="Times New Roman"/>
          <w:szCs w:val="24"/>
        </w:rPr>
        <w:t xml:space="preserve"> </w:t>
      </w:r>
    </w:p>
    <w:p w:rsidR="0020239B" w:rsidRPr="0020239B" w:rsidRDefault="0020239B" w:rsidP="007503E8"/>
    <w:sectPr w:rsidR="0020239B" w:rsidRPr="0020239B" w:rsidSect="000E009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B1" w:rsidRDefault="006352B1" w:rsidP="000E009D">
      <w:pPr>
        <w:spacing w:after="0" w:line="240" w:lineRule="auto"/>
      </w:pPr>
      <w:r>
        <w:separator/>
      </w:r>
    </w:p>
  </w:endnote>
  <w:endnote w:type="continuationSeparator" w:id="0">
    <w:p w:rsidR="006352B1" w:rsidRDefault="006352B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53" w:rsidRDefault="00EC6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0136"/>
      <w:docPartObj>
        <w:docPartGallery w:val="Page Numbers (Bottom of Page)"/>
        <w:docPartUnique/>
      </w:docPartObj>
    </w:sdtPr>
    <w:sdtEndPr>
      <w:rPr>
        <w:noProof/>
      </w:rPr>
    </w:sdtEndPr>
    <w:sdtContent>
      <w:p w:rsidR="00D351DB" w:rsidRDefault="00D351DB">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F8158F">
          <w:rPr>
            <w:rFonts w:cs="Times New Roman"/>
            <w:noProof/>
          </w:rPr>
          <w:t>A</w:t>
        </w:r>
        <w:r w:rsidRPr="000E009D">
          <w:rPr>
            <w:rFonts w:cs="Times New Roman"/>
            <w:noProof/>
          </w:rPr>
          <w:fldChar w:fldCharType="end"/>
        </w:r>
      </w:p>
    </w:sdtContent>
  </w:sdt>
  <w:p w:rsidR="00D351DB" w:rsidRDefault="00D35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53" w:rsidRDefault="00EC6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B1" w:rsidRDefault="006352B1" w:rsidP="000E009D">
      <w:pPr>
        <w:spacing w:after="0" w:line="240" w:lineRule="auto"/>
      </w:pPr>
      <w:r>
        <w:separator/>
      </w:r>
    </w:p>
  </w:footnote>
  <w:footnote w:type="continuationSeparator" w:id="0">
    <w:p w:rsidR="006352B1" w:rsidRDefault="006352B1" w:rsidP="000E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53" w:rsidRDefault="00EC6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53" w:rsidRDefault="00EC6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353" w:rsidRDefault="00EC6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9C"/>
    <w:multiLevelType w:val="hybridMultilevel"/>
    <w:tmpl w:val="E98A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E3E"/>
    <w:multiLevelType w:val="hybridMultilevel"/>
    <w:tmpl w:val="EE28256E"/>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2B175A93"/>
    <w:multiLevelType w:val="hybridMultilevel"/>
    <w:tmpl w:val="FF46A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2745A"/>
    <w:multiLevelType w:val="hybridMultilevel"/>
    <w:tmpl w:val="CCA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46F36"/>
    <w:multiLevelType w:val="hybridMultilevel"/>
    <w:tmpl w:val="F510186A"/>
    <w:lvl w:ilvl="0" w:tplc="E3D4B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8A02C5"/>
    <w:multiLevelType w:val="hybridMultilevel"/>
    <w:tmpl w:val="74F2CA32"/>
    <w:lvl w:ilvl="0" w:tplc="AB94D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2139C5"/>
    <w:multiLevelType w:val="hybridMultilevel"/>
    <w:tmpl w:val="440CE938"/>
    <w:lvl w:ilvl="0" w:tplc="F1A4C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6125E1"/>
    <w:multiLevelType w:val="hybridMultilevel"/>
    <w:tmpl w:val="24808A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971A04"/>
    <w:multiLevelType w:val="hybridMultilevel"/>
    <w:tmpl w:val="541885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8862FC"/>
    <w:multiLevelType w:val="hybridMultilevel"/>
    <w:tmpl w:val="DE4C997C"/>
    <w:lvl w:ilvl="0" w:tplc="5A7251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E51A9"/>
    <w:multiLevelType w:val="hybridMultilevel"/>
    <w:tmpl w:val="F30A50CC"/>
    <w:lvl w:ilvl="0" w:tplc="3A1816A4">
      <w:start w:val="3"/>
      <w:numFmt w:val="decimal"/>
      <w:lvlText w:val="%1."/>
      <w:lvlJc w:val="left"/>
      <w:pPr>
        <w:ind w:left="144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F01D4"/>
    <w:multiLevelType w:val="hybridMultilevel"/>
    <w:tmpl w:val="E56E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ED171C"/>
    <w:multiLevelType w:val="hybridMultilevel"/>
    <w:tmpl w:val="7222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10"/>
  </w:num>
  <w:num w:numId="4">
    <w:abstractNumId w:val="12"/>
  </w:num>
  <w:num w:numId="5">
    <w:abstractNumId w:val="4"/>
  </w:num>
  <w:num w:numId="6">
    <w:abstractNumId w:val="1"/>
  </w:num>
  <w:num w:numId="7">
    <w:abstractNumId w:val="17"/>
  </w:num>
  <w:num w:numId="8">
    <w:abstractNumId w:val="8"/>
  </w:num>
  <w:num w:numId="9">
    <w:abstractNumId w:val="15"/>
  </w:num>
  <w:num w:numId="10">
    <w:abstractNumId w:val="13"/>
  </w:num>
  <w:num w:numId="11">
    <w:abstractNumId w:val="18"/>
  </w:num>
  <w:num w:numId="12">
    <w:abstractNumId w:val="11"/>
  </w:num>
  <w:num w:numId="13">
    <w:abstractNumId w:val="9"/>
  </w:num>
  <w:num w:numId="14">
    <w:abstractNumId w:val="2"/>
  </w:num>
  <w:num w:numId="15">
    <w:abstractNumId w:val="0"/>
  </w:num>
  <w:num w:numId="16">
    <w:abstractNumId w:val="3"/>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CE"/>
    <w:rsid w:val="00003C1E"/>
    <w:rsid w:val="0004026A"/>
    <w:rsid w:val="000D590D"/>
    <w:rsid w:val="000E009D"/>
    <w:rsid w:val="001045A9"/>
    <w:rsid w:val="00123E2E"/>
    <w:rsid w:val="001449CB"/>
    <w:rsid w:val="0020239B"/>
    <w:rsid w:val="00230A40"/>
    <w:rsid w:val="002F2346"/>
    <w:rsid w:val="003730EB"/>
    <w:rsid w:val="00395E1F"/>
    <w:rsid w:val="003D27FD"/>
    <w:rsid w:val="003E15B5"/>
    <w:rsid w:val="003E5079"/>
    <w:rsid w:val="00451304"/>
    <w:rsid w:val="005179CC"/>
    <w:rsid w:val="00530462"/>
    <w:rsid w:val="005357C5"/>
    <w:rsid w:val="00537153"/>
    <w:rsid w:val="00563DEF"/>
    <w:rsid w:val="005C021D"/>
    <w:rsid w:val="00611E81"/>
    <w:rsid w:val="006352B1"/>
    <w:rsid w:val="00636FD9"/>
    <w:rsid w:val="0065013E"/>
    <w:rsid w:val="00657D84"/>
    <w:rsid w:val="00680D3D"/>
    <w:rsid w:val="006C1D03"/>
    <w:rsid w:val="006D556B"/>
    <w:rsid w:val="00726579"/>
    <w:rsid w:val="007503E8"/>
    <w:rsid w:val="00760C0D"/>
    <w:rsid w:val="007A607C"/>
    <w:rsid w:val="00805AF1"/>
    <w:rsid w:val="00892D0F"/>
    <w:rsid w:val="00897713"/>
    <w:rsid w:val="008E4D19"/>
    <w:rsid w:val="00907703"/>
    <w:rsid w:val="0094605A"/>
    <w:rsid w:val="009876F5"/>
    <w:rsid w:val="009B109E"/>
    <w:rsid w:val="009B7A05"/>
    <w:rsid w:val="00A47F8C"/>
    <w:rsid w:val="00A972CE"/>
    <w:rsid w:val="00AB153F"/>
    <w:rsid w:val="00AC0C95"/>
    <w:rsid w:val="00BA7FAF"/>
    <w:rsid w:val="00C32158"/>
    <w:rsid w:val="00C42ECA"/>
    <w:rsid w:val="00C762AE"/>
    <w:rsid w:val="00CA31DA"/>
    <w:rsid w:val="00D351DB"/>
    <w:rsid w:val="00D9096B"/>
    <w:rsid w:val="00EC6353"/>
    <w:rsid w:val="00EC7CF9"/>
    <w:rsid w:val="00F31AC9"/>
    <w:rsid w:val="00F77BDE"/>
    <w:rsid w:val="00F8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2F2346"/>
    <w:rPr>
      <w:color w:val="0000FF" w:themeColor="hyperlink"/>
      <w:u w:val="single"/>
    </w:rPr>
  </w:style>
  <w:style w:type="table" w:customStyle="1" w:styleId="TableGrid1">
    <w:name w:val="Table Grid1"/>
    <w:basedOn w:val="TableNormal"/>
    <w:next w:val="TableGrid"/>
    <w:uiPriority w:val="59"/>
    <w:rsid w:val="00D3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97713"/>
    <w:pPr>
      <w:numPr>
        <w:ilvl w:val="1"/>
      </w:numPr>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897713"/>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2F2346"/>
    <w:rPr>
      <w:color w:val="0000FF" w:themeColor="hyperlink"/>
      <w:u w:val="single"/>
    </w:rPr>
  </w:style>
  <w:style w:type="table" w:customStyle="1" w:styleId="TableGrid1">
    <w:name w:val="Table Grid1"/>
    <w:basedOn w:val="TableNormal"/>
    <w:next w:val="TableGrid"/>
    <w:uiPriority w:val="59"/>
    <w:rsid w:val="00D35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97713"/>
    <w:pPr>
      <w:numPr>
        <w:ilvl w:val="1"/>
      </w:numPr>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897713"/>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s.virginia.gov/cgi-bin/legp604.exe?181+sum+HB112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virginia.gov/cgi-bin/legp604.exe?161+ful+CHAP065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tty.Pitts@doe.virgini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5F56F3"/>
    <w:rsid w:val="00AA6A5C"/>
    <w:rsid w:val="00B030B8"/>
    <w:rsid w:val="00B30058"/>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A567D-96B3-4093-8CBB-E1E012EA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Emily V. Webb (DOE) </cp:lastModifiedBy>
  <cp:revision>2</cp:revision>
  <cp:lastPrinted>2019-06-03T20:04:00Z</cp:lastPrinted>
  <dcterms:created xsi:type="dcterms:W3CDTF">2019-06-10T18:17:00Z</dcterms:created>
  <dcterms:modified xsi:type="dcterms:W3CDTF">2019-06-10T18:17:00Z</dcterms:modified>
</cp:coreProperties>
</file>