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7503E8" w:rsidRDefault="007503E8" w:rsidP="007503E8">
      <w:pPr>
        <w:pStyle w:val="Heading1"/>
        <w:spacing w:before="0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8904B3">
        <w:rPr>
          <w:rFonts w:cs="Times New Roman"/>
          <w:szCs w:val="24"/>
        </w:rPr>
        <w:tab/>
        <w:t>P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>Date:</w:t>
      </w:r>
      <w:r w:rsidR="007503E8" w:rsidRPr="007503E8">
        <w:tab/>
      </w:r>
      <w:r w:rsidR="008904B3">
        <w:tab/>
      </w:r>
      <w:r w:rsidR="008904B3">
        <w:tab/>
        <w:t xml:space="preserve">January 24, 2019 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A972CE" w:rsidRPr="007503E8" w:rsidRDefault="00A972CE" w:rsidP="007503E8">
      <w:pPr>
        <w:pStyle w:val="Heading3"/>
        <w:spacing w:before="0"/>
        <w:rPr>
          <w:rFonts w:cs="Times New Roman"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 xml:space="preserve">Title: </w:t>
      </w:r>
      <w:r w:rsidR="008904B3">
        <w:rPr>
          <w:rFonts w:cs="Times New Roman"/>
          <w:color w:val="auto"/>
          <w:szCs w:val="24"/>
        </w:rPr>
        <w:tab/>
      </w:r>
      <w:r w:rsidR="008904B3">
        <w:rPr>
          <w:rFonts w:cs="Times New Roman"/>
          <w:color w:val="auto"/>
          <w:szCs w:val="24"/>
        </w:rPr>
        <w:tab/>
      </w:r>
      <w:r w:rsidR="008904B3">
        <w:rPr>
          <w:rFonts w:cs="Times New Roman"/>
          <w:color w:val="auto"/>
          <w:szCs w:val="24"/>
        </w:rPr>
        <w:tab/>
        <w:t xml:space="preserve">Report from the Virginia is for Learners Advisory Committee 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7503E8" w:rsidRPr="00E01A43" w:rsidRDefault="00A972CE" w:rsidP="007503E8">
      <w:pPr>
        <w:pStyle w:val="Heading4"/>
        <w:spacing w:before="0"/>
        <w:rPr>
          <w:rFonts w:cs="Times New Roman"/>
          <w:b w:val="0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333685">
        <w:rPr>
          <w:rFonts w:cs="Times New Roman"/>
          <w:szCs w:val="24"/>
        </w:rPr>
        <w:tab/>
      </w:r>
      <w:r w:rsidR="00333685">
        <w:rPr>
          <w:rFonts w:cs="Times New Roman"/>
          <w:szCs w:val="24"/>
        </w:rPr>
        <w:tab/>
      </w:r>
      <w:r w:rsidR="00E01A43" w:rsidRPr="00E01A43">
        <w:rPr>
          <w:rFonts w:cs="Times New Roman"/>
          <w:b w:val="0"/>
          <w:szCs w:val="24"/>
        </w:rPr>
        <w:t xml:space="preserve">Leah Walker </w:t>
      </w:r>
    </w:p>
    <w:p w:rsidR="00A972CE" w:rsidRPr="00E01A43" w:rsidRDefault="007503E8" w:rsidP="007503E8">
      <w:pPr>
        <w:pStyle w:val="Heading4"/>
        <w:spacing w:before="0"/>
        <w:rPr>
          <w:rFonts w:cs="Times New Roman"/>
          <w:b w:val="0"/>
          <w:szCs w:val="24"/>
        </w:rPr>
      </w:pPr>
      <w:r>
        <w:rPr>
          <w:rFonts w:cs="Times New Roman"/>
          <w:i/>
          <w:szCs w:val="24"/>
        </w:rPr>
        <w:br/>
      </w:r>
      <w:r w:rsidR="00A972CE"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333685">
        <w:rPr>
          <w:rFonts w:cs="Times New Roman"/>
          <w:szCs w:val="24"/>
        </w:rPr>
        <w:tab/>
      </w:r>
      <w:r w:rsidR="00333685">
        <w:rPr>
          <w:rFonts w:cs="Times New Roman"/>
          <w:szCs w:val="24"/>
        </w:rPr>
        <w:tab/>
      </w:r>
      <w:r w:rsidR="00E01A43">
        <w:rPr>
          <w:rFonts w:cs="Times New Roman"/>
          <w:b w:val="0"/>
          <w:szCs w:val="24"/>
        </w:rPr>
        <w:t>leah.walker@doe.virginia.gov</w:t>
      </w:r>
      <w:r w:rsidR="0094605A">
        <w:rPr>
          <w:rFonts w:cs="Times New Roman"/>
          <w:i/>
          <w:szCs w:val="24"/>
        </w:rPr>
        <w:tab/>
      </w:r>
      <w:r w:rsidR="00F77BDE" w:rsidRPr="007503E8">
        <w:rPr>
          <w:rFonts w:cs="Times New Roman"/>
          <w:szCs w:val="24"/>
        </w:rPr>
        <w:tab/>
      </w:r>
      <w:r w:rsidR="00892D0F" w:rsidRPr="007503E8">
        <w:rPr>
          <w:rFonts w:cs="Times New Roman"/>
          <w:szCs w:val="24"/>
        </w:rPr>
        <w:t xml:space="preserve">Phone: </w:t>
      </w:r>
      <w:r w:rsidR="00E01A43">
        <w:rPr>
          <w:rFonts w:cs="Times New Roman"/>
          <w:b w:val="0"/>
          <w:szCs w:val="24"/>
        </w:rPr>
        <w:t>804-225-3304</w:t>
      </w:r>
    </w:p>
    <w:p w:rsidR="00A972CE" w:rsidRPr="007503E8" w:rsidRDefault="00A972CE" w:rsidP="0094605A">
      <w:pPr>
        <w:spacing w:after="0"/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:rsidR="00A972CE" w:rsidRPr="007503E8" w:rsidRDefault="007C0E5E" w:rsidP="007503E8"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8904B3">
            <w:t>For information only. No action required.</w:t>
          </w:r>
        </w:sdtContent>
      </w:sdt>
    </w:p>
    <w:p w:rsidR="009B6C7D" w:rsidRPr="009B6C7D" w:rsidRDefault="00A972CE" w:rsidP="009B6C7D">
      <w:r w:rsidRPr="0094605A">
        <w:t xml:space="preserve">Executive Summary: </w:t>
      </w:r>
      <w:r w:rsidR="00D9096B" w:rsidRPr="0094605A">
        <w:br/>
      </w:r>
      <w:r w:rsidR="009B6C7D" w:rsidRPr="009B6C7D">
        <w:rPr>
          <w:rFonts w:eastAsia="Calibri" w:cs="Times New Roman"/>
          <w:szCs w:val="24"/>
        </w:rPr>
        <w:t xml:space="preserve">The Virginia Department of Education, in partnership with the Education Commission of the States (ECS) and the Hunt Institute, </w:t>
      </w:r>
      <w:r w:rsidR="009B6C7D">
        <w:rPr>
          <w:rFonts w:eastAsia="Calibri" w:cs="Times New Roman"/>
          <w:szCs w:val="24"/>
        </w:rPr>
        <w:t>convened an independent committee</w:t>
      </w:r>
      <w:r w:rsidR="009B6C7D" w:rsidRPr="00DD72A4">
        <w:rPr>
          <w:rFonts w:cs="Times New Roman"/>
        </w:rPr>
        <w:t xml:space="preserve">– </w:t>
      </w:r>
      <w:r w:rsidR="009B6C7D" w:rsidRPr="009B6C7D">
        <w:rPr>
          <w:rFonts w:eastAsia="Calibri" w:cs="Times New Roman"/>
          <w:szCs w:val="24"/>
        </w:rPr>
        <w:t>the </w:t>
      </w:r>
      <w:r w:rsidR="009B6C7D" w:rsidRPr="009B6C7D">
        <w:rPr>
          <w:rFonts w:eastAsia="Calibri" w:cs="Times New Roman"/>
          <w:i/>
          <w:iCs/>
          <w:szCs w:val="24"/>
        </w:rPr>
        <w:t>Virginia is for Learners Advisory Committee</w:t>
      </w:r>
      <w:r w:rsidR="009B6C7D">
        <w:rPr>
          <w:rFonts w:eastAsia="Calibri" w:cs="Times New Roman"/>
          <w:i/>
          <w:iCs/>
          <w:szCs w:val="24"/>
        </w:rPr>
        <w:softHyphen/>
      </w:r>
      <w:r w:rsidR="009B6C7D">
        <w:rPr>
          <w:rFonts w:cs="Times New Roman"/>
        </w:rPr>
        <w:t>–</w:t>
      </w:r>
      <w:r w:rsidR="009B6C7D" w:rsidRPr="009B6C7D">
        <w:rPr>
          <w:rFonts w:eastAsia="Calibri" w:cs="Times New Roman"/>
          <w:szCs w:val="24"/>
        </w:rPr>
        <w:t xml:space="preserve"> to critically evaluate the Commonwealth’s successes in education and to identify areas for further growth.</w:t>
      </w:r>
      <w:r w:rsidR="009B6C7D">
        <w:rPr>
          <w:rFonts w:eastAsia="Calibri" w:cs="Times New Roman"/>
          <w:szCs w:val="24"/>
        </w:rPr>
        <w:t xml:space="preserve"> L</w:t>
      </w:r>
      <w:r w:rsidR="009B6C7D" w:rsidRPr="009B6C7D">
        <w:rPr>
          <w:rFonts w:eastAsia="Calibri" w:cs="Times New Roman"/>
          <w:szCs w:val="24"/>
        </w:rPr>
        <w:t>ed by Committee Chai</w:t>
      </w:r>
      <w:r w:rsidR="009B6C7D">
        <w:rPr>
          <w:rFonts w:eastAsia="Calibri" w:cs="Times New Roman"/>
          <w:szCs w:val="24"/>
        </w:rPr>
        <w:t>r, Dr. Billy Cannaday, the committee identified</w:t>
      </w:r>
      <w:r w:rsidR="009B6C7D" w:rsidRPr="009B6C7D">
        <w:rPr>
          <w:rFonts w:eastAsia="Calibri" w:cs="Times New Roman"/>
          <w:szCs w:val="24"/>
        </w:rPr>
        <w:t xml:space="preserve"> strategies for the Commonwealth across the following foundational topics:</w:t>
      </w:r>
    </w:p>
    <w:p w:rsidR="009B6C7D" w:rsidRPr="009B6C7D" w:rsidRDefault="009B6C7D" w:rsidP="009B6C7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Times New Roman"/>
          <w:szCs w:val="24"/>
        </w:rPr>
      </w:pPr>
      <w:r w:rsidRPr="009B6C7D">
        <w:rPr>
          <w:rFonts w:eastAsia="Calibri" w:cs="Times New Roman"/>
          <w:szCs w:val="24"/>
        </w:rPr>
        <w:t>College &amp; Career Pathways,</w:t>
      </w:r>
    </w:p>
    <w:p w:rsidR="009B6C7D" w:rsidRPr="009B6C7D" w:rsidRDefault="009B6C7D" w:rsidP="009B6C7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Times New Roman"/>
          <w:szCs w:val="24"/>
        </w:rPr>
      </w:pPr>
      <w:r w:rsidRPr="009B6C7D">
        <w:rPr>
          <w:rFonts w:eastAsia="Calibri" w:cs="Times New Roman"/>
          <w:szCs w:val="24"/>
        </w:rPr>
        <w:t>Curriculum &amp; Instruction,</w:t>
      </w:r>
    </w:p>
    <w:p w:rsidR="009B6C7D" w:rsidRPr="009B6C7D" w:rsidRDefault="009B6C7D" w:rsidP="009B6C7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Times New Roman"/>
          <w:szCs w:val="24"/>
        </w:rPr>
      </w:pPr>
      <w:r w:rsidRPr="009B6C7D">
        <w:rPr>
          <w:rFonts w:eastAsia="Calibri" w:cs="Times New Roman"/>
          <w:szCs w:val="24"/>
        </w:rPr>
        <w:t>Early Childhood Learning,</w:t>
      </w:r>
    </w:p>
    <w:p w:rsidR="009B6C7D" w:rsidRPr="009B6C7D" w:rsidRDefault="009B6C7D" w:rsidP="009B6C7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Times New Roman"/>
          <w:szCs w:val="24"/>
        </w:rPr>
      </w:pPr>
      <w:r w:rsidRPr="009B6C7D">
        <w:rPr>
          <w:rFonts w:eastAsia="Calibri" w:cs="Times New Roman"/>
          <w:szCs w:val="24"/>
        </w:rPr>
        <w:t>Equity, and</w:t>
      </w:r>
    </w:p>
    <w:p w:rsidR="009B6C7D" w:rsidRDefault="009B6C7D" w:rsidP="009B6C7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Times New Roman"/>
          <w:szCs w:val="24"/>
        </w:rPr>
      </w:pPr>
      <w:r w:rsidRPr="009B6C7D">
        <w:rPr>
          <w:rFonts w:eastAsia="Calibri" w:cs="Times New Roman"/>
          <w:szCs w:val="24"/>
        </w:rPr>
        <w:t>Talent Pipeline.</w:t>
      </w:r>
    </w:p>
    <w:p w:rsidR="009B6C7D" w:rsidRPr="009B6C7D" w:rsidRDefault="009B6C7D" w:rsidP="009B6C7D">
      <w:pPr>
        <w:pStyle w:val="ListParagraph"/>
        <w:spacing w:after="0" w:line="240" w:lineRule="auto"/>
        <w:ind w:left="1080"/>
        <w:rPr>
          <w:rFonts w:eastAsia="Calibri" w:cs="Times New Roman"/>
          <w:szCs w:val="24"/>
        </w:rPr>
      </w:pPr>
    </w:p>
    <w:p w:rsidR="001B17D8" w:rsidRDefault="009B6C7D" w:rsidP="009B6C7D">
      <w:pPr>
        <w:rPr>
          <w:rFonts w:cs="Times New Roman"/>
        </w:rPr>
      </w:pPr>
      <w:r>
        <w:rPr>
          <w:rFonts w:cs="Times New Roman"/>
        </w:rPr>
        <w:t>The committee is comprised of 28</w:t>
      </w:r>
      <w:r w:rsidRPr="00DD72A4">
        <w:rPr>
          <w:rFonts w:cs="Times New Roman"/>
        </w:rPr>
        <w:t xml:space="preserve"> leaders from across Virginia, representing a diverse set of backgrounds, including representatives from the governor’s office, the legislature, the Virginia Board of Education, as well as district superintendents, principals, and teachers, among other constituencies. </w:t>
      </w:r>
    </w:p>
    <w:p w:rsidR="009B6C7D" w:rsidRPr="00333685" w:rsidRDefault="009B6C7D" w:rsidP="00333685">
      <w:pPr>
        <w:rPr>
          <w:rFonts w:cs="Times New Roman"/>
        </w:rPr>
      </w:pPr>
      <w:r>
        <w:rPr>
          <w:rFonts w:cs="Times New Roman"/>
        </w:rPr>
        <w:t xml:space="preserve">On three occasions, the committee met to discuss the </w:t>
      </w:r>
      <w:r w:rsidR="001B17D8">
        <w:rPr>
          <w:rFonts w:cs="Times New Roman"/>
        </w:rPr>
        <w:t xml:space="preserve">critical education topics and </w:t>
      </w:r>
      <w:r w:rsidR="00E01A43">
        <w:rPr>
          <w:rFonts w:cs="Times New Roman"/>
        </w:rPr>
        <w:t>develop</w:t>
      </w:r>
      <w:r w:rsidR="001B17D8">
        <w:rPr>
          <w:rFonts w:cs="Times New Roman"/>
        </w:rPr>
        <w:t xml:space="preserve"> recommendations to inform the</w:t>
      </w:r>
      <w:r>
        <w:rPr>
          <w:rFonts w:cs="Times New Roman"/>
        </w:rPr>
        <w:t xml:space="preserve"> </w:t>
      </w:r>
      <w:r w:rsidR="001B17D8">
        <w:rPr>
          <w:rFonts w:cs="Times New Roman"/>
        </w:rPr>
        <w:t>Superintendent of Public Instruction and the Virginia Department of Education’s work. The recommendations will guide the Virginia Department of Education</w:t>
      </w:r>
      <w:r w:rsidR="00E01A43">
        <w:rPr>
          <w:rFonts w:cs="Times New Roman"/>
        </w:rPr>
        <w:t>’s</w:t>
      </w:r>
      <w:r w:rsidR="001B17D8">
        <w:rPr>
          <w:rFonts w:cs="Times New Roman"/>
        </w:rPr>
        <w:t xml:space="preserve"> agenda and strategic planning, which </w:t>
      </w:r>
      <w:r w:rsidR="00E01A43">
        <w:rPr>
          <w:rFonts w:cs="Times New Roman"/>
        </w:rPr>
        <w:t xml:space="preserve">seeks </w:t>
      </w:r>
      <w:r w:rsidR="001B17D8">
        <w:rPr>
          <w:rFonts w:cs="Times New Roman"/>
        </w:rPr>
        <w:t xml:space="preserve">to provide effective learning </w:t>
      </w:r>
      <w:r w:rsidR="001B17D8">
        <w:rPr>
          <w:rFonts w:cs="Times New Roman"/>
        </w:rPr>
        <w:lastRenderedPageBreak/>
        <w:t xml:space="preserve">environments for all students, increase the number of candidates entering the teaching profession, and ensure successful implementation of the “Profile of a Virginia Graduate.” </w:t>
      </w: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Action Requested:  </w:t>
      </w:r>
    </w:p>
    <w:p w:rsidR="00A972CE" w:rsidRPr="007503E8" w:rsidRDefault="007C0E5E" w:rsidP="007503E8"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8904B3">
            <w:t>No action requested.</w:t>
          </w:r>
        </w:sdtContent>
      </w:sdt>
    </w:p>
    <w:p w:rsidR="008904B3" w:rsidRDefault="00A972CE" w:rsidP="0094605A">
      <w:pPr>
        <w:pStyle w:val="Heading2"/>
        <w:spacing w:before="0" w:after="0"/>
      </w:pPr>
      <w:r w:rsidRPr="0094605A">
        <w:t>Superi</w:t>
      </w:r>
      <w:bookmarkStart w:id="0" w:name="_GoBack"/>
      <w:bookmarkEnd w:id="0"/>
      <w:r w:rsidRPr="0094605A">
        <w:t>ntendent’s Recommendation:</w:t>
      </w:r>
      <w:r w:rsidRPr="007503E8">
        <w:t xml:space="preserve"> </w:t>
      </w:r>
    </w:p>
    <w:p w:rsidR="007503E8" w:rsidRPr="007503E8" w:rsidRDefault="008904B3" w:rsidP="008904B3">
      <w:pPr>
        <w:spacing w:after="0"/>
      </w:pPr>
      <w:r w:rsidRPr="008904B3">
        <w:t>The Superintendent of Public Instruction recommends the Board of Education accept the report from the Virginia is for Learners Advisory Committee</w:t>
      </w:r>
      <w:r>
        <w:t xml:space="preserve">. </w:t>
      </w:r>
    </w:p>
    <w:p w:rsidR="00123E2E" w:rsidRPr="007503E8" w:rsidRDefault="007503E8" w:rsidP="008904B3">
      <w:pPr>
        <w:spacing w:after="0"/>
      </w:pPr>
      <w:r>
        <w:br/>
      </w:r>
      <w:r w:rsidR="00123E2E"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7503E8" w:rsidRDefault="008904B3" w:rsidP="007503E8">
          <w:r>
            <w:t>No previous review or action.</w:t>
          </w:r>
        </w:p>
      </w:sdtContent>
    </w:sdt>
    <w:p w:rsidR="00A47F8C" w:rsidRPr="007503E8" w:rsidRDefault="00A47F8C" w:rsidP="008904B3">
      <w:pPr>
        <w:spacing w:after="0"/>
      </w:pPr>
    </w:p>
    <w:p w:rsidR="00E01A43" w:rsidRDefault="000E009D" w:rsidP="007503E8">
      <w:pPr>
        <w:spacing w:after="0"/>
      </w:pPr>
      <w:r w:rsidRPr="007503E8">
        <w:rPr>
          <w:rStyle w:val="Heading2Char"/>
        </w:rPr>
        <w:t>Background Information and Statutory Authority:</w:t>
      </w:r>
      <w:r w:rsidRPr="007503E8">
        <w:t xml:space="preserve"> </w:t>
      </w:r>
      <w:r w:rsidR="007503E8">
        <w:br/>
      </w:r>
      <w:r w:rsidR="00E01A43">
        <w:t>Virginia is for Learners Advisory Committee Roster</w:t>
      </w:r>
    </w:p>
    <w:p w:rsidR="00166129" w:rsidRDefault="00166129" w:rsidP="007503E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3803"/>
        <w:gridCol w:w="3692"/>
      </w:tblGrid>
      <w:tr w:rsidR="00062718" w:rsidRPr="00062718" w:rsidTr="00062718">
        <w:trPr>
          <w:trHeight w:val="315"/>
        </w:trPr>
        <w:tc>
          <w:tcPr>
            <w:tcW w:w="1855" w:type="dxa"/>
            <w:hideMark/>
          </w:tcPr>
          <w:p w:rsidR="00062718" w:rsidRPr="00062718" w:rsidRDefault="00062718" w:rsidP="00062718">
            <w:pPr>
              <w:rPr>
                <w:b/>
                <w:bCs/>
              </w:rPr>
            </w:pPr>
            <w:r>
              <w:rPr>
                <w:b/>
                <w:bCs/>
              </w:rPr>
              <w:t>Committee Member</w:t>
            </w:r>
          </w:p>
        </w:tc>
        <w:tc>
          <w:tcPr>
            <w:tcW w:w="3803" w:type="dxa"/>
            <w:hideMark/>
          </w:tcPr>
          <w:p w:rsidR="00062718" w:rsidRPr="00062718" w:rsidRDefault="00062718" w:rsidP="00062718">
            <w:pPr>
              <w:rPr>
                <w:b/>
                <w:bCs/>
              </w:rPr>
            </w:pPr>
            <w:r w:rsidRPr="00062718">
              <w:rPr>
                <w:b/>
                <w:bCs/>
              </w:rPr>
              <w:t>Title</w:t>
            </w:r>
          </w:p>
        </w:tc>
        <w:tc>
          <w:tcPr>
            <w:tcW w:w="3692" w:type="dxa"/>
            <w:hideMark/>
          </w:tcPr>
          <w:p w:rsidR="00062718" w:rsidRPr="00062718" w:rsidRDefault="00062718" w:rsidP="00062718">
            <w:pPr>
              <w:rPr>
                <w:b/>
                <w:bCs/>
              </w:rPr>
            </w:pPr>
            <w:r w:rsidRPr="00062718">
              <w:rPr>
                <w:b/>
                <w:bCs/>
              </w:rPr>
              <w:t>Organization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Mr. Jeremy Anderson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President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>Education Commission of the States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Dr. June Atkinson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Former Superintendent of Public Instruction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 xml:space="preserve">The State of North Carolina 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Dr. Shelia Bailey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Executive Director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>Virginia Council of Administrators of Special Education (VCASE)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The Honorable Jeffrey Bourne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Delegate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 xml:space="preserve">Commonwealth of Virginia 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Mr. Stephen Bowen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Deputy Executive Director, State Leadership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>Council of Chief State School Officers (CCSSO)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The Honorable David Bulova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Delegate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 xml:space="preserve">Commonwealth of Virginia 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Dr. Billy Cannaday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Chair</w:t>
            </w:r>
            <w:r w:rsidRPr="00062718">
              <w:br/>
              <w:t>Immediate Past President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>Virginia is for Learners Advisory Committee</w:t>
            </w:r>
            <w:r w:rsidRPr="00062718">
              <w:br/>
              <w:t>Virginia Board of Education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Ms. Jenna Conway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Chief School Readiness Officer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 xml:space="preserve">Commonwealth of Virginia 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Ms. Michelle Cottrell-Williams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2018 Virginia Teacher of the Year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 xml:space="preserve">Wakefield High School, </w:t>
            </w:r>
            <w:r w:rsidRPr="00062718">
              <w:rPr>
                <w:i/>
                <w:iCs/>
              </w:rPr>
              <w:t>Arlington, VA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Ms. Leah Dozier Walker</w:t>
            </w:r>
          </w:p>
        </w:tc>
        <w:tc>
          <w:tcPr>
            <w:tcW w:w="3803" w:type="dxa"/>
          </w:tcPr>
          <w:p w:rsidR="00062718" w:rsidRPr="00062718" w:rsidRDefault="00062718" w:rsidP="00062718">
            <w:r>
              <w:t>Directory, Office of School Equity and Community Engagement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>Virginia Department of Education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Mr. Daniel Gecker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President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>Virginia Board of Education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Ms. Sarah Gross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President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>Virginia Congress of Parents and Teachers (Virginia PTA)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Mr.  Allen Hicks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>Principal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 xml:space="preserve">Hampton Oaks Elementary School, </w:t>
            </w:r>
            <w:r w:rsidRPr="00062718">
              <w:rPr>
                <w:i/>
                <w:iCs/>
              </w:rPr>
              <w:t>Stafford, VA</w:t>
            </w:r>
          </w:p>
        </w:tc>
      </w:tr>
      <w:tr w:rsidR="00062718" w:rsidRPr="00062718" w:rsidTr="00062718">
        <w:trPr>
          <w:trHeight w:val="315"/>
        </w:trPr>
        <w:tc>
          <w:tcPr>
            <w:tcW w:w="1855" w:type="dxa"/>
          </w:tcPr>
          <w:p w:rsidR="00062718" w:rsidRPr="00062718" w:rsidRDefault="00062718" w:rsidP="00062718">
            <w:r w:rsidRPr="00062718">
              <w:t>Ms. Gena Keller</w:t>
            </w:r>
          </w:p>
        </w:tc>
        <w:tc>
          <w:tcPr>
            <w:tcW w:w="3803" w:type="dxa"/>
          </w:tcPr>
          <w:p w:rsidR="00062718" w:rsidRPr="00062718" w:rsidRDefault="00062718" w:rsidP="00062718">
            <w:r w:rsidRPr="00062718">
              <w:t xml:space="preserve">Assistant Superintendent for </w:t>
            </w:r>
            <w:r>
              <w:t>Learning</w:t>
            </w:r>
          </w:p>
        </w:tc>
        <w:tc>
          <w:tcPr>
            <w:tcW w:w="3692" w:type="dxa"/>
          </w:tcPr>
          <w:p w:rsidR="00062718" w:rsidRPr="00062718" w:rsidRDefault="00062718" w:rsidP="00062718">
            <w:r w:rsidRPr="00062718">
              <w:t>Virginia Department of Education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Ms. Stephanie Krauss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>Director of Special Programs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>Jobs for the Future (JFF)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The Honorable Steven Landes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>Delegate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 xml:space="preserve">Commonwealth of Virginia 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Dr. James Lane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 xml:space="preserve">Superintendent of Public Instruction 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>Virginia Department of Education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The Honorable Mamie Locke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>Senator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>Commonwealth of Virginia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Dr. Pamela Moran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>Executive Director</w:t>
            </w:r>
            <w:r w:rsidRPr="00062718">
              <w:br/>
              <w:t>2016 Virginia Superintendent of the Year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>Virginia Consortium for Learning (VaSCL)</w:t>
            </w:r>
            <w:r w:rsidRPr="00062718">
              <w:br/>
              <w:t xml:space="preserve">Albemarle County Public Schools, </w:t>
            </w:r>
            <w:r w:rsidRPr="00062718">
              <w:rPr>
                <w:i/>
                <w:iCs/>
              </w:rPr>
              <w:t>Albemarle County, VA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Ms. Cynthia Prieto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>Principal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 xml:space="preserve">Harrisonburg High School, </w:t>
            </w:r>
            <w:r w:rsidRPr="00062718">
              <w:rPr>
                <w:i/>
                <w:iCs/>
              </w:rPr>
              <w:t>Harrisonburg, VA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  <w:hideMark/>
          </w:tcPr>
          <w:p w:rsidR="00887D28" w:rsidRPr="00062718" w:rsidRDefault="00887D28" w:rsidP="00887D28">
            <w:r w:rsidRPr="00062718">
              <w:t>The Honorable Atif Qarni</w:t>
            </w:r>
          </w:p>
        </w:tc>
        <w:tc>
          <w:tcPr>
            <w:tcW w:w="3803" w:type="dxa"/>
            <w:hideMark/>
          </w:tcPr>
          <w:p w:rsidR="00887D28" w:rsidRPr="00062718" w:rsidRDefault="00887D28" w:rsidP="00887D28">
            <w:r w:rsidRPr="00062718">
              <w:t>Secretary of Education</w:t>
            </w:r>
          </w:p>
        </w:tc>
        <w:tc>
          <w:tcPr>
            <w:tcW w:w="3692" w:type="dxa"/>
            <w:hideMark/>
          </w:tcPr>
          <w:p w:rsidR="00887D28" w:rsidRPr="00062718" w:rsidRDefault="00887D28" w:rsidP="00887D28">
            <w:r w:rsidRPr="00062718">
              <w:t>Commonwealth of Virginia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Dr. Alan Seibert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>Superintendent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 xml:space="preserve">Salem City Schools, </w:t>
            </w:r>
            <w:r w:rsidRPr="00062718">
              <w:rPr>
                <w:i/>
                <w:iCs/>
              </w:rPr>
              <w:t>Salem, VA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Dr. Javaid Siddiqi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>President and CEO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>The Hunt Institute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Dr. Jeffery Smith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>Superintendent</w:t>
            </w:r>
            <w:r w:rsidRPr="00062718">
              <w:br/>
              <w:t>President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 xml:space="preserve">Hampton City Schools, </w:t>
            </w:r>
            <w:r w:rsidRPr="00062718">
              <w:rPr>
                <w:i/>
                <w:iCs/>
              </w:rPr>
              <w:t>Hampton, VA</w:t>
            </w:r>
            <w:r w:rsidRPr="00062718">
              <w:br/>
              <w:t>Virginia Association of School Superintendents (VASS)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Ms. Sonia Smith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>President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>Chesterfield Education Association, Virginia Education Association (VEA)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</w:tcPr>
          <w:p w:rsidR="00887D28" w:rsidRPr="00062718" w:rsidRDefault="00887D28" w:rsidP="00887D28">
            <w:r w:rsidRPr="00062718">
              <w:t>Dr. Steven Staples</w:t>
            </w:r>
          </w:p>
        </w:tc>
        <w:tc>
          <w:tcPr>
            <w:tcW w:w="3803" w:type="dxa"/>
          </w:tcPr>
          <w:p w:rsidR="00887D28" w:rsidRPr="00062718" w:rsidRDefault="00887D28" w:rsidP="00887D28">
            <w:r w:rsidRPr="00062718">
              <w:t>Former Superintendent of Public Instruction</w:t>
            </w:r>
          </w:p>
        </w:tc>
        <w:tc>
          <w:tcPr>
            <w:tcW w:w="3692" w:type="dxa"/>
          </w:tcPr>
          <w:p w:rsidR="00887D28" w:rsidRPr="00062718" w:rsidRDefault="00887D28" w:rsidP="00887D28">
            <w:r w:rsidRPr="00062718">
              <w:t>Commonwealth of Virginia</w:t>
            </w:r>
          </w:p>
        </w:tc>
      </w:tr>
      <w:tr w:rsidR="00887D28" w:rsidRPr="00062718" w:rsidTr="00062718">
        <w:trPr>
          <w:trHeight w:val="690"/>
        </w:trPr>
        <w:tc>
          <w:tcPr>
            <w:tcW w:w="1855" w:type="dxa"/>
            <w:hideMark/>
          </w:tcPr>
          <w:p w:rsidR="00887D28" w:rsidRPr="00062718" w:rsidRDefault="00887D28" w:rsidP="00887D28">
            <w:r w:rsidRPr="00062718">
              <w:t>Dr. Jamelle Wilson</w:t>
            </w:r>
          </w:p>
        </w:tc>
        <w:tc>
          <w:tcPr>
            <w:tcW w:w="3803" w:type="dxa"/>
            <w:hideMark/>
          </w:tcPr>
          <w:p w:rsidR="00887D28" w:rsidRPr="00062718" w:rsidRDefault="00887D28" w:rsidP="00887D28">
            <w:r w:rsidRPr="00062718">
              <w:t>Member</w:t>
            </w:r>
            <w:r w:rsidRPr="00062718">
              <w:br/>
              <w:t>Dean</w:t>
            </w:r>
          </w:p>
        </w:tc>
        <w:tc>
          <w:tcPr>
            <w:tcW w:w="3692" w:type="dxa"/>
            <w:hideMark/>
          </w:tcPr>
          <w:p w:rsidR="00887D28" w:rsidRPr="00062718" w:rsidRDefault="00887D28" w:rsidP="00887D28">
            <w:r w:rsidRPr="00062718">
              <w:t>Virginia Board of Education</w:t>
            </w:r>
            <w:r w:rsidRPr="00062718">
              <w:br/>
              <w:t xml:space="preserve">University of Richmond (UR) School of Professional and Continuing Studies </w:t>
            </w:r>
          </w:p>
        </w:tc>
      </w:tr>
      <w:tr w:rsidR="00887D28" w:rsidRPr="00062718" w:rsidTr="00062718">
        <w:trPr>
          <w:trHeight w:val="315"/>
        </w:trPr>
        <w:tc>
          <w:tcPr>
            <w:tcW w:w="1855" w:type="dxa"/>
            <w:hideMark/>
          </w:tcPr>
          <w:p w:rsidR="00887D28" w:rsidRPr="00062718" w:rsidRDefault="00887D28" w:rsidP="00887D28">
            <w:r w:rsidRPr="00062718">
              <w:t>Mr. Michel Zajur</w:t>
            </w:r>
          </w:p>
        </w:tc>
        <w:tc>
          <w:tcPr>
            <w:tcW w:w="3803" w:type="dxa"/>
            <w:hideMark/>
          </w:tcPr>
          <w:p w:rsidR="00887D28" w:rsidRPr="00062718" w:rsidRDefault="00887D28" w:rsidP="00887D28">
            <w:r w:rsidRPr="00062718">
              <w:t>President and CEO</w:t>
            </w:r>
          </w:p>
        </w:tc>
        <w:tc>
          <w:tcPr>
            <w:tcW w:w="3692" w:type="dxa"/>
            <w:hideMark/>
          </w:tcPr>
          <w:p w:rsidR="00887D28" w:rsidRPr="00062718" w:rsidRDefault="00887D28" w:rsidP="00887D28">
            <w:r w:rsidRPr="00062718">
              <w:t>The Virginia Hispanic Chamber of Commerce</w:t>
            </w:r>
          </w:p>
        </w:tc>
      </w:tr>
    </w:tbl>
    <w:p w:rsidR="0020239B" w:rsidRPr="007503E8" w:rsidRDefault="0094605A" w:rsidP="007503E8">
      <w:pPr>
        <w:spacing w:after="0"/>
      </w:pPr>
      <w:r>
        <w:br/>
      </w:r>
    </w:p>
    <w:p w:rsidR="0020239B" w:rsidRPr="007503E8" w:rsidRDefault="00123E2E" w:rsidP="007503E8">
      <w:pPr>
        <w:spacing w:after="0"/>
      </w:pPr>
      <w:r w:rsidRPr="007503E8">
        <w:rPr>
          <w:rStyle w:val="Heading2Char"/>
        </w:rPr>
        <w:t>Timetable for Further Review/Action:</w:t>
      </w:r>
      <w:r w:rsidR="00D9096B" w:rsidRPr="007503E8">
        <w:br/>
      </w:r>
      <w:r w:rsidR="007503E8">
        <w:br/>
      </w:r>
    </w:p>
    <w:p w:rsidR="009B109E" w:rsidRDefault="000E009D" w:rsidP="007503E8">
      <w:pPr>
        <w:pStyle w:val="Heading2"/>
        <w:spacing w:before="0" w:after="0"/>
      </w:pPr>
      <w:r w:rsidRPr="007503E8">
        <w:t xml:space="preserve">Impact on Fiscal and Human Resources: </w:t>
      </w:r>
    </w:p>
    <w:p w:rsidR="0020239B" w:rsidRPr="0020239B" w:rsidRDefault="0020239B" w:rsidP="007503E8"/>
    <w:sectPr w:rsidR="0020239B" w:rsidRPr="0020239B" w:rsidSect="000E009D">
      <w:footerReference w:type="default" r:id="rId9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6B" w:rsidRDefault="009D576B" w:rsidP="000E009D">
      <w:pPr>
        <w:spacing w:after="0" w:line="240" w:lineRule="auto"/>
      </w:pPr>
      <w:r>
        <w:separator/>
      </w:r>
    </w:p>
  </w:endnote>
  <w:endnote w:type="continuationSeparator" w:id="0">
    <w:p w:rsidR="009D576B" w:rsidRDefault="009D576B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DB2303">
          <w:rPr>
            <w:rFonts w:cs="Times New Roman"/>
            <w:noProof/>
          </w:rPr>
          <w:t>C</w:t>
        </w:r>
        <w:r w:rsidRPr="000E009D">
          <w:rPr>
            <w:rFonts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6B" w:rsidRDefault="009D576B" w:rsidP="000E009D">
      <w:pPr>
        <w:spacing w:after="0" w:line="240" w:lineRule="auto"/>
      </w:pPr>
      <w:r>
        <w:separator/>
      </w:r>
    </w:p>
  </w:footnote>
  <w:footnote w:type="continuationSeparator" w:id="0">
    <w:p w:rsidR="009D576B" w:rsidRDefault="009D576B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792E"/>
    <w:multiLevelType w:val="hybridMultilevel"/>
    <w:tmpl w:val="584CF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33F5"/>
    <w:multiLevelType w:val="hybridMultilevel"/>
    <w:tmpl w:val="06ECE49A"/>
    <w:lvl w:ilvl="0" w:tplc="531E1312">
      <w:start w:val="15"/>
      <w:numFmt w:val="bullet"/>
      <w:lvlText w:val="·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62718"/>
    <w:rsid w:val="000D590D"/>
    <w:rsid w:val="000E009D"/>
    <w:rsid w:val="00123E2E"/>
    <w:rsid w:val="00166129"/>
    <w:rsid w:val="001B17D8"/>
    <w:rsid w:val="0020239B"/>
    <w:rsid w:val="00333685"/>
    <w:rsid w:val="003730EB"/>
    <w:rsid w:val="003E15B5"/>
    <w:rsid w:val="00530462"/>
    <w:rsid w:val="005357C5"/>
    <w:rsid w:val="00537153"/>
    <w:rsid w:val="005C021D"/>
    <w:rsid w:val="0065013E"/>
    <w:rsid w:val="00680D3D"/>
    <w:rsid w:val="006A3B03"/>
    <w:rsid w:val="007503E8"/>
    <w:rsid w:val="007A607C"/>
    <w:rsid w:val="00805AF1"/>
    <w:rsid w:val="00887D28"/>
    <w:rsid w:val="008904B3"/>
    <w:rsid w:val="00892D0F"/>
    <w:rsid w:val="0094605A"/>
    <w:rsid w:val="009B109E"/>
    <w:rsid w:val="009B6C7D"/>
    <w:rsid w:val="009B7A05"/>
    <w:rsid w:val="009D576B"/>
    <w:rsid w:val="00A47F8C"/>
    <w:rsid w:val="00A972CE"/>
    <w:rsid w:val="00AC0C95"/>
    <w:rsid w:val="00BA7FAF"/>
    <w:rsid w:val="00C42ECA"/>
    <w:rsid w:val="00D9096B"/>
    <w:rsid w:val="00DB2303"/>
    <w:rsid w:val="00E01A43"/>
    <w:rsid w:val="00EC7CF9"/>
    <w:rsid w:val="00F77BDE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EBEA80-7DDB-4789-BB53-0E331FF6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62215"/>
    <w:rsid w:val="00AA6A5C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779C-F7A1-44D8-9546-C1261565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Broady, Sonya (DOE)</cp:lastModifiedBy>
  <cp:revision>3</cp:revision>
  <cp:lastPrinted>2019-01-22T21:01:00Z</cp:lastPrinted>
  <dcterms:created xsi:type="dcterms:W3CDTF">2019-01-22T18:42:00Z</dcterms:created>
  <dcterms:modified xsi:type="dcterms:W3CDTF">2019-01-22T21:29:00Z</dcterms:modified>
</cp:coreProperties>
</file>