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BB0BCA">
        <w:t>Nelson County Public Schools</w:t>
      </w:r>
    </w:p>
    <w:p w:rsidR="00E63DC5" w:rsidRDefault="00E63DC5" w:rsidP="00E63DC5">
      <w:pPr>
        <w:pStyle w:val="NormalTNR"/>
      </w:pPr>
      <w:r w:rsidRPr="008B62AA">
        <w:rPr>
          <w:b/>
        </w:rPr>
        <w:t>Report Publication Date:</w:t>
      </w:r>
      <w:r>
        <w:t xml:space="preserve"> </w:t>
      </w:r>
      <w:r w:rsidR="00D964D0">
        <w:t>February 4</w:t>
      </w:r>
      <w:r w:rsidR="000B14F6">
        <w:t>, 2019</w:t>
      </w:r>
    </w:p>
    <w:p w:rsidR="00E63DC5" w:rsidRDefault="00E63DC5" w:rsidP="00E63DC5">
      <w:pPr>
        <w:pStyle w:val="NormalTNR"/>
      </w:pPr>
      <w:r w:rsidRPr="008B62AA">
        <w:rPr>
          <w:b/>
        </w:rPr>
        <w:t>Administrative Review Dates:</w:t>
      </w:r>
      <w:r>
        <w:t xml:space="preserve"> </w:t>
      </w:r>
      <w:r w:rsidR="000B14F6">
        <w:t>November 27 – 29, 2018</w:t>
      </w:r>
    </w:p>
    <w:p w:rsidR="00E63DC5" w:rsidRDefault="00E63DC5" w:rsidP="00E63DC5">
      <w:pPr>
        <w:pStyle w:val="NormalTNR"/>
      </w:pPr>
      <w:r w:rsidRPr="008B62AA">
        <w:rPr>
          <w:b/>
        </w:rPr>
        <w:t>Review Month and Year:</w:t>
      </w:r>
      <w:r>
        <w:t xml:space="preserve"> </w:t>
      </w:r>
      <w:r w:rsidR="000B14F6">
        <w:t>October 2018</w:t>
      </w:r>
    </w:p>
    <w:p w:rsidR="00E63DC5" w:rsidRDefault="00E63DC5" w:rsidP="00E63DC5">
      <w:pPr>
        <w:pStyle w:val="NormalTNR"/>
      </w:pPr>
      <w:r w:rsidRPr="008B62AA">
        <w:rPr>
          <w:b/>
        </w:rPr>
        <w:t>Participating Programs:</w:t>
      </w:r>
      <w:r>
        <w:t xml:space="preserve"> </w:t>
      </w:r>
      <w:r w:rsidR="00BB0BCA">
        <w:t>NSLP, SFSP</w:t>
      </w:r>
      <w:r w:rsidR="000B14F6">
        <w:t>, SBP</w:t>
      </w:r>
    </w:p>
    <w:p w:rsidR="00E63DC5" w:rsidRPr="00E63DC5" w:rsidRDefault="00E63DC5" w:rsidP="00F70D82">
      <w:pPr>
        <w:pStyle w:val="NormalTNR"/>
        <w:spacing w:after="600"/>
      </w:pPr>
      <w:r w:rsidRPr="008B62AA">
        <w:rPr>
          <w:b/>
        </w:rPr>
        <w:t>Participates in Special Provisions?</w:t>
      </w:r>
      <w:r>
        <w:t xml:space="preserve"> </w:t>
      </w:r>
      <w:r w:rsidR="00BB0BCA">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0B14F6">
        <w:rPr>
          <w:sz w:val="28"/>
        </w:rPr>
        <w:t>October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C57B0E" w:rsidP="007B68D3">
            <w:pPr>
              <w:pStyle w:val="NormalTNR"/>
              <w:spacing w:after="0"/>
              <w:rPr>
                <w:lang w:eastAsia="ja-JP"/>
              </w:rPr>
            </w:pPr>
            <w:r>
              <w:rPr>
                <w:lang w:eastAsia="ja-JP"/>
              </w:rPr>
              <w:t>853</w:t>
            </w:r>
          </w:p>
        </w:tc>
        <w:tc>
          <w:tcPr>
            <w:tcW w:w="1563" w:type="dxa"/>
            <w:shd w:val="clear" w:color="auto" w:fill="auto"/>
            <w:vAlign w:val="center"/>
          </w:tcPr>
          <w:p w:rsidR="006C3986" w:rsidRPr="00690A00" w:rsidRDefault="00185717" w:rsidP="007B68D3">
            <w:pPr>
              <w:pStyle w:val="NormalTNR"/>
              <w:spacing w:after="0"/>
              <w:rPr>
                <w:lang w:eastAsia="ja-JP"/>
              </w:rPr>
            </w:pPr>
            <w:r>
              <w:rPr>
                <w:lang w:eastAsia="ja-JP"/>
              </w:rPr>
              <w:t>626</w:t>
            </w:r>
          </w:p>
        </w:tc>
        <w:tc>
          <w:tcPr>
            <w:tcW w:w="1027" w:type="dxa"/>
            <w:shd w:val="clear" w:color="auto" w:fill="auto"/>
            <w:vAlign w:val="center"/>
          </w:tcPr>
          <w:p w:rsidR="006C3986" w:rsidRPr="00690A00" w:rsidRDefault="00185717" w:rsidP="007B68D3">
            <w:pPr>
              <w:pStyle w:val="NormalTNR"/>
              <w:spacing w:after="0"/>
              <w:rPr>
                <w:lang w:eastAsia="ja-JP"/>
              </w:rPr>
            </w:pPr>
            <w:r>
              <w:rPr>
                <w:lang w:eastAsia="ja-JP"/>
              </w:rPr>
              <w:t>60.31%</w:t>
            </w:r>
          </w:p>
        </w:tc>
        <w:tc>
          <w:tcPr>
            <w:tcW w:w="1249" w:type="dxa"/>
            <w:shd w:val="clear" w:color="auto" w:fill="auto"/>
            <w:vAlign w:val="center"/>
          </w:tcPr>
          <w:p w:rsidR="006C3986" w:rsidRPr="00690A00" w:rsidRDefault="00BB0BCA" w:rsidP="007B68D3">
            <w:pPr>
              <w:pStyle w:val="NormalTNR"/>
              <w:spacing w:after="0"/>
              <w:rPr>
                <w:lang w:eastAsia="ja-JP"/>
              </w:rPr>
            </w:pPr>
            <w:r>
              <w:rPr>
                <w:lang w:eastAsia="ja-JP"/>
              </w:rPr>
              <w:t>366</w:t>
            </w:r>
          </w:p>
        </w:tc>
        <w:tc>
          <w:tcPr>
            <w:tcW w:w="1216" w:type="dxa"/>
            <w:shd w:val="clear" w:color="auto" w:fill="auto"/>
            <w:vAlign w:val="center"/>
          </w:tcPr>
          <w:p w:rsidR="006C3986" w:rsidRPr="00690A00" w:rsidRDefault="00BB0BCA" w:rsidP="007B68D3">
            <w:pPr>
              <w:pStyle w:val="NormalTNR"/>
              <w:spacing w:after="0"/>
              <w:rPr>
                <w:lang w:eastAsia="ja-JP"/>
              </w:rPr>
            </w:pPr>
            <w:r>
              <w:rPr>
                <w:lang w:eastAsia="ja-JP"/>
              </w:rPr>
              <w:t>72.91%</w:t>
            </w:r>
          </w:p>
        </w:tc>
        <w:tc>
          <w:tcPr>
            <w:tcW w:w="1860" w:type="dxa"/>
            <w:shd w:val="clear" w:color="auto" w:fill="auto"/>
            <w:vAlign w:val="center"/>
          </w:tcPr>
          <w:p w:rsidR="006C3986" w:rsidRPr="00690A00" w:rsidRDefault="000B14F6" w:rsidP="007B68D3">
            <w:pPr>
              <w:pStyle w:val="NormalTNR"/>
              <w:spacing w:after="0"/>
              <w:rPr>
                <w:lang w:eastAsia="ja-JP"/>
              </w:rPr>
            </w:pPr>
            <w:r>
              <w:rPr>
                <w:lang w:eastAsia="ja-JP"/>
              </w:rPr>
              <w:t>64,475.50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C57B0E" w:rsidP="007B68D3">
            <w:pPr>
              <w:pStyle w:val="NormalTNR"/>
              <w:spacing w:after="0"/>
              <w:rPr>
                <w:lang w:eastAsia="ja-JP"/>
              </w:rPr>
            </w:pPr>
            <w:r>
              <w:rPr>
                <w:lang w:eastAsia="ja-JP"/>
              </w:rPr>
              <w:t>106</w:t>
            </w:r>
          </w:p>
        </w:tc>
        <w:tc>
          <w:tcPr>
            <w:tcW w:w="1563" w:type="dxa"/>
            <w:shd w:val="clear" w:color="auto" w:fill="auto"/>
            <w:vAlign w:val="center"/>
          </w:tcPr>
          <w:p w:rsidR="006C3986" w:rsidRPr="00690A00" w:rsidRDefault="00185717" w:rsidP="007B68D3">
            <w:pPr>
              <w:pStyle w:val="NormalTNR"/>
              <w:spacing w:after="0"/>
              <w:rPr>
                <w:lang w:eastAsia="ja-JP"/>
              </w:rPr>
            </w:pPr>
            <w:r>
              <w:rPr>
                <w:lang w:eastAsia="ja-JP"/>
              </w:rPr>
              <w:t>73</w:t>
            </w:r>
          </w:p>
        </w:tc>
        <w:tc>
          <w:tcPr>
            <w:tcW w:w="1027" w:type="dxa"/>
            <w:shd w:val="clear" w:color="auto" w:fill="auto"/>
            <w:vAlign w:val="center"/>
          </w:tcPr>
          <w:p w:rsidR="006C3986" w:rsidRPr="00690A00" w:rsidRDefault="00185717" w:rsidP="007B68D3">
            <w:pPr>
              <w:pStyle w:val="NormalTNR"/>
              <w:spacing w:after="0"/>
              <w:rPr>
                <w:lang w:eastAsia="ja-JP"/>
              </w:rPr>
            </w:pPr>
            <w:r>
              <w:rPr>
                <w:lang w:eastAsia="ja-JP"/>
              </w:rPr>
              <w:t>7.03%</w:t>
            </w:r>
          </w:p>
        </w:tc>
        <w:tc>
          <w:tcPr>
            <w:tcW w:w="1249" w:type="dxa"/>
            <w:shd w:val="clear" w:color="auto" w:fill="auto"/>
            <w:vAlign w:val="center"/>
          </w:tcPr>
          <w:p w:rsidR="006C3986" w:rsidRPr="00690A00" w:rsidRDefault="00BB0BCA" w:rsidP="007B68D3">
            <w:pPr>
              <w:pStyle w:val="NormalTNR"/>
              <w:spacing w:after="0"/>
              <w:rPr>
                <w:lang w:eastAsia="ja-JP"/>
              </w:rPr>
            </w:pPr>
            <w:r>
              <w:rPr>
                <w:lang w:eastAsia="ja-JP"/>
              </w:rPr>
              <w:t>32</w:t>
            </w:r>
          </w:p>
        </w:tc>
        <w:tc>
          <w:tcPr>
            <w:tcW w:w="1216" w:type="dxa"/>
            <w:shd w:val="clear" w:color="auto" w:fill="auto"/>
            <w:vAlign w:val="center"/>
          </w:tcPr>
          <w:p w:rsidR="006C3986" w:rsidRPr="00690A00" w:rsidRDefault="00BB0BCA" w:rsidP="007B68D3">
            <w:pPr>
              <w:pStyle w:val="NormalTNR"/>
              <w:spacing w:after="0"/>
              <w:rPr>
                <w:lang w:eastAsia="ja-JP"/>
              </w:rPr>
            </w:pPr>
            <w:r>
              <w:rPr>
                <w:lang w:eastAsia="ja-JP"/>
              </w:rPr>
              <w:t>6.37%</w:t>
            </w:r>
          </w:p>
        </w:tc>
        <w:tc>
          <w:tcPr>
            <w:tcW w:w="1860" w:type="dxa"/>
            <w:shd w:val="clear" w:color="auto" w:fill="auto"/>
            <w:vAlign w:val="center"/>
          </w:tcPr>
          <w:p w:rsidR="006C3986" w:rsidRPr="00690A00" w:rsidRDefault="00D47899" w:rsidP="007B68D3">
            <w:pPr>
              <w:pStyle w:val="NormalTNR"/>
              <w:spacing w:after="0"/>
              <w:rPr>
                <w:lang w:eastAsia="ja-JP"/>
              </w:rPr>
            </w:pPr>
            <w:r>
              <w:rPr>
                <w:lang w:eastAsia="ja-JP"/>
              </w:rPr>
              <w:t>6,130.42</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C57B0E" w:rsidP="007B68D3">
            <w:pPr>
              <w:pStyle w:val="NormalTNR"/>
              <w:spacing w:after="0"/>
              <w:rPr>
                <w:lang w:eastAsia="ja-JP"/>
              </w:rPr>
            </w:pPr>
            <w:r>
              <w:rPr>
                <w:lang w:eastAsia="ja-JP"/>
              </w:rPr>
              <w:t>869</w:t>
            </w:r>
          </w:p>
        </w:tc>
        <w:tc>
          <w:tcPr>
            <w:tcW w:w="1563" w:type="dxa"/>
            <w:shd w:val="clear" w:color="auto" w:fill="auto"/>
            <w:vAlign w:val="center"/>
          </w:tcPr>
          <w:p w:rsidR="006C3986" w:rsidRPr="00690A00" w:rsidRDefault="00185717" w:rsidP="007B68D3">
            <w:pPr>
              <w:pStyle w:val="NormalTNR"/>
              <w:spacing w:after="0"/>
              <w:rPr>
                <w:lang w:eastAsia="ja-JP"/>
              </w:rPr>
            </w:pPr>
            <w:r>
              <w:rPr>
                <w:lang w:eastAsia="ja-JP"/>
              </w:rPr>
              <w:t>339</w:t>
            </w:r>
          </w:p>
        </w:tc>
        <w:tc>
          <w:tcPr>
            <w:tcW w:w="1027" w:type="dxa"/>
            <w:shd w:val="clear" w:color="auto" w:fill="auto"/>
            <w:vAlign w:val="center"/>
          </w:tcPr>
          <w:p w:rsidR="006C3986" w:rsidRPr="00690A00" w:rsidRDefault="00185717" w:rsidP="007B68D3">
            <w:pPr>
              <w:pStyle w:val="NormalTNR"/>
              <w:spacing w:after="0"/>
              <w:rPr>
                <w:lang w:eastAsia="ja-JP"/>
              </w:rPr>
            </w:pPr>
            <w:r>
              <w:rPr>
                <w:lang w:eastAsia="ja-JP"/>
              </w:rPr>
              <w:t>32.66%</w:t>
            </w:r>
          </w:p>
        </w:tc>
        <w:tc>
          <w:tcPr>
            <w:tcW w:w="1249" w:type="dxa"/>
            <w:shd w:val="clear" w:color="auto" w:fill="auto"/>
            <w:vAlign w:val="center"/>
          </w:tcPr>
          <w:p w:rsidR="006C3986" w:rsidRPr="00690A00" w:rsidRDefault="00BB0BCA" w:rsidP="007B68D3">
            <w:pPr>
              <w:pStyle w:val="NormalTNR"/>
              <w:spacing w:after="0"/>
              <w:rPr>
                <w:lang w:eastAsia="ja-JP"/>
              </w:rPr>
            </w:pPr>
            <w:r>
              <w:rPr>
                <w:lang w:eastAsia="ja-JP"/>
              </w:rPr>
              <w:t>104</w:t>
            </w:r>
          </w:p>
        </w:tc>
        <w:tc>
          <w:tcPr>
            <w:tcW w:w="1216" w:type="dxa"/>
            <w:shd w:val="clear" w:color="auto" w:fill="auto"/>
            <w:vAlign w:val="center"/>
          </w:tcPr>
          <w:p w:rsidR="006C3986" w:rsidRPr="00690A00" w:rsidRDefault="00BB0BCA" w:rsidP="007B68D3">
            <w:pPr>
              <w:pStyle w:val="NormalTNR"/>
              <w:spacing w:after="0"/>
              <w:rPr>
                <w:lang w:eastAsia="ja-JP"/>
              </w:rPr>
            </w:pPr>
            <w:r>
              <w:rPr>
                <w:lang w:eastAsia="ja-JP"/>
              </w:rPr>
              <w:t>20.72%</w:t>
            </w:r>
          </w:p>
        </w:tc>
        <w:tc>
          <w:tcPr>
            <w:tcW w:w="1860" w:type="dxa"/>
            <w:shd w:val="clear" w:color="auto" w:fill="auto"/>
            <w:vAlign w:val="center"/>
          </w:tcPr>
          <w:p w:rsidR="00D47899" w:rsidRPr="00690A00" w:rsidRDefault="00D47899" w:rsidP="007B68D3">
            <w:pPr>
              <w:pStyle w:val="NormalTNR"/>
              <w:spacing w:after="0"/>
              <w:rPr>
                <w:lang w:eastAsia="ja-JP"/>
              </w:rPr>
            </w:pPr>
            <w:r>
              <w:rPr>
                <w:lang w:eastAsia="ja-JP"/>
              </w:rPr>
              <w:t>3,625.51</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C57B0E" w:rsidP="007B68D3">
            <w:pPr>
              <w:pStyle w:val="NormalTNR"/>
              <w:spacing w:after="0"/>
              <w:rPr>
                <w:b/>
                <w:lang w:eastAsia="ja-JP"/>
              </w:rPr>
            </w:pPr>
            <w:r>
              <w:rPr>
                <w:b/>
                <w:lang w:eastAsia="ja-JP"/>
              </w:rPr>
              <w:t>1</w:t>
            </w:r>
            <w:r w:rsidR="000B14F6">
              <w:rPr>
                <w:b/>
                <w:lang w:eastAsia="ja-JP"/>
              </w:rPr>
              <w:t>,</w:t>
            </w:r>
            <w:r>
              <w:rPr>
                <w:b/>
                <w:lang w:eastAsia="ja-JP"/>
              </w:rPr>
              <w:t>828</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F42EEC" w:rsidRPr="00937A7F" w:rsidRDefault="000B14F6" w:rsidP="007B68D3">
            <w:pPr>
              <w:pStyle w:val="NormalTNR"/>
              <w:spacing w:after="0"/>
              <w:rPr>
                <w:b/>
                <w:lang w:eastAsia="ja-JP"/>
              </w:rPr>
            </w:pPr>
            <w:r>
              <w:rPr>
                <w:b/>
                <w:lang w:eastAsia="ja-JP"/>
              </w:rPr>
              <w:t>74,231.43</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0B14F6" w:rsidP="002D2FED">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7AE2110" wp14:editId="2E37395B">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0B14F6" w:rsidP="00BC0516">
            <w:pPr>
              <w:spacing w:before="0"/>
              <w:rPr>
                <w:rFonts w:ascii="Times New Roman" w:hAnsi="Times New Roman"/>
                <w:szCs w:val="16"/>
              </w:rPr>
            </w:pPr>
            <w:r>
              <w:rPr>
                <w:rFonts w:ascii="Times New Roman" w:eastAsia="Times New Roman" w:hAnsi="Times New Roman"/>
                <w:b/>
                <w:noProof/>
                <w:color w:val="005E20"/>
                <w:szCs w:val="16"/>
              </w:rPr>
              <w:drawing>
                <wp:inline distT="0" distB="0" distL="0" distR="0" wp14:anchorId="37AE2110" wp14:editId="2E37395B">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0B14F6" w:rsidP="000B14F6">
            <w:pPr>
              <w:spacing w:before="0"/>
              <w:rPr>
                <w:rFonts w:ascii="Times New Roman" w:hAnsi="Times New Roman"/>
                <w:szCs w:val="16"/>
              </w:rPr>
            </w:pPr>
            <w:r>
              <w:rPr>
                <w:rFonts w:ascii="Times New Roman" w:eastAsia="Times New Roman" w:hAnsi="Times New Roman"/>
                <w:b/>
                <w:noProof/>
                <w:color w:val="005E20"/>
                <w:szCs w:val="16"/>
              </w:rPr>
              <w:drawing>
                <wp:inline distT="0" distB="0" distL="0" distR="0" wp14:anchorId="37AE2110" wp14:editId="2E37395B">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0B14F6" w:rsidP="00260CA2">
            <w:pPr>
              <w:rPr>
                <w:rFonts w:ascii="Times New Roman" w:eastAsia="Times New Roman" w:hAnsi="Times New Roman"/>
                <w:b/>
                <w:color w:val="9E0B0F"/>
                <w:szCs w:val="16"/>
                <w:lang w:eastAsia="ja-JP"/>
              </w:rPr>
            </w:pPr>
            <w:r>
              <w:rPr>
                <w:rFonts w:ascii="Times New Roman" w:eastAsia="Times New Roman" w:hAnsi="Times New Roman"/>
                <w:b/>
                <w:noProof/>
                <w:color w:val="005E20"/>
                <w:szCs w:val="16"/>
              </w:rPr>
              <w:drawing>
                <wp:inline distT="0" distB="0" distL="0" distR="0" wp14:anchorId="37AE2110" wp14:editId="2E37395B">
                  <wp:extent cx="189230" cy="189230"/>
                  <wp:effectExtent l="0" t="0" r="1270" b="1270"/>
                  <wp:docPr id="4" name="Picture 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0B14F6" w:rsidP="00EC4C76">
            <w:pPr>
              <w:rPr>
                <w:rFonts w:ascii="Times New Roman" w:hAnsi="Times New Roman"/>
              </w:rPr>
            </w:pPr>
            <w:r>
              <w:rPr>
                <w:rFonts w:ascii="Times New Roman" w:eastAsia="Times New Roman" w:hAnsi="Times New Roman"/>
                <w:b/>
                <w:noProof/>
                <w:color w:val="005E20"/>
                <w:szCs w:val="16"/>
              </w:rPr>
              <w:drawing>
                <wp:inline distT="0" distB="0" distL="0" distR="0" wp14:anchorId="37AE2110" wp14:editId="2E37395B">
                  <wp:extent cx="189230" cy="189230"/>
                  <wp:effectExtent l="0" t="0" r="1270" b="1270"/>
                  <wp:docPr id="5" name="Picture 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7D3AFD" w:rsidRDefault="000B14F6" w:rsidP="00BC0516">
            <w:pPr>
              <w:rPr>
                <w:rFonts w:ascii="Times New Roman" w:hAnsi="Times New Roman"/>
              </w:rPr>
            </w:pPr>
            <w:r>
              <w:rPr>
                <w:rFonts w:ascii="Times New Roman" w:eastAsia="Times New Roman" w:hAnsi="Times New Roman"/>
                <w:b/>
                <w:noProof/>
                <w:color w:val="005E20"/>
                <w:szCs w:val="16"/>
              </w:rPr>
              <w:drawing>
                <wp:inline distT="0" distB="0" distL="0" distR="0" wp14:anchorId="37AE2110" wp14:editId="2E37395B">
                  <wp:extent cx="189230" cy="189230"/>
                  <wp:effectExtent l="0" t="0" r="1270" b="1270"/>
                  <wp:docPr id="6" name="Picture 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0B14F6" w:rsidP="00BC0516">
            <w:pPr>
              <w:rPr>
                <w:rFonts w:ascii="Times New Roman" w:hAnsi="Times New Roman"/>
              </w:rPr>
            </w:pPr>
            <w:r>
              <w:rPr>
                <w:rFonts w:ascii="Times New Roman" w:eastAsia="Times New Roman" w:hAnsi="Times New Roman"/>
                <w:b/>
                <w:noProof/>
                <w:color w:val="005E20"/>
                <w:szCs w:val="16"/>
              </w:rPr>
              <w:drawing>
                <wp:inline distT="0" distB="0" distL="0" distR="0" wp14:anchorId="37AE2110" wp14:editId="2E37395B">
                  <wp:extent cx="189230" cy="189230"/>
                  <wp:effectExtent l="0" t="0" r="1270" b="1270"/>
                  <wp:docPr id="7" name="Picture 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7FA794B9" wp14:editId="5B016A00">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B0BCA" w:rsidP="00647229">
            <w:pPr>
              <w:rPr>
                <w:rFonts w:ascii="Times New Roman" w:eastAsia="Times New Roman" w:hAnsi="Times New Roman"/>
                <w:noProof/>
                <w:color w:val="000000"/>
                <w:szCs w:val="20"/>
              </w:rPr>
            </w:pPr>
            <w:r>
              <w:rPr>
                <w:rFonts w:ascii="Times New Roman" w:eastAsia="Times New Roman" w:hAnsi="Times New Roman"/>
                <w:noProof/>
                <w:color w:val="000000"/>
                <w:szCs w:val="20"/>
              </w:rPr>
              <w:t>The Local Wellness Policy is</w:t>
            </w:r>
            <w:r w:rsidR="00647229">
              <w:rPr>
                <w:rFonts w:ascii="Times New Roman" w:eastAsia="Times New Roman" w:hAnsi="Times New Roman"/>
                <w:noProof/>
                <w:color w:val="000000"/>
                <w:szCs w:val="20"/>
              </w:rPr>
              <w:t xml:space="preserve"> incomplete. </w:t>
            </w:r>
            <w:r>
              <w:rPr>
                <w:rFonts w:ascii="Times New Roman" w:eastAsia="Times New Roman" w:hAnsi="Times New Roman"/>
                <w:noProof/>
                <w:color w:val="000000"/>
                <w:szCs w:val="20"/>
              </w:rPr>
              <w:t xml:space="preserve"> </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7D3AFD" w:rsidRDefault="000B14F6" w:rsidP="00BC0516">
            <w:pPr>
              <w:rPr>
                <w:rFonts w:ascii="Times New Roman" w:hAnsi="Times New Roman"/>
              </w:rPr>
            </w:pPr>
            <w:r>
              <w:rPr>
                <w:rFonts w:ascii="Times New Roman" w:eastAsia="Times New Roman" w:hAnsi="Times New Roman"/>
                <w:b/>
                <w:noProof/>
                <w:color w:val="005E20"/>
                <w:szCs w:val="16"/>
              </w:rPr>
              <w:drawing>
                <wp:inline distT="0" distB="0" distL="0" distR="0" wp14:anchorId="0AE70BEE" wp14:editId="5CC15A50">
                  <wp:extent cx="189230" cy="189230"/>
                  <wp:effectExtent l="0" t="0" r="1270" b="1270"/>
                  <wp:docPr id="9" name="Picture 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475A6" w:rsidRDefault="000B14F6" w:rsidP="006475A6">
            <w:pPr>
              <w:rPr>
                <w:rFonts w:ascii="Times New Roman" w:eastAsia="Times New Roman" w:hAnsi="Times New Roman"/>
                <w:noProof/>
                <w:color w:val="000000"/>
                <w:szCs w:val="16"/>
              </w:rPr>
            </w:pPr>
            <w:r>
              <w:rPr>
                <w:rFonts w:ascii="Times New Roman" w:eastAsia="Times New Roman" w:hAnsi="Times New Roman"/>
                <w:b/>
                <w:noProof/>
                <w:color w:val="005E20"/>
                <w:szCs w:val="16"/>
              </w:rPr>
              <w:drawing>
                <wp:inline distT="0" distB="0" distL="0" distR="0" wp14:anchorId="3EF227E2" wp14:editId="6AF0E3D6">
                  <wp:extent cx="189230" cy="189230"/>
                  <wp:effectExtent l="0" t="0" r="1270" b="1270"/>
                  <wp:docPr id="10" name="Picture 10"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1C" w:rsidRDefault="0054461C" w:rsidP="00EA0AD0">
      <w:pPr>
        <w:spacing w:before="0" w:after="0"/>
      </w:pPr>
      <w:r>
        <w:separator/>
      </w:r>
    </w:p>
  </w:endnote>
  <w:endnote w:type="continuationSeparator" w:id="0">
    <w:p w:rsidR="0054461C" w:rsidRDefault="0054461C"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1C" w:rsidRDefault="0054461C" w:rsidP="00EA0AD0">
      <w:pPr>
        <w:spacing w:before="0" w:after="0"/>
      </w:pPr>
      <w:r>
        <w:separator/>
      </w:r>
    </w:p>
  </w:footnote>
  <w:footnote w:type="continuationSeparator" w:id="0">
    <w:p w:rsidR="0054461C" w:rsidRDefault="0054461C"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75pt;height:21.75pt;visibility:visible;mso-wrap-style:square" o:bullet="t">
        <v:imagedata r:id="rId1" o:title=""/>
      </v:shape>
    </w:pict>
  </w:numPicBullet>
  <w:numPicBullet w:numPicBulletId="1">
    <w:pict>
      <v:shape id="_x0000_i1034" type="#_x0000_t75" alt="Denotes no findings" style="width:15pt;height:15pt;visibility:visible;mso-wrap-style:square" o:bullet="t">
        <v:imagedata r:id="rId2" o:title="Denotes no findings"/>
      </v:shape>
    </w:pict>
  </w:numPicBullet>
  <w:numPicBullet w:numPicBulletId="2">
    <w:pict>
      <v:shape id="_x0000_i1035" type="#_x0000_t75" alt="Denotes findings identified" style="width:21.75pt;height:21.75pt;visibility:visible;mso-wrap-style:square" o:bullet="t">
        <v:imagedata r:id="rId3" o:title="Denotes findings identified"/>
      </v:shape>
    </w:pict>
  </w:numPicBullet>
  <w:numPicBullet w:numPicBulletId="3">
    <w:pict>
      <v:shape id="_x0000_i1036" type="#_x0000_t75" style="width:15.75pt;height:15.75pt;visibility:visible;mso-wrap-style:square" o:bullet="t">
        <v:imagedata r:id="rId4" o:title=""/>
      </v:shape>
    </w:pict>
  </w:numPicBullet>
  <w:numPicBullet w:numPicBulletId="4">
    <w:pict>
      <v:shape id="_x0000_i1037" type="#_x0000_t75" style="width:15pt;height:15pt;visibility:visible;mso-wrap-style:square" o:bullet="t">
        <v:imagedata r:id="rId5" o:title=""/>
      </v:shape>
    </w:pict>
  </w:numPicBullet>
  <w:numPicBullet w:numPicBulletId="5">
    <w:pict>
      <v:shape id="_x0000_i1038" type="#_x0000_t75" alt="Denotes no findings" style="width:15pt;height:15pt;visibility:visible;mso-wrap-style:square" o:bullet="t">
        <v:imagedata r:id="rId6" o:title="Denotes no findings"/>
      </v:shape>
    </w:pict>
  </w:numPicBullet>
  <w:numPicBullet w:numPicBulletId="6">
    <w:pict>
      <v:shape id="_x0000_i1039"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4F6"/>
    <w:rsid w:val="000B155A"/>
    <w:rsid w:val="000C309B"/>
    <w:rsid w:val="000C4495"/>
    <w:rsid w:val="00185717"/>
    <w:rsid w:val="001B0603"/>
    <w:rsid w:val="001F75BE"/>
    <w:rsid w:val="002032A0"/>
    <w:rsid w:val="00217886"/>
    <w:rsid w:val="00260CA2"/>
    <w:rsid w:val="00265D36"/>
    <w:rsid w:val="00274A66"/>
    <w:rsid w:val="002B7F35"/>
    <w:rsid w:val="002D2FED"/>
    <w:rsid w:val="002D4167"/>
    <w:rsid w:val="0031611E"/>
    <w:rsid w:val="0032739D"/>
    <w:rsid w:val="003507AB"/>
    <w:rsid w:val="003C5AEE"/>
    <w:rsid w:val="00464DF8"/>
    <w:rsid w:val="004A5012"/>
    <w:rsid w:val="004C04E4"/>
    <w:rsid w:val="004C18F7"/>
    <w:rsid w:val="004D45AD"/>
    <w:rsid w:val="00527106"/>
    <w:rsid w:val="0054461C"/>
    <w:rsid w:val="00576EFE"/>
    <w:rsid w:val="00593DA0"/>
    <w:rsid w:val="005C2719"/>
    <w:rsid w:val="005E617A"/>
    <w:rsid w:val="005E72E8"/>
    <w:rsid w:val="006070B4"/>
    <w:rsid w:val="00620948"/>
    <w:rsid w:val="00647229"/>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549AD"/>
    <w:rsid w:val="00B62C03"/>
    <w:rsid w:val="00BB0BCA"/>
    <w:rsid w:val="00BC0516"/>
    <w:rsid w:val="00C450BF"/>
    <w:rsid w:val="00C55670"/>
    <w:rsid w:val="00C57B0E"/>
    <w:rsid w:val="00C75889"/>
    <w:rsid w:val="00CC5420"/>
    <w:rsid w:val="00D47899"/>
    <w:rsid w:val="00D8766D"/>
    <w:rsid w:val="00D964D0"/>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42EE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20CAA-6AD1-4487-9370-93064E6F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EB57-F07F-4EB1-9107-160A24DA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nelson-co-fpar-summary-2018</vt:lpstr>
    </vt:vector>
  </TitlesOfParts>
  <Company>Virginia IT Infrastructure Partnership</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nelson-co-fpar-summary-2018</dc:title>
  <dc:creator>DOE - NUTRITION (DOE)</dc:creator>
  <cp:lastModifiedBy>Bowman, Kelly (DOE)</cp:lastModifiedBy>
  <cp:revision>2</cp:revision>
  <cp:lastPrinted>2018-03-27T12:01:00Z</cp:lastPrinted>
  <dcterms:created xsi:type="dcterms:W3CDTF">2019-02-05T13:15:00Z</dcterms:created>
  <dcterms:modified xsi:type="dcterms:W3CDTF">2019-02-05T13:15:00Z</dcterms:modified>
</cp:coreProperties>
</file>