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A902CF">
        <w:t>Montgomery County Public Schools</w:t>
      </w:r>
    </w:p>
    <w:p w:rsidR="00E63DC5" w:rsidRDefault="00E63DC5" w:rsidP="00E63DC5">
      <w:pPr>
        <w:pStyle w:val="NormalTNR"/>
      </w:pPr>
      <w:r w:rsidRPr="008B62AA">
        <w:rPr>
          <w:b/>
        </w:rPr>
        <w:t>Report Publication Date:</w:t>
      </w:r>
      <w:r>
        <w:t xml:space="preserve"> </w:t>
      </w:r>
      <w:r w:rsidR="00A902CF">
        <w:t>May 2017</w:t>
      </w:r>
    </w:p>
    <w:p w:rsidR="00E63DC5" w:rsidRDefault="00E63DC5" w:rsidP="00E63DC5">
      <w:pPr>
        <w:pStyle w:val="NormalTNR"/>
      </w:pPr>
      <w:r w:rsidRPr="008B62AA">
        <w:rPr>
          <w:b/>
        </w:rPr>
        <w:t>Administrative Review Dates:</w:t>
      </w:r>
      <w:r>
        <w:t xml:space="preserve"> </w:t>
      </w:r>
      <w:r w:rsidR="00A902CF">
        <w:t>March 28-31, 2017</w:t>
      </w:r>
    </w:p>
    <w:p w:rsidR="00E63DC5" w:rsidRDefault="00E63DC5" w:rsidP="00E63DC5">
      <w:pPr>
        <w:pStyle w:val="NormalTNR"/>
      </w:pPr>
      <w:r w:rsidRPr="008B62AA">
        <w:rPr>
          <w:b/>
        </w:rPr>
        <w:t>Review Month and Year:</w:t>
      </w:r>
      <w:r>
        <w:t xml:space="preserve"> </w:t>
      </w:r>
      <w:r w:rsidR="00A902CF">
        <w:t>February 2017</w:t>
      </w:r>
    </w:p>
    <w:p w:rsidR="00E63DC5" w:rsidRDefault="00E63DC5" w:rsidP="00E63DC5">
      <w:pPr>
        <w:pStyle w:val="NormalTNR"/>
      </w:pPr>
      <w:r w:rsidRPr="008B62AA">
        <w:rPr>
          <w:b/>
        </w:rPr>
        <w:t>Participating Programs:</w:t>
      </w:r>
      <w:r>
        <w:t xml:space="preserve"> </w:t>
      </w:r>
      <w:r w:rsidR="00A902CF">
        <w:t>NSLP, SBP</w:t>
      </w:r>
    </w:p>
    <w:p w:rsidR="00E63DC5" w:rsidRPr="00E63DC5" w:rsidRDefault="00E63DC5" w:rsidP="00F70D82">
      <w:pPr>
        <w:pStyle w:val="NormalTNR"/>
        <w:spacing w:after="600"/>
      </w:pPr>
      <w:proofErr w:type="gramStart"/>
      <w:r w:rsidRPr="008B62AA">
        <w:rPr>
          <w:b/>
        </w:rPr>
        <w:t>Participates in Special Provisions?</w:t>
      </w:r>
      <w:proofErr w:type="gramEnd"/>
      <w:r>
        <w:t xml:space="preserve"> </w:t>
      </w:r>
      <w:r w:rsidR="00A902CF">
        <w:t>No</w:t>
      </w:r>
    </w:p>
    <w:p w:rsidR="0031611E" w:rsidRPr="00A72169" w:rsidRDefault="0031611E" w:rsidP="00F70D82">
      <w:pPr>
        <w:pStyle w:val="Heading2"/>
        <w:spacing w:after="120"/>
      </w:pPr>
      <w:r w:rsidRPr="00A61E27">
        <w:rPr>
          <w:sz w:val="28"/>
        </w:rPr>
        <w:t>Enrollm</w:t>
      </w:r>
      <w:r w:rsidR="00806AE0" w:rsidRPr="00A61E27">
        <w:rPr>
          <w:sz w:val="28"/>
        </w:rPr>
        <w:t xml:space="preserve">ent and Participation Data for </w:t>
      </w:r>
      <w:r w:rsidR="00A902CF">
        <w:rPr>
          <w:sz w:val="28"/>
        </w:rPr>
        <w:t>February 2017:</w:t>
      </w:r>
      <w:r w:rsidR="00A72169">
        <w:br/>
      </w:r>
    </w:p>
    <w:tbl>
      <w:tblPr>
        <w:tblStyle w:val="TableGrid"/>
        <w:tblW w:w="9535" w:type="dxa"/>
        <w:tblLook w:val="04A0" w:firstRow="1" w:lastRow="0" w:firstColumn="1" w:lastColumn="0" w:noHBand="0" w:noVBand="1"/>
        <w:tblDescription w:val="Enrollment and participation data"/>
      </w:tblPr>
      <w:tblGrid>
        <w:gridCol w:w="1230"/>
        <w:gridCol w:w="1390"/>
        <w:gridCol w:w="1563"/>
        <w:gridCol w:w="1027"/>
        <w:gridCol w:w="1249"/>
        <w:gridCol w:w="1216"/>
        <w:gridCol w:w="1860"/>
      </w:tblGrid>
      <w:tr w:rsidR="00767813" w:rsidRPr="00937A7F" w:rsidTr="00937A7F">
        <w:trPr>
          <w:tblHeader/>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6C3986" w:rsidRPr="00937A7F" w:rsidRDefault="00767813" w:rsidP="00E71C1B">
            <w:pPr>
              <w:pStyle w:val="NormalTNR"/>
              <w:spacing w:after="0"/>
              <w:rPr>
                <w:b/>
                <w:lang w:eastAsia="ja-JP"/>
              </w:rPr>
            </w:pPr>
            <w:r w:rsidRPr="00937A7F">
              <w:rPr>
                <w:b/>
                <w:lang w:eastAsia="ja-JP"/>
              </w:rPr>
              <w:t>Eligibility</w:t>
            </w:r>
          </w:p>
        </w:tc>
        <w:tc>
          <w:tcPr>
            <w:tcW w:w="1390" w:type="dxa"/>
            <w:shd w:val="clear" w:color="auto" w:fill="auto"/>
            <w:vAlign w:val="center"/>
          </w:tcPr>
          <w:p w:rsidR="006C3986" w:rsidRPr="00937A7F" w:rsidRDefault="0032739D" w:rsidP="00E71C1B">
            <w:pPr>
              <w:pStyle w:val="NormalTNR"/>
              <w:spacing w:after="0"/>
              <w:rPr>
                <w:b/>
                <w:lang w:eastAsia="ja-JP"/>
              </w:rPr>
            </w:pPr>
            <w:r w:rsidRPr="00937A7F">
              <w:rPr>
                <w:b/>
                <w:lang w:eastAsia="ja-JP"/>
              </w:rPr>
              <w:t>Enrollment</w:t>
            </w:r>
          </w:p>
        </w:tc>
        <w:tc>
          <w:tcPr>
            <w:tcW w:w="1563"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Avg. Daily Participation</w:t>
            </w:r>
            <w:r w:rsidR="00767813" w:rsidRPr="00937A7F">
              <w:rPr>
                <w:b/>
                <w:lang w:eastAsia="ja-JP"/>
              </w:rPr>
              <w:t xml:space="preserve"> (ADP)</w:t>
            </w:r>
          </w:p>
        </w:tc>
        <w:tc>
          <w:tcPr>
            <w:tcW w:w="1027"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ADP %</w:t>
            </w:r>
          </w:p>
        </w:tc>
        <w:tc>
          <w:tcPr>
            <w:tcW w:w="1249"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 xml:space="preserve">Breakfast </w:t>
            </w:r>
            <w:r w:rsidR="00767813" w:rsidRPr="00937A7F">
              <w:rPr>
                <w:b/>
                <w:lang w:eastAsia="ja-JP"/>
              </w:rPr>
              <w:t>ADP</w:t>
            </w:r>
          </w:p>
        </w:tc>
        <w:tc>
          <w:tcPr>
            <w:tcW w:w="1216"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Breakfast ADP %</w:t>
            </w:r>
          </w:p>
        </w:tc>
        <w:tc>
          <w:tcPr>
            <w:tcW w:w="1860"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Total Reimbursement ($$)</w:t>
            </w:r>
          </w:p>
        </w:tc>
      </w:tr>
      <w:tr w:rsidR="00767813" w:rsidRPr="00937A7F" w:rsidTr="00690A00">
        <w:trPr>
          <w:tblHeader/>
        </w:trPr>
        <w:tc>
          <w:tcPr>
            <w:tcW w:w="1230" w:type="dxa"/>
            <w:tcBorders>
              <w:top w:val="single" w:sz="4" w:space="0" w:color="auto"/>
            </w:tcBorders>
            <w:shd w:val="clear" w:color="auto" w:fill="auto"/>
          </w:tcPr>
          <w:p w:rsidR="006C3986" w:rsidRPr="00E71C1B" w:rsidRDefault="006C3986" w:rsidP="00E71C1B">
            <w:pPr>
              <w:pStyle w:val="NormalTNR"/>
              <w:spacing w:after="0"/>
              <w:rPr>
                <w:b/>
                <w:lang w:eastAsia="ja-JP"/>
              </w:rPr>
            </w:pPr>
            <w:r w:rsidRPr="00E71C1B">
              <w:rPr>
                <w:b/>
                <w:lang w:eastAsia="ja-JP"/>
              </w:rPr>
              <w:t>Free</w:t>
            </w:r>
          </w:p>
        </w:tc>
        <w:tc>
          <w:tcPr>
            <w:tcW w:w="1390" w:type="dxa"/>
            <w:shd w:val="clear" w:color="auto" w:fill="auto"/>
            <w:vAlign w:val="center"/>
          </w:tcPr>
          <w:p w:rsidR="006C3986" w:rsidRPr="00690A00" w:rsidRDefault="00A902CF" w:rsidP="00A902CF">
            <w:pPr>
              <w:pStyle w:val="NormalTNR"/>
              <w:spacing w:after="0"/>
              <w:rPr>
                <w:lang w:eastAsia="ja-JP"/>
              </w:rPr>
            </w:pPr>
            <w:r>
              <w:t>2</w:t>
            </w:r>
            <w:r>
              <w:t>,</w:t>
            </w:r>
            <w:r>
              <w:t xml:space="preserve">984 </w:t>
            </w:r>
          </w:p>
        </w:tc>
        <w:tc>
          <w:tcPr>
            <w:tcW w:w="1563" w:type="dxa"/>
            <w:shd w:val="clear" w:color="auto" w:fill="auto"/>
            <w:vAlign w:val="center"/>
          </w:tcPr>
          <w:p w:rsidR="006C3986" w:rsidRPr="00690A00" w:rsidRDefault="00A902CF" w:rsidP="007B68D3">
            <w:pPr>
              <w:pStyle w:val="NormalTNR"/>
              <w:spacing w:after="0"/>
              <w:rPr>
                <w:lang w:eastAsia="ja-JP"/>
              </w:rPr>
            </w:pPr>
            <w:r>
              <w:t>2,120</w:t>
            </w:r>
          </w:p>
        </w:tc>
        <w:tc>
          <w:tcPr>
            <w:tcW w:w="1027" w:type="dxa"/>
            <w:shd w:val="clear" w:color="auto" w:fill="auto"/>
            <w:vAlign w:val="center"/>
          </w:tcPr>
          <w:p w:rsidR="006C3986" w:rsidRPr="00690A00" w:rsidRDefault="00A902CF" w:rsidP="007B68D3">
            <w:pPr>
              <w:pStyle w:val="NormalTNR"/>
              <w:spacing w:after="0"/>
              <w:rPr>
                <w:lang w:eastAsia="ja-JP"/>
              </w:rPr>
            </w:pPr>
            <w:r>
              <w:t>51.12</w:t>
            </w:r>
          </w:p>
        </w:tc>
        <w:tc>
          <w:tcPr>
            <w:tcW w:w="1249" w:type="dxa"/>
            <w:shd w:val="clear" w:color="auto" w:fill="auto"/>
            <w:vAlign w:val="center"/>
          </w:tcPr>
          <w:p w:rsidR="006C3986" w:rsidRPr="00690A00" w:rsidRDefault="00A902CF" w:rsidP="007B68D3">
            <w:pPr>
              <w:pStyle w:val="NormalTNR"/>
              <w:spacing w:after="0"/>
              <w:rPr>
                <w:lang w:eastAsia="ja-JP"/>
              </w:rPr>
            </w:pPr>
            <w:r>
              <w:t>1</w:t>
            </w:r>
            <w:r>
              <w:t>,</w:t>
            </w:r>
            <w:r>
              <w:t>284</w:t>
            </w:r>
          </w:p>
        </w:tc>
        <w:tc>
          <w:tcPr>
            <w:tcW w:w="1216" w:type="dxa"/>
            <w:shd w:val="clear" w:color="auto" w:fill="auto"/>
            <w:vAlign w:val="center"/>
          </w:tcPr>
          <w:p w:rsidR="006C3986" w:rsidRPr="00690A00" w:rsidRDefault="00A902CF" w:rsidP="007B68D3">
            <w:pPr>
              <w:pStyle w:val="NormalTNR"/>
              <w:spacing w:after="0"/>
              <w:rPr>
                <w:lang w:eastAsia="ja-JP"/>
              </w:rPr>
            </w:pPr>
            <w:r>
              <w:t>68.37</w:t>
            </w:r>
          </w:p>
        </w:tc>
        <w:tc>
          <w:tcPr>
            <w:tcW w:w="1860" w:type="dxa"/>
            <w:shd w:val="clear" w:color="auto" w:fill="auto"/>
            <w:vAlign w:val="center"/>
          </w:tcPr>
          <w:p w:rsidR="006C3986" w:rsidRPr="00690A00" w:rsidRDefault="00A902CF" w:rsidP="007B68D3">
            <w:pPr>
              <w:pStyle w:val="NormalTNR"/>
              <w:spacing w:after="0"/>
              <w:rPr>
                <w:lang w:eastAsia="ja-JP"/>
              </w:rPr>
            </w:pPr>
            <w:r>
              <w:t>179,022.30</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Reduced</w:t>
            </w:r>
          </w:p>
        </w:tc>
        <w:tc>
          <w:tcPr>
            <w:tcW w:w="1390" w:type="dxa"/>
            <w:shd w:val="clear" w:color="auto" w:fill="auto"/>
            <w:vAlign w:val="center"/>
          </w:tcPr>
          <w:p w:rsidR="006C3986" w:rsidRPr="00690A00" w:rsidRDefault="00A902CF" w:rsidP="00A902CF">
            <w:pPr>
              <w:pStyle w:val="NormalTNR"/>
              <w:spacing w:after="0"/>
              <w:rPr>
                <w:lang w:eastAsia="ja-JP"/>
              </w:rPr>
            </w:pPr>
            <w:r>
              <w:t xml:space="preserve">578 </w:t>
            </w:r>
          </w:p>
        </w:tc>
        <w:tc>
          <w:tcPr>
            <w:tcW w:w="1563" w:type="dxa"/>
            <w:shd w:val="clear" w:color="auto" w:fill="auto"/>
            <w:vAlign w:val="center"/>
          </w:tcPr>
          <w:p w:rsidR="006C3986" w:rsidRPr="00690A00" w:rsidRDefault="00A902CF" w:rsidP="007B68D3">
            <w:pPr>
              <w:pStyle w:val="NormalTNR"/>
              <w:spacing w:after="0"/>
              <w:rPr>
                <w:lang w:eastAsia="ja-JP"/>
              </w:rPr>
            </w:pPr>
            <w:r>
              <w:t>354</w:t>
            </w:r>
          </w:p>
        </w:tc>
        <w:tc>
          <w:tcPr>
            <w:tcW w:w="1027" w:type="dxa"/>
            <w:shd w:val="clear" w:color="auto" w:fill="auto"/>
            <w:vAlign w:val="center"/>
          </w:tcPr>
          <w:p w:rsidR="006C3986" w:rsidRPr="00690A00" w:rsidRDefault="00A902CF" w:rsidP="007B68D3">
            <w:pPr>
              <w:pStyle w:val="NormalTNR"/>
              <w:spacing w:after="0"/>
              <w:rPr>
                <w:lang w:eastAsia="ja-JP"/>
              </w:rPr>
            </w:pPr>
            <w:r>
              <w:t>8.54</w:t>
            </w:r>
          </w:p>
        </w:tc>
        <w:tc>
          <w:tcPr>
            <w:tcW w:w="1249" w:type="dxa"/>
            <w:shd w:val="clear" w:color="auto" w:fill="auto"/>
            <w:vAlign w:val="center"/>
          </w:tcPr>
          <w:p w:rsidR="006C3986" w:rsidRPr="00690A00" w:rsidRDefault="00A902CF" w:rsidP="007B68D3">
            <w:pPr>
              <w:pStyle w:val="NormalTNR"/>
              <w:spacing w:after="0"/>
              <w:rPr>
                <w:lang w:eastAsia="ja-JP"/>
              </w:rPr>
            </w:pPr>
            <w:r>
              <w:t>159</w:t>
            </w:r>
          </w:p>
        </w:tc>
        <w:tc>
          <w:tcPr>
            <w:tcW w:w="1216" w:type="dxa"/>
            <w:shd w:val="clear" w:color="auto" w:fill="auto"/>
            <w:vAlign w:val="center"/>
          </w:tcPr>
          <w:p w:rsidR="006C3986" w:rsidRPr="00690A00" w:rsidRDefault="00A902CF" w:rsidP="007B68D3">
            <w:pPr>
              <w:pStyle w:val="NormalTNR"/>
              <w:spacing w:after="0"/>
              <w:rPr>
                <w:lang w:eastAsia="ja-JP"/>
              </w:rPr>
            </w:pPr>
            <w:r>
              <w:t>8.47</w:t>
            </w:r>
          </w:p>
        </w:tc>
        <w:tc>
          <w:tcPr>
            <w:tcW w:w="1860" w:type="dxa"/>
            <w:shd w:val="clear" w:color="auto" w:fill="auto"/>
            <w:vAlign w:val="center"/>
          </w:tcPr>
          <w:p w:rsidR="006C3986" w:rsidRPr="00690A00" w:rsidRDefault="00A902CF" w:rsidP="007B68D3">
            <w:pPr>
              <w:pStyle w:val="NormalTNR"/>
              <w:spacing w:after="0"/>
              <w:rPr>
                <w:lang w:eastAsia="ja-JP"/>
              </w:rPr>
            </w:pPr>
            <w:r>
              <w:t>24,154.77</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Paid</w:t>
            </w:r>
          </w:p>
        </w:tc>
        <w:tc>
          <w:tcPr>
            <w:tcW w:w="1390" w:type="dxa"/>
            <w:shd w:val="clear" w:color="auto" w:fill="auto"/>
            <w:vAlign w:val="center"/>
          </w:tcPr>
          <w:p w:rsidR="006C3986" w:rsidRPr="00690A00" w:rsidRDefault="00A902CF" w:rsidP="00A902CF">
            <w:pPr>
              <w:pStyle w:val="NormalTNR"/>
              <w:spacing w:after="0"/>
              <w:rPr>
                <w:lang w:eastAsia="ja-JP"/>
              </w:rPr>
            </w:pPr>
            <w:r>
              <w:t>6</w:t>
            </w:r>
            <w:r>
              <w:t>,</w:t>
            </w:r>
            <w:r>
              <w:t xml:space="preserve">237 </w:t>
            </w:r>
          </w:p>
        </w:tc>
        <w:tc>
          <w:tcPr>
            <w:tcW w:w="1563" w:type="dxa"/>
            <w:shd w:val="clear" w:color="auto" w:fill="auto"/>
            <w:vAlign w:val="center"/>
          </w:tcPr>
          <w:p w:rsidR="006C3986" w:rsidRPr="00690A00" w:rsidRDefault="00A902CF" w:rsidP="007B68D3">
            <w:pPr>
              <w:pStyle w:val="NormalTNR"/>
              <w:spacing w:after="0"/>
              <w:rPr>
                <w:lang w:eastAsia="ja-JP"/>
              </w:rPr>
            </w:pPr>
            <w:r>
              <w:t>1</w:t>
            </w:r>
            <w:r>
              <w:t>,</w:t>
            </w:r>
            <w:r>
              <w:t>673</w:t>
            </w:r>
          </w:p>
        </w:tc>
        <w:tc>
          <w:tcPr>
            <w:tcW w:w="1027" w:type="dxa"/>
            <w:shd w:val="clear" w:color="auto" w:fill="auto"/>
            <w:vAlign w:val="center"/>
          </w:tcPr>
          <w:p w:rsidR="006C3986" w:rsidRPr="00690A00" w:rsidRDefault="00A902CF" w:rsidP="007B68D3">
            <w:pPr>
              <w:pStyle w:val="NormalTNR"/>
              <w:spacing w:after="0"/>
              <w:rPr>
                <w:lang w:eastAsia="ja-JP"/>
              </w:rPr>
            </w:pPr>
            <w:r>
              <w:t>40.34</w:t>
            </w:r>
          </w:p>
        </w:tc>
        <w:tc>
          <w:tcPr>
            <w:tcW w:w="1249" w:type="dxa"/>
            <w:shd w:val="clear" w:color="auto" w:fill="auto"/>
            <w:vAlign w:val="center"/>
          </w:tcPr>
          <w:p w:rsidR="006C3986" w:rsidRPr="00690A00" w:rsidRDefault="00A902CF" w:rsidP="007B68D3">
            <w:pPr>
              <w:pStyle w:val="NormalTNR"/>
              <w:spacing w:after="0"/>
              <w:rPr>
                <w:lang w:eastAsia="ja-JP"/>
              </w:rPr>
            </w:pPr>
            <w:r>
              <w:t>437</w:t>
            </w:r>
          </w:p>
        </w:tc>
        <w:tc>
          <w:tcPr>
            <w:tcW w:w="1216" w:type="dxa"/>
            <w:shd w:val="clear" w:color="auto" w:fill="auto"/>
            <w:vAlign w:val="center"/>
          </w:tcPr>
          <w:p w:rsidR="006C3986" w:rsidRPr="00690A00" w:rsidRDefault="00A902CF" w:rsidP="007B68D3">
            <w:pPr>
              <w:pStyle w:val="NormalTNR"/>
              <w:spacing w:after="0"/>
              <w:rPr>
                <w:lang w:eastAsia="ja-JP"/>
              </w:rPr>
            </w:pPr>
            <w:r>
              <w:t>23.27</w:t>
            </w:r>
          </w:p>
        </w:tc>
        <w:tc>
          <w:tcPr>
            <w:tcW w:w="1860" w:type="dxa"/>
            <w:shd w:val="clear" w:color="auto" w:fill="auto"/>
            <w:vAlign w:val="center"/>
          </w:tcPr>
          <w:p w:rsidR="006C3986" w:rsidRPr="00690A00" w:rsidRDefault="00A902CF" w:rsidP="007B68D3">
            <w:pPr>
              <w:pStyle w:val="NormalTNR"/>
              <w:spacing w:after="0"/>
              <w:rPr>
                <w:lang w:eastAsia="ja-JP"/>
              </w:rPr>
            </w:pPr>
            <w:r>
              <w:t>13,853.35</w:t>
            </w:r>
          </w:p>
        </w:tc>
      </w:tr>
      <w:tr w:rsidR="00767813" w:rsidRPr="00937A7F" w:rsidTr="00937A7F">
        <w:trPr>
          <w:tblHeader/>
        </w:trPr>
        <w:tc>
          <w:tcPr>
            <w:tcW w:w="1230" w:type="dxa"/>
            <w:shd w:val="clear" w:color="auto" w:fill="auto"/>
          </w:tcPr>
          <w:p w:rsidR="006C3986" w:rsidRPr="00937A7F" w:rsidRDefault="006C3986" w:rsidP="00E71C1B">
            <w:pPr>
              <w:pStyle w:val="NormalTNR"/>
              <w:spacing w:after="0"/>
              <w:rPr>
                <w:b/>
                <w:lang w:eastAsia="ja-JP"/>
              </w:rPr>
            </w:pPr>
            <w:r w:rsidRPr="00937A7F">
              <w:rPr>
                <w:b/>
                <w:lang w:eastAsia="ja-JP"/>
              </w:rPr>
              <w:t>Total</w:t>
            </w:r>
          </w:p>
        </w:tc>
        <w:tc>
          <w:tcPr>
            <w:tcW w:w="1390" w:type="dxa"/>
            <w:shd w:val="clear" w:color="auto" w:fill="auto"/>
          </w:tcPr>
          <w:p w:rsidR="006C3986" w:rsidRPr="00937A7F" w:rsidRDefault="00A902CF" w:rsidP="007B68D3">
            <w:pPr>
              <w:pStyle w:val="NormalTNR"/>
              <w:spacing w:after="0"/>
              <w:rPr>
                <w:b/>
                <w:lang w:eastAsia="ja-JP"/>
              </w:rPr>
            </w:pPr>
            <w:r>
              <w:rPr>
                <w:b/>
                <w:lang w:eastAsia="ja-JP"/>
              </w:rPr>
              <w:t>9,799</w:t>
            </w:r>
          </w:p>
        </w:tc>
        <w:tc>
          <w:tcPr>
            <w:tcW w:w="1563" w:type="dxa"/>
            <w:shd w:val="clear" w:color="auto" w:fill="auto"/>
            <w:vAlign w:val="center"/>
          </w:tcPr>
          <w:p w:rsidR="006C3986" w:rsidRPr="00E71C1B" w:rsidRDefault="00E71C1B" w:rsidP="007B68D3">
            <w:pPr>
              <w:pStyle w:val="NormalTNR"/>
              <w:spacing w:after="0"/>
              <w:rPr>
                <w:color w:val="FFFFFF" w:themeColor="background1"/>
                <w:sz w:val="10"/>
                <w:lang w:eastAsia="ja-JP"/>
              </w:rPr>
            </w:pPr>
            <w:r w:rsidRPr="00E71C1B">
              <w:rPr>
                <w:color w:val="FFFFFF" w:themeColor="background1"/>
                <w:sz w:val="10"/>
                <w:lang w:eastAsia="ja-JP"/>
              </w:rPr>
              <w:t>Cell intentionally left blank</w:t>
            </w:r>
          </w:p>
        </w:tc>
        <w:tc>
          <w:tcPr>
            <w:tcW w:w="1027" w:type="dxa"/>
            <w:shd w:val="clear" w:color="auto" w:fill="auto"/>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49"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16"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860" w:type="dxa"/>
            <w:shd w:val="clear" w:color="auto" w:fill="auto"/>
            <w:vAlign w:val="center"/>
          </w:tcPr>
          <w:p w:rsidR="006C3986" w:rsidRPr="00A902CF" w:rsidRDefault="00A902CF" w:rsidP="007B68D3">
            <w:pPr>
              <w:pStyle w:val="NormalTNR"/>
              <w:spacing w:after="0"/>
              <w:rPr>
                <w:b/>
                <w:lang w:eastAsia="ja-JP"/>
              </w:rPr>
            </w:pPr>
            <w:r w:rsidRPr="00A902CF">
              <w:rPr>
                <w:b/>
              </w:rPr>
              <w:t>217,030.42</w:t>
            </w:r>
          </w:p>
        </w:tc>
      </w:tr>
    </w:tbl>
    <w:p w:rsidR="00A03102" w:rsidRPr="007D3AFD" w:rsidRDefault="007D3AFD" w:rsidP="007D3AFD">
      <w:pPr>
        <w:rPr>
          <w:lang w:eastAsia="ja-JP"/>
        </w:rPr>
      </w:pPr>
      <w:r>
        <w:rPr>
          <w:lang w:eastAsia="ja-JP"/>
        </w:rPr>
        <w:br w:type="page"/>
      </w:r>
    </w:p>
    <w:p w:rsidR="00A61E27" w:rsidRPr="00A61E27" w:rsidRDefault="00A03102" w:rsidP="00A61E27">
      <w:pPr>
        <w:pStyle w:val="Heading2"/>
        <w:spacing w:after="480"/>
        <w:rPr>
          <w:sz w:val="28"/>
        </w:rPr>
      </w:pPr>
      <w:r w:rsidRPr="00A61E27">
        <w:rPr>
          <w:sz w:val="28"/>
        </w:rPr>
        <w:lastRenderedPageBreak/>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A902CF" w:rsidRDefault="002032A0" w:rsidP="002D2FE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A902CF"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A902CF"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4A5012" w:rsidRDefault="004A5012" w:rsidP="00260CA2">
            <w:pPr>
              <w:rPr>
                <w:rFonts w:ascii="Times New Roman" w:eastAsia="Times New Roman" w:hAnsi="Times New Roman"/>
                <w:b/>
                <w:color w:val="9E0B0F"/>
                <w:szCs w:val="16"/>
                <w:lang w:eastAsia="ja-JP"/>
              </w:rPr>
            </w:pPr>
            <w:r>
              <w:rPr>
                <w:rFonts w:ascii="Times New Roman" w:eastAsia="Times New Roman" w:hAnsi="Times New Roman"/>
                <w:b/>
                <w:noProof/>
                <w:color w:val="9E0B0F"/>
                <w:szCs w:val="16"/>
              </w:rPr>
              <w:drawing>
                <wp:inline distT="0" distB="0" distL="0" distR="0" wp14:anchorId="53E99D5A">
                  <wp:extent cx="207010" cy="207010"/>
                  <wp:effectExtent l="0" t="0" r="2540" b="2540"/>
                  <wp:docPr id="32" name="Picture 32"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b/>
                <w:color w:val="9E0B0F"/>
                <w:szCs w:val="16"/>
                <w:lang w:eastAsia="ja-JP"/>
              </w:rPr>
              <w:t xml:space="preserve"> </w:t>
            </w:r>
            <w:r w:rsidRPr="00914162">
              <w:rPr>
                <w:rFonts w:ascii="Times New Roman" w:eastAsia="Times New Roman" w:hAnsi="Times New Roman"/>
                <w:b/>
                <w:color w:val="9E0B0F"/>
                <w:szCs w:val="16"/>
                <w:lang w:eastAsia="ja-JP"/>
              </w:rPr>
              <w:t>FINDINGS IDENTIFIED</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r w:rsidR="00A902CF">
              <w:rPr>
                <w:rFonts w:ascii="Times New Roman" w:eastAsia="Times New Roman" w:hAnsi="Times New Roman"/>
                <w:noProof/>
                <w:color w:val="000000"/>
                <w:szCs w:val="20"/>
              </w:rPr>
              <w:t>The breakfast meal pattern was not followed for the review month at the elementary school site visited with respect to the quantity of fruit offered daily at breakfast. The error was non-systematic, and likely the result of a misunderstood communication.</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A902CF"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A902CF"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A902CF" w:rsidRDefault="003C7470" w:rsidP="00BC0516">
            <w:pPr>
              <w:rPr>
                <w:rFonts w:ascii="Times New Roman" w:eastAsia="Times New Roman" w:hAnsi="Times New Roman"/>
                <w:b/>
                <w:color w:val="005E20"/>
                <w:szCs w:val="16"/>
                <w:lang w:eastAsia="ja-JP"/>
              </w:rPr>
            </w:pPr>
            <w:r>
              <w:pict>
                <v:shape id="_x0000_i1032" type="#_x0000_t75" alt="Denotes no findings" style="width:15pt;height:15pt;visibility:visible;mso-wrap-style:square">
                  <v:imagedata r:id="rId11"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lastRenderedPageBreak/>
              <w:t>Local School Wellness Policy</w:t>
            </w:r>
          </w:p>
        </w:tc>
        <w:tc>
          <w:tcPr>
            <w:tcW w:w="4669" w:type="dxa"/>
            <w:vAlign w:val="center"/>
          </w:tcPr>
          <w:p w:rsidR="006475A6" w:rsidRPr="00A902CF"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1D2A2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A902CF"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A902CF"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bookmarkStart w:id="0" w:name="_GoBack"/>
            <w:bookmarkEnd w:id="0"/>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B5F" w:rsidRDefault="00F32B5F" w:rsidP="00EA0AD0">
      <w:pPr>
        <w:spacing w:before="0" w:after="0"/>
      </w:pPr>
      <w:r>
        <w:separator/>
      </w:r>
    </w:p>
  </w:endnote>
  <w:endnote w:type="continuationSeparator" w:id="0">
    <w:p w:rsidR="00F32B5F" w:rsidRDefault="00F32B5F"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B5F" w:rsidRDefault="00F32B5F" w:rsidP="00EA0AD0">
      <w:pPr>
        <w:spacing w:before="0" w:after="0"/>
      </w:pPr>
      <w:r>
        <w:separator/>
      </w:r>
    </w:p>
  </w:footnote>
  <w:footnote w:type="continuationSeparator" w:id="0">
    <w:p w:rsidR="00F32B5F" w:rsidRDefault="00F32B5F"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1.75pt;height:21.75pt;visibility:visible;mso-wrap-style:square" o:bullet="t">
        <v:imagedata r:id="rId1" o:title=""/>
      </v:shape>
    </w:pict>
  </w:numPicBullet>
  <w:numPicBullet w:numPicBulletId="1">
    <w:pict>
      <v:shape id="_x0000_i1048" type="#_x0000_t75" alt="Denotes no findings" style="width:15pt;height:15pt;visibility:visible;mso-wrap-style:square" o:bullet="t">
        <v:imagedata r:id="rId2" o:title="Denotes no findings"/>
      </v:shape>
    </w:pict>
  </w:numPicBullet>
  <w:numPicBullet w:numPicBulletId="2">
    <w:pict>
      <v:shape id="_x0000_i1049" type="#_x0000_t75" alt="Denotes findings identified" style="width:21.75pt;height:21.75pt;visibility:visible;mso-wrap-style:square" o:bullet="t">
        <v:imagedata r:id="rId3" o:title="Denotes findings identified"/>
      </v:shape>
    </w:pict>
  </w:numPicBullet>
  <w:numPicBullet w:numPicBulletId="3">
    <w:pict>
      <v:shape id="_x0000_i1050" type="#_x0000_t75" style="width:15.75pt;height:15.75pt;visibility:visible;mso-wrap-style:square" o:bullet="t">
        <v:imagedata r:id="rId4" o:title=""/>
      </v:shape>
    </w:pict>
  </w:numPicBullet>
  <w:numPicBullet w:numPicBulletId="4">
    <w:pict>
      <v:shape id="_x0000_i1051" type="#_x0000_t75" style="width:15pt;height:15pt;visibility:visible;mso-wrap-style:square" o:bullet="t">
        <v:imagedata r:id="rId5" o:title=""/>
      </v:shape>
    </w:pict>
  </w:numPicBullet>
  <w:numPicBullet w:numPicBulletId="5">
    <w:pict>
      <v:shape id="_x0000_i1052" type="#_x0000_t75" alt="Denotes no findings" style="width:15pt;height:15pt;visibility:visible;mso-wrap-style:square" o:bullet="t">
        <v:imagedata r:id="rId6" o:title="Denotes no findings"/>
      </v:shape>
    </w:pict>
  </w:numPicBullet>
  <w:numPicBullet w:numPicBulletId="6">
    <w:pict>
      <v:shape id="_x0000_i1053"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B0603"/>
    <w:rsid w:val="001F75BE"/>
    <w:rsid w:val="002032A0"/>
    <w:rsid w:val="00217886"/>
    <w:rsid w:val="00260CA2"/>
    <w:rsid w:val="00265D36"/>
    <w:rsid w:val="00274A66"/>
    <w:rsid w:val="002D2FED"/>
    <w:rsid w:val="002D4167"/>
    <w:rsid w:val="0031611E"/>
    <w:rsid w:val="0032739D"/>
    <w:rsid w:val="003507AB"/>
    <w:rsid w:val="003C5AEE"/>
    <w:rsid w:val="003C7470"/>
    <w:rsid w:val="00464DF8"/>
    <w:rsid w:val="004A5012"/>
    <w:rsid w:val="004C04E4"/>
    <w:rsid w:val="004C18F7"/>
    <w:rsid w:val="004D45AD"/>
    <w:rsid w:val="00527106"/>
    <w:rsid w:val="00576EFE"/>
    <w:rsid w:val="00593DA0"/>
    <w:rsid w:val="005C2719"/>
    <w:rsid w:val="005E617A"/>
    <w:rsid w:val="005E72E8"/>
    <w:rsid w:val="006070B4"/>
    <w:rsid w:val="00620948"/>
    <w:rsid w:val="006475A6"/>
    <w:rsid w:val="00690A00"/>
    <w:rsid w:val="00694D91"/>
    <w:rsid w:val="006C3986"/>
    <w:rsid w:val="006D0B91"/>
    <w:rsid w:val="006E68D8"/>
    <w:rsid w:val="00705097"/>
    <w:rsid w:val="0073582B"/>
    <w:rsid w:val="00767813"/>
    <w:rsid w:val="007B68D3"/>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902CF"/>
    <w:rsid w:val="00AA5A0C"/>
    <w:rsid w:val="00AC433F"/>
    <w:rsid w:val="00B130AE"/>
    <w:rsid w:val="00B2489A"/>
    <w:rsid w:val="00B34186"/>
    <w:rsid w:val="00B62C03"/>
    <w:rsid w:val="00BC0516"/>
    <w:rsid w:val="00C450BF"/>
    <w:rsid w:val="00C55670"/>
    <w:rsid w:val="00C75889"/>
    <w:rsid w:val="00CC5420"/>
    <w:rsid w:val="00D8766D"/>
    <w:rsid w:val="00DB68F3"/>
    <w:rsid w:val="00DD07D9"/>
    <w:rsid w:val="00DE1159"/>
    <w:rsid w:val="00DF70F6"/>
    <w:rsid w:val="00E63DC5"/>
    <w:rsid w:val="00E71C1B"/>
    <w:rsid w:val="00E74FFA"/>
    <w:rsid w:val="00EA0AD0"/>
    <w:rsid w:val="00EB6A3E"/>
    <w:rsid w:val="00EC4887"/>
    <w:rsid w:val="00EC4C76"/>
    <w:rsid w:val="00EF1C86"/>
    <w:rsid w:val="00EF640A"/>
    <w:rsid w:val="00F04C94"/>
    <w:rsid w:val="00F205EF"/>
    <w:rsid w:val="00F32B5F"/>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DC50D"/>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E7A1B-1BD2-40CF-A311-A88E89E65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Montgomery Co. FPAR Summary</vt:lpstr>
    </vt:vector>
  </TitlesOfParts>
  <Company>Virginia IT Infrastructure Partnership</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 FPAR Summary</dc:title>
  <dc:subject>Nutrition</dc:subject>
  <dc:creator>DOE - NUTRITION (DOE)</dc:creator>
  <cp:lastModifiedBy>Bowman, Kelly (DOE)</cp:lastModifiedBy>
  <cp:revision>3</cp:revision>
  <cp:lastPrinted>2018-03-27T12:01:00Z</cp:lastPrinted>
  <dcterms:created xsi:type="dcterms:W3CDTF">2018-04-05T17:40:00Z</dcterms:created>
  <dcterms:modified xsi:type="dcterms:W3CDTF">2018-04-05T17:45:00Z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