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13127B">
        <w:t>Mathews County Public Schools</w:t>
      </w:r>
    </w:p>
    <w:p w:rsidR="00E63DC5" w:rsidRDefault="00E63DC5" w:rsidP="00E63DC5">
      <w:pPr>
        <w:pStyle w:val="NormalTNR"/>
      </w:pPr>
      <w:r w:rsidRPr="008B62AA">
        <w:rPr>
          <w:b/>
        </w:rPr>
        <w:t>Report Publication Date:</w:t>
      </w:r>
      <w:r>
        <w:t xml:space="preserve"> </w:t>
      </w:r>
      <w:r w:rsidR="0013127B">
        <w:t>July 17</w:t>
      </w:r>
      <w:r w:rsidR="00082D92">
        <w:t>, 2019</w:t>
      </w:r>
    </w:p>
    <w:p w:rsidR="00E63DC5" w:rsidRDefault="00E63DC5" w:rsidP="00E63DC5">
      <w:pPr>
        <w:pStyle w:val="NormalTNR"/>
      </w:pPr>
      <w:r w:rsidRPr="008B62AA">
        <w:rPr>
          <w:b/>
        </w:rPr>
        <w:t>Administrative Review Dates:</w:t>
      </w:r>
      <w:r>
        <w:t xml:space="preserve"> </w:t>
      </w:r>
      <w:r w:rsidR="00082D92">
        <w:t>December 11- 13, 2018</w:t>
      </w:r>
    </w:p>
    <w:p w:rsidR="00E63DC5" w:rsidRDefault="00E63DC5" w:rsidP="00E63DC5">
      <w:pPr>
        <w:pStyle w:val="NormalTNR"/>
      </w:pPr>
      <w:r w:rsidRPr="008B62AA">
        <w:rPr>
          <w:b/>
        </w:rPr>
        <w:t>Review Month and Year:</w:t>
      </w:r>
      <w:r>
        <w:t xml:space="preserve"> </w:t>
      </w:r>
      <w:r w:rsidR="00082D92">
        <w:t>November 2018</w:t>
      </w:r>
    </w:p>
    <w:p w:rsidR="00E63DC5" w:rsidRDefault="00E63DC5" w:rsidP="00E63DC5">
      <w:pPr>
        <w:pStyle w:val="NormalTNR"/>
      </w:pPr>
      <w:r w:rsidRPr="008B62AA">
        <w:rPr>
          <w:b/>
        </w:rPr>
        <w:t>Participating Programs:</w:t>
      </w:r>
      <w:r>
        <w:t xml:space="preserve"> </w:t>
      </w:r>
      <w:r w:rsidR="00082D92">
        <w:t>NSLP &amp; SBP</w:t>
      </w:r>
    </w:p>
    <w:p w:rsidR="00E63DC5" w:rsidRPr="00E63DC5" w:rsidRDefault="00E63DC5" w:rsidP="00F70D82">
      <w:pPr>
        <w:pStyle w:val="NormalTNR"/>
        <w:spacing w:after="600"/>
      </w:pPr>
      <w:r w:rsidRPr="008B62AA">
        <w:rPr>
          <w:b/>
        </w:rPr>
        <w:t>Participates in Special Provisions</w:t>
      </w:r>
      <w:r w:rsidR="00082D92">
        <w:rPr>
          <w:b/>
        </w:rPr>
        <w:t xml:space="preserve"> </w:t>
      </w:r>
      <w:r w:rsidR="0013127B">
        <w:rPr>
          <w:b/>
        </w:rPr>
        <w:t>–</w:t>
      </w:r>
      <w:r w:rsidR="00082D92">
        <w:rPr>
          <w:b/>
        </w:rPr>
        <w:t xml:space="preserve"> </w:t>
      </w:r>
      <w:r w:rsidR="0013127B">
        <w:t>N/A</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13127B">
        <w:rPr>
          <w:sz w:val="28"/>
        </w:rPr>
        <w:t>November 2018</w:t>
      </w:r>
      <w:r w:rsidRPr="00A61E27">
        <w:rPr>
          <w:sz w:val="28"/>
        </w:rPr>
        <w:t>:</w:t>
      </w:r>
      <w:r w:rsidR="00A72169">
        <w:br/>
      </w:r>
    </w:p>
    <w:tbl>
      <w:tblPr>
        <w:tblStyle w:val="TableGrid"/>
        <w:tblW w:w="9535" w:type="dxa"/>
        <w:tblLook w:val="04A0" w:firstRow="1" w:lastRow="0" w:firstColumn="1" w:lastColumn="0" w:noHBand="0" w:noVBand="1"/>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6B3ECA" w:rsidP="007B68D3">
            <w:pPr>
              <w:pStyle w:val="NormalTNR"/>
              <w:spacing w:after="0"/>
              <w:rPr>
                <w:lang w:eastAsia="ja-JP"/>
              </w:rPr>
            </w:pPr>
            <w:r>
              <w:rPr>
                <w:lang w:eastAsia="ja-JP"/>
              </w:rPr>
              <w:t>399</w:t>
            </w:r>
          </w:p>
        </w:tc>
        <w:tc>
          <w:tcPr>
            <w:tcW w:w="1563" w:type="dxa"/>
            <w:shd w:val="clear" w:color="auto" w:fill="auto"/>
            <w:vAlign w:val="center"/>
          </w:tcPr>
          <w:p w:rsidR="006C3986" w:rsidRPr="00690A00" w:rsidRDefault="00D75A2D" w:rsidP="007B68D3">
            <w:pPr>
              <w:pStyle w:val="NormalTNR"/>
              <w:spacing w:after="0"/>
              <w:rPr>
                <w:lang w:eastAsia="ja-JP"/>
              </w:rPr>
            </w:pPr>
            <w:r>
              <w:rPr>
                <w:lang w:eastAsia="ja-JP"/>
              </w:rPr>
              <w:t>311</w:t>
            </w:r>
          </w:p>
        </w:tc>
        <w:tc>
          <w:tcPr>
            <w:tcW w:w="1027" w:type="dxa"/>
            <w:shd w:val="clear" w:color="auto" w:fill="auto"/>
            <w:vAlign w:val="center"/>
          </w:tcPr>
          <w:p w:rsidR="006C3986" w:rsidRPr="00690A00" w:rsidRDefault="0013127B" w:rsidP="007B68D3">
            <w:pPr>
              <w:pStyle w:val="NormalTNR"/>
              <w:spacing w:after="0"/>
              <w:rPr>
                <w:lang w:eastAsia="ja-JP"/>
              </w:rPr>
            </w:pPr>
            <w:r>
              <w:rPr>
                <w:lang w:eastAsia="ja-JP"/>
              </w:rPr>
              <w:t>46.42</w:t>
            </w:r>
          </w:p>
        </w:tc>
        <w:tc>
          <w:tcPr>
            <w:tcW w:w="1249" w:type="dxa"/>
            <w:shd w:val="clear" w:color="auto" w:fill="auto"/>
            <w:vAlign w:val="center"/>
          </w:tcPr>
          <w:p w:rsidR="006C3986" w:rsidRPr="00690A00" w:rsidRDefault="00D75A2D" w:rsidP="007B68D3">
            <w:pPr>
              <w:pStyle w:val="NormalTNR"/>
              <w:spacing w:after="0"/>
              <w:rPr>
                <w:lang w:eastAsia="ja-JP"/>
              </w:rPr>
            </w:pPr>
            <w:r>
              <w:rPr>
                <w:lang w:eastAsia="ja-JP"/>
              </w:rPr>
              <w:t>211</w:t>
            </w:r>
          </w:p>
        </w:tc>
        <w:tc>
          <w:tcPr>
            <w:tcW w:w="1216" w:type="dxa"/>
            <w:shd w:val="clear" w:color="auto" w:fill="auto"/>
            <w:vAlign w:val="center"/>
          </w:tcPr>
          <w:p w:rsidR="006C3986" w:rsidRPr="00690A00" w:rsidRDefault="0013127B" w:rsidP="007B68D3">
            <w:pPr>
              <w:pStyle w:val="NormalTNR"/>
              <w:spacing w:after="0"/>
              <w:rPr>
                <w:lang w:eastAsia="ja-JP"/>
              </w:rPr>
            </w:pPr>
            <w:r>
              <w:rPr>
                <w:lang w:eastAsia="ja-JP"/>
              </w:rPr>
              <w:t>56.12</w:t>
            </w:r>
          </w:p>
        </w:tc>
        <w:tc>
          <w:tcPr>
            <w:tcW w:w="1860" w:type="dxa"/>
            <w:shd w:val="clear" w:color="auto" w:fill="auto"/>
            <w:vAlign w:val="center"/>
          </w:tcPr>
          <w:p w:rsidR="006C3986" w:rsidRPr="00690A00" w:rsidRDefault="000E1920" w:rsidP="007B68D3">
            <w:pPr>
              <w:pStyle w:val="NormalTNR"/>
              <w:spacing w:after="0"/>
              <w:rPr>
                <w:lang w:eastAsia="ja-JP"/>
              </w:rPr>
            </w:pPr>
            <w:r>
              <w:rPr>
                <w:lang w:eastAsia="ja-JP"/>
              </w:rPr>
              <w:t>26,992.98</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6B3ECA" w:rsidP="007B68D3">
            <w:pPr>
              <w:pStyle w:val="NormalTNR"/>
              <w:spacing w:after="0"/>
              <w:rPr>
                <w:lang w:eastAsia="ja-JP"/>
              </w:rPr>
            </w:pPr>
            <w:r>
              <w:rPr>
                <w:lang w:eastAsia="ja-JP"/>
              </w:rPr>
              <w:t>74</w:t>
            </w:r>
          </w:p>
        </w:tc>
        <w:tc>
          <w:tcPr>
            <w:tcW w:w="1563" w:type="dxa"/>
            <w:shd w:val="clear" w:color="auto" w:fill="auto"/>
            <w:vAlign w:val="center"/>
          </w:tcPr>
          <w:p w:rsidR="006C3986" w:rsidRPr="00690A00" w:rsidRDefault="00D75A2D" w:rsidP="007B68D3">
            <w:pPr>
              <w:pStyle w:val="NormalTNR"/>
              <w:spacing w:after="0"/>
              <w:rPr>
                <w:lang w:eastAsia="ja-JP"/>
              </w:rPr>
            </w:pPr>
            <w:r>
              <w:rPr>
                <w:lang w:eastAsia="ja-JP"/>
              </w:rPr>
              <w:t>55</w:t>
            </w:r>
          </w:p>
        </w:tc>
        <w:tc>
          <w:tcPr>
            <w:tcW w:w="1027" w:type="dxa"/>
            <w:shd w:val="clear" w:color="auto" w:fill="auto"/>
            <w:vAlign w:val="center"/>
          </w:tcPr>
          <w:p w:rsidR="006C3986" w:rsidRPr="00690A00" w:rsidRDefault="0013127B" w:rsidP="007B68D3">
            <w:pPr>
              <w:pStyle w:val="NormalTNR"/>
              <w:spacing w:after="0"/>
              <w:rPr>
                <w:lang w:eastAsia="ja-JP"/>
              </w:rPr>
            </w:pPr>
            <w:r>
              <w:rPr>
                <w:lang w:eastAsia="ja-JP"/>
              </w:rPr>
              <w:t>8.21</w:t>
            </w:r>
          </w:p>
        </w:tc>
        <w:tc>
          <w:tcPr>
            <w:tcW w:w="1249" w:type="dxa"/>
            <w:shd w:val="clear" w:color="auto" w:fill="auto"/>
            <w:vAlign w:val="center"/>
          </w:tcPr>
          <w:p w:rsidR="006C3986" w:rsidRPr="00690A00" w:rsidRDefault="0013127B" w:rsidP="007B68D3">
            <w:pPr>
              <w:pStyle w:val="NormalTNR"/>
              <w:spacing w:after="0"/>
              <w:rPr>
                <w:lang w:eastAsia="ja-JP"/>
              </w:rPr>
            </w:pPr>
            <w:r>
              <w:rPr>
                <w:lang w:eastAsia="ja-JP"/>
              </w:rPr>
              <w:t>3</w:t>
            </w:r>
            <w:r w:rsidR="00D75A2D">
              <w:rPr>
                <w:lang w:eastAsia="ja-JP"/>
              </w:rPr>
              <w:t>9</w:t>
            </w:r>
          </w:p>
        </w:tc>
        <w:tc>
          <w:tcPr>
            <w:tcW w:w="1216" w:type="dxa"/>
            <w:shd w:val="clear" w:color="auto" w:fill="auto"/>
            <w:vAlign w:val="center"/>
          </w:tcPr>
          <w:p w:rsidR="006C3986" w:rsidRPr="00690A00" w:rsidRDefault="0013127B" w:rsidP="007B68D3">
            <w:pPr>
              <w:pStyle w:val="NormalTNR"/>
              <w:spacing w:after="0"/>
              <w:rPr>
                <w:lang w:eastAsia="ja-JP"/>
              </w:rPr>
            </w:pPr>
            <w:r>
              <w:rPr>
                <w:lang w:eastAsia="ja-JP"/>
              </w:rPr>
              <w:t>10.37</w:t>
            </w:r>
          </w:p>
        </w:tc>
        <w:tc>
          <w:tcPr>
            <w:tcW w:w="1860" w:type="dxa"/>
            <w:shd w:val="clear" w:color="auto" w:fill="auto"/>
            <w:vAlign w:val="center"/>
          </w:tcPr>
          <w:p w:rsidR="006C3986" w:rsidRPr="00690A00" w:rsidRDefault="000E1920" w:rsidP="007B68D3">
            <w:pPr>
              <w:pStyle w:val="NormalTNR"/>
              <w:spacing w:after="0"/>
              <w:rPr>
                <w:lang w:eastAsia="ja-JP"/>
              </w:rPr>
            </w:pPr>
            <w:r>
              <w:rPr>
                <w:lang w:eastAsia="ja-JP"/>
              </w:rPr>
              <w:t>4,246.70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6B3ECA" w:rsidP="007B68D3">
            <w:pPr>
              <w:pStyle w:val="NormalTNR"/>
              <w:spacing w:after="0"/>
              <w:rPr>
                <w:lang w:eastAsia="ja-JP"/>
              </w:rPr>
            </w:pPr>
            <w:r>
              <w:rPr>
                <w:lang w:eastAsia="ja-JP"/>
              </w:rPr>
              <w:t>592</w:t>
            </w:r>
          </w:p>
        </w:tc>
        <w:tc>
          <w:tcPr>
            <w:tcW w:w="1563" w:type="dxa"/>
            <w:shd w:val="clear" w:color="auto" w:fill="auto"/>
            <w:vAlign w:val="center"/>
          </w:tcPr>
          <w:p w:rsidR="006C3986" w:rsidRPr="00690A00" w:rsidRDefault="00D75A2D" w:rsidP="007B68D3">
            <w:pPr>
              <w:pStyle w:val="NormalTNR"/>
              <w:spacing w:after="0"/>
              <w:rPr>
                <w:lang w:eastAsia="ja-JP"/>
              </w:rPr>
            </w:pPr>
            <w:r>
              <w:rPr>
                <w:lang w:eastAsia="ja-JP"/>
              </w:rPr>
              <w:t>304</w:t>
            </w:r>
          </w:p>
        </w:tc>
        <w:tc>
          <w:tcPr>
            <w:tcW w:w="1027" w:type="dxa"/>
            <w:shd w:val="clear" w:color="auto" w:fill="auto"/>
            <w:vAlign w:val="center"/>
          </w:tcPr>
          <w:p w:rsidR="006C3986" w:rsidRPr="00690A00" w:rsidRDefault="0013127B" w:rsidP="007B68D3">
            <w:pPr>
              <w:pStyle w:val="NormalTNR"/>
              <w:spacing w:after="0"/>
              <w:rPr>
                <w:lang w:eastAsia="ja-JP"/>
              </w:rPr>
            </w:pPr>
            <w:r>
              <w:rPr>
                <w:lang w:eastAsia="ja-JP"/>
              </w:rPr>
              <w:t>45.37</w:t>
            </w:r>
          </w:p>
        </w:tc>
        <w:tc>
          <w:tcPr>
            <w:tcW w:w="1249" w:type="dxa"/>
            <w:shd w:val="clear" w:color="auto" w:fill="auto"/>
            <w:vAlign w:val="center"/>
          </w:tcPr>
          <w:p w:rsidR="006C3986" w:rsidRPr="00690A00" w:rsidRDefault="00D75A2D" w:rsidP="007B68D3">
            <w:pPr>
              <w:pStyle w:val="NormalTNR"/>
              <w:spacing w:after="0"/>
              <w:rPr>
                <w:lang w:eastAsia="ja-JP"/>
              </w:rPr>
            </w:pPr>
            <w:r>
              <w:rPr>
                <w:lang w:eastAsia="ja-JP"/>
              </w:rPr>
              <w:t>126</w:t>
            </w:r>
          </w:p>
        </w:tc>
        <w:tc>
          <w:tcPr>
            <w:tcW w:w="1216" w:type="dxa"/>
            <w:shd w:val="clear" w:color="auto" w:fill="auto"/>
            <w:vAlign w:val="center"/>
          </w:tcPr>
          <w:p w:rsidR="006C3986" w:rsidRPr="00690A00" w:rsidRDefault="0013127B" w:rsidP="007B68D3">
            <w:pPr>
              <w:pStyle w:val="NormalTNR"/>
              <w:spacing w:after="0"/>
              <w:rPr>
                <w:lang w:eastAsia="ja-JP"/>
              </w:rPr>
            </w:pPr>
            <w:r>
              <w:rPr>
                <w:lang w:eastAsia="ja-JP"/>
              </w:rPr>
              <w:t>33.51</w:t>
            </w:r>
          </w:p>
        </w:tc>
        <w:tc>
          <w:tcPr>
            <w:tcW w:w="1860" w:type="dxa"/>
            <w:shd w:val="clear" w:color="auto" w:fill="auto"/>
            <w:vAlign w:val="center"/>
          </w:tcPr>
          <w:p w:rsidR="006C3986" w:rsidRPr="00690A00" w:rsidRDefault="000E1920" w:rsidP="007B68D3">
            <w:pPr>
              <w:pStyle w:val="NormalTNR"/>
              <w:spacing w:after="0"/>
              <w:rPr>
                <w:lang w:eastAsia="ja-JP"/>
              </w:rPr>
            </w:pPr>
            <w:r>
              <w:rPr>
                <w:lang w:eastAsia="ja-JP"/>
              </w:rPr>
              <w:t>2,731.42</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6B3ECA" w:rsidP="007B68D3">
            <w:pPr>
              <w:pStyle w:val="NormalTNR"/>
              <w:spacing w:after="0"/>
              <w:rPr>
                <w:b/>
                <w:lang w:eastAsia="ja-JP"/>
              </w:rPr>
            </w:pPr>
            <w:r>
              <w:rPr>
                <w:b/>
                <w:lang w:eastAsia="ja-JP"/>
              </w:rPr>
              <w:t>1,065</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0E1920" w:rsidP="007B68D3">
            <w:pPr>
              <w:pStyle w:val="NormalTNR"/>
              <w:spacing w:after="0"/>
              <w:rPr>
                <w:b/>
                <w:lang w:eastAsia="ja-JP"/>
              </w:rPr>
            </w:pPr>
            <w:r>
              <w:rPr>
                <w:b/>
                <w:lang w:eastAsia="ja-JP"/>
              </w:rPr>
              <w:t>33,971.10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5A602A"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5A602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5A602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5A602A"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5A602A"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5A602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2B0945" w:rsidRDefault="002B0945" w:rsidP="00A61E27">
      <w:pPr>
        <w:pStyle w:val="Heading3"/>
        <w:spacing w:before="360" w:after="240"/>
        <w:rPr>
          <w:rFonts w:ascii="Times New Roman" w:hAnsi="Times New Roman" w:cs="Times New Roman"/>
          <w:b/>
          <w:color w:val="auto"/>
        </w:rPr>
      </w:pPr>
    </w:p>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5A602A" w:rsidRDefault="002F65EB" w:rsidP="00BC0516">
            <w:pPr>
              <w:rPr>
                <w:rFonts w:ascii="Times New Roman" w:eastAsia="Times New Roman" w:hAnsi="Times New Roman"/>
                <w:b/>
                <w:color w:val="005E20"/>
                <w:szCs w:val="16"/>
                <w:lang w:eastAsia="ja-JP"/>
              </w:rPr>
            </w:pPr>
            <w:r>
              <w:rPr>
                <w:noProof/>
              </w:rPr>
              <w:drawing>
                <wp:inline distT="0" distB="0" distL="0" distR="0">
                  <wp:extent cx="190500" cy="190500"/>
                  <wp:effectExtent l="0" t="0" r="0" b="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otes no find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5A602A"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5A602A"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5A602A"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1.6pt;height:21.6pt;visibility:visible;mso-wrap-style:square" o:bullet="t">
        <v:imagedata r:id="rId1" o:title=""/>
      </v:shape>
    </w:pict>
  </w:numPicBullet>
  <w:numPicBullet w:numPicBulletId="1">
    <w:pict>
      <v:shape id="_x0000_i1104" type="#_x0000_t75" alt="Denotes no findings" style="width:15.2pt;height:15.2pt;visibility:visible;mso-wrap-style:square" o:bullet="t">
        <v:imagedata r:id="rId2" o:title="Denotes no findings"/>
      </v:shape>
    </w:pict>
  </w:numPicBullet>
  <w:numPicBullet w:numPicBulletId="2">
    <w:pict>
      <v:shape id="_x0000_i1105" type="#_x0000_t75" alt="Denotes findings identified" style="width:21.6pt;height:21.6pt;visibility:visible;mso-wrap-style:square" o:bullet="t">
        <v:imagedata r:id="rId3" o:title="Denotes findings identified"/>
      </v:shape>
    </w:pict>
  </w:numPicBullet>
  <w:numPicBullet w:numPicBulletId="3">
    <w:pict>
      <v:shape id="_x0000_i1106" type="#_x0000_t75" style="width:16pt;height:16pt;visibility:visible;mso-wrap-style:square" o:bullet="t">
        <v:imagedata r:id="rId4" o:title=""/>
      </v:shape>
    </w:pict>
  </w:numPicBullet>
  <w:numPicBullet w:numPicBulletId="4">
    <w:pict>
      <v:shape id="_x0000_i1107" type="#_x0000_t75" style="width:15.2pt;height:15.2pt;visibility:visible;mso-wrap-style:square" o:bullet="t">
        <v:imagedata r:id="rId5" o:title=""/>
      </v:shape>
    </w:pict>
  </w:numPicBullet>
  <w:numPicBullet w:numPicBulletId="5">
    <w:pict>
      <v:shape id="_x0000_i1108" type="#_x0000_t75" alt="Denotes no findings" style="width:15.2pt;height:15.2pt;visibility:visible;mso-wrap-style:square" o:bullet="t">
        <v:imagedata r:id="rId6" o:title="Denotes no findings"/>
      </v:shape>
    </w:pict>
  </w:numPicBullet>
  <w:numPicBullet w:numPicBulletId="6">
    <w:pict>
      <v:shape id="_x0000_i1109"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82D92"/>
    <w:rsid w:val="00097AFF"/>
    <w:rsid w:val="000B155A"/>
    <w:rsid w:val="000C309B"/>
    <w:rsid w:val="000C4495"/>
    <w:rsid w:val="000E1920"/>
    <w:rsid w:val="0013127B"/>
    <w:rsid w:val="001B0603"/>
    <w:rsid w:val="001F75BE"/>
    <w:rsid w:val="002032A0"/>
    <w:rsid w:val="00217886"/>
    <w:rsid w:val="00260CA2"/>
    <w:rsid w:val="00265D36"/>
    <w:rsid w:val="00274A66"/>
    <w:rsid w:val="002B0945"/>
    <w:rsid w:val="002D2FED"/>
    <w:rsid w:val="002D4167"/>
    <w:rsid w:val="002F65EB"/>
    <w:rsid w:val="0031611E"/>
    <w:rsid w:val="0032739D"/>
    <w:rsid w:val="003507AB"/>
    <w:rsid w:val="003C5AEE"/>
    <w:rsid w:val="003F0F5E"/>
    <w:rsid w:val="00424AF9"/>
    <w:rsid w:val="00464DF8"/>
    <w:rsid w:val="00493FEC"/>
    <w:rsid w:val="004A5012"/>
    <w:rsid w:val="004C04E4"/>
    <w:rsid w:val="004C18F7"/>
    <w:rsid w:val="004D45AD"/>
    <w:rsid w:val="00527106"/>
    <w:rsid w:val="00576EFE"/>
    <w:rsid w:val="00593DA0"/>
    <w:rsid w:val="005A602A"/>
    <w:rsid w:val="005C2719"/>
    <w:rsid w:val="005E617A"/>
    <w:rsid w:val="005E72E8"/>
    <w:rsid w:val="006070B4"/>
    <w:rsid w:val="00620948"/>
    <w:rsid w:val="006475A6"/>
    <w:rsid w:val="00690A00"/>
    <w:rsid w:val="00694D91"/>
    <w:rsid w:val="006B3ECA"/>
    <w:rsid w:val="006C3986"/>
    <w:rsid w:val="006D0B91"/>
    <w:rsid w:val="006E68D8"/>
    <w:rsid w:val="00705097"/>
    <w:rsid w:val="00725F5C"/>
    <w:rsid w:val="0073582B"/>
    <w:rsid w:val="00767813"/>
    <w:rsid w:val="007B68D3"/>
    <w:rsid w:val="007C0F62"/>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529C1"/>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62731"/>
    <w:rsid w:val="00D75A2D"/>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53774-972F-4F33-A61C-C71BC3C2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D508-CA2B-9F4F-B44F-A116C815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1649</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Manager/>
  <Company>Virginia IT Infrastructure Partnership</Company>
  <LinksUpToDate>false</LinksUpToDate>
  <CharactersWithSpaces>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mathews-fpar-summary-2018</dc:title>
  <dc:subject/>
  <dc:creator>DOE - NUTRITION (DOE)</dc:creator>
  <cp:keywords>fpar-summary-mathews-2018</cp:keywords>
  <dc:description/>
  <cp:lastModifiedBy>Kelly Bowman</cp:lastModifiedBy>
  <cp:revision>3</cp:revision>
  <cp:lastPrinted>2019-05-02T18:34:00Z</cp:lastPrinted>
  <dcterms:created xsi:type="dcterms:W3CDTF">2019-07-19T17:22:00Z</dcterms:created>
  <dcterms:modified xsi:type="dcterms:W3CDTF">2019-07-19T18:12:00Z</dcterms:modified>
  <cp:category/>
</cp:coreProperties>
</file>