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813" w:rsidRDefault="00767813" w:rsidP="0031611E">
      <w:pPr>
        <w:pStyle w:val="Heading1"/>
      </w:pPr>
      <w:r>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bookmarkStart w:id="0" w:name="_GoBack"/>
      <w:bookmarkEnd w:id="0"/>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862322">
        <w:t>Louisa County</w:t>
      </w:r>
      <w:r w:rsidR="00FE1605">
        <w:t xml:space="preserve"> Public Schools</w:t>
      </w:r>
    </w:p>
    <w:p w:rsidR="00E63DC5" w:rsidRDefault="00E63DC5" w:rsidP="00E63DC5">
      <w:pPr>
        <w:pStyle w:val="NormalTNR"/>
      </w:pPr>
      <w:r w:rsidRPr="008B62AA">
        <w:rPr>
          <w:b/>
        </w:rPr>
        <w:t>Report Publication Date:</w:t>
      </w:r>
      <w:r>
        <w:t xml:space="preserve"> </w:t>
      </w:r>
      <w:r w:rsidR="00862322">
        <w:t>11/06/2018</w:t>
      </w:r>
    </w:p>
    <w:p w:rsidR="00E63DC5" w:rsidRDefault="00E63DC5" w:rsidP="00E63DC5">
      <w:pPr>
        <w:pStyle w:val="NormalTNR"/>
      </w:pPr>
      <w:r w:rsidRPr="008B62AA">
        <w:rPr>
          <w:b/>
        </w:rPr>
        <w:t>Administrative Review Dates:</w:t>
      </w:r>
      <w:r>
        <w:t xml:space="preserve"> </w:t>
      </w:r>
      <w:r w:rsidR="00862322">
        <w:t xml:space="preserve">November 28 – December 1, 2017 </w:t>
      </w:r>
    </w:p>
    <w:p w:rsidR="00E63DC5" w:rsidRDefault="00E63DC5" w:rsidP="00E63DC5">
      <w:pPr>
        <w:pStyle w:val="NormalTNR"/>
      </w:pPr>
      <w:r w:rsidRPr="008B62AA">
        <w:rPr>
          <w:b/>
        </w:rPr>
        <w:t>Review Month and Year:</w:t>
      </w:r>
      <w:r>
        <w:t xml:space="preserve"> </w:t>
      </w:r>
      <w:r w:rsidR="00862322">
        <w:t>October 2017</w:t>
      </w:r>
    </w:p>
    <w:p w:rsidR="00E63DC5" w:rsidRDefault="00E63DC5" w:rsidP="00E63DC5">
      <w:pPr>
        <w:pStyle w:val="NormalTNR"/>
      </w:pPr>
      <w:r w:rsidRPr="008B62AA">
        <w:rPr>
          <w:b/>
        </w:rPr>
        <w:t>Participating Programs:</w:t>
      </w:r>
      <w:r>
        <w:t xml:space="preserve"> </w:t>
      </w:r>
      <w:r w:rsidR="00862322">
        <w:t>NSLP, SBP</w:t>
      </w:r>
    </w:p>
    <w:p w:rsidR="00E63DC5" w:rsidRPr="00E63DC5" w:rsidRDefault="00E63DC5" w:rsidP="00F70D82">
      <w:pPr>
        <w:pStyle w:val="NormalTNR"/>
        <w:spacing w:after="600"/>
      </w:pPr>
      <w:r w:rsidRPr="008B62AA">
        <w:rPr>
          <w:b/>
        </w:rPr>
        <w:t>Participates in Special Provisions?</w:t>
      </w:r>
      <w:r>
        <w:t xml:space="preserve"> </w:t>
      </w:r>
      <w:r w:rsidR="00862322">
        <w:t>No</w:t>
      </w:r>
    </w:p>
    <w:p w:rsidR="0031611E" w:rsidRPr="00A72169" w:rsidRDefault="0031611E" w:rsidP="00F70D82">
      <w:pPr>
        <w:pStyle w:val="Heading2"/>
        <w:spacing w:after="120"/>
      </w:pPr>
      <w:r w:rsidRPr="00A61E27">
        <w:rPr>
          <w:sz w:val="28"/>
        </w:rPr>
        <w:t>Enrollm</w:t>
      </w:r>
      <w:r w:rsidR="00806AE0" w:rsidRPr="00A61E27">
        <w:rPr>
          <w:sz w:val="28"/>
        </w:rPr>
        <w:t xml:space="preserve">ent and Participation Data for </w:t>
      </w:r>
      <w:r w:rsidR="00862322">
        <w:rPr>
          <w:sz w:val="28"/>
        </w:rPr>
        <w:t>October 2017</w:t>
      </w:r>
      <w:r w:rsidRPr="00A61E27">
        <w:rPr>
          <w:sz w:val="28"/>
        </w:rPr>
        <w:t>:</w:t>
      </w:r>
      <w:r w:rsidR="00A72169">
        <w:br/>
      </w:r>
    </w:p>
    <w:tbl>
      <w:tblPr>
        <w:tblStyle w:val="TableGrid"/>
        <w:tblW w:w="9535" w:type="dxa"/>
        <w:tblLook w:val="04A0" w:firstRow="1" w:lastRow="0" w:firstColumn="1" w:lastColumn="0" w:noHBand="0" w:noVBand="1"/>
        <w:tblDescription w:val="Enrollment and participation data"/>
      </w:tblPr>
      <w:tblGrid>
        <w:gridCol w:w="1230"/>
        <w:gridCol w:w="1390"/>
        <w:gridCol w:w="1563"/>
        <w:gridCol w:w="1027"/>
        <w:gridCol w:w="1249"/>
        <w:gridCol w:w="1216"/>
        <w:gridCol w:w="1860"/>
      </w:tblGrid>
      <w:tr w:rsidR="00767813" w:rsidRPr="00937A7F" w:rsidTr="00937A7F">
        <w:trPr>
          <w:tblHeader/>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6C3986" w:rsidRPr="00937A7F" w:rsidRDefault="00767813" w:rsidP="00E71C1B">
            <w:pPr>
              <w:pStyle w:val="NormalTNR"/>
              <w:spacing w:after="0"/>
              <w:rPr>
                <w:b/>
                <w:lang w:eastAsia="ja-JP"/>
              </w:rPr>
            </w:pPr>
            <w:r w:rsidRPr="00937A7F">
              <w:rPr>
                <w:b/>
                <w:lang w:eastAsia="ja-JP"/>
              </w:rPr>
              <w:t>Eligibility</w:t>
            </w:r>
          </w:p>
        </w:tc>
        <w:tc>
          <w:tcPr>
            <w:tcW w:w="1390" w:type="dxa"/>
            <w:shd w:val="clear" w:color="auto" w:fill="auto"/>
            <w:vAlign w:val="center"/>
          </w:tcPr>
          <w:p w:rsidR="006C3986" w:rsidRPr="00937A7F" w:rsidRDefault="0032739D" w:rsidP="00E71C1B">
            <w:pPr>
              <w:pStyle w:val="NormalTNR"/>
              <w:spacing w:after="0"/>
              <w:rPr>
                <w:b/>
                <w:lang w:eastAsia="ja-JP"/>
              </w:rPr>
            </w:pPr>
            <w:r w:rsidRPr="00937A7F">
              <w:rPr>
                <w:b/>
                <w:lang w:eastAsia="ja-JP"/>
              </w:rPr>
              <w:t>Enrollment</w:t>
            </w:r>
          </w:p>
        </w:tc>
        <w:tc>
          <w:tcPr>
            <w:tcW w:w="1563"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Avg. Daily Participation</w:t>
            </w:r>
            <w:r w:rsidR="00767813" w:rsidRPr="00937A7F">
              <w:rPr>
                <w:b/>
                <w:lang w:eastAsia="ja-JP"/>
              </w:rPr>
              <w:t xml:space="preserve"> (ADP)</w:t>
            </w:r>
          </w:p>
        </w:tc>
        <w:tc>
          <w:tcPr>
            <w:tcW w:w="1027"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ADP %</w:t>
            </w:r>
          </w:p>
        </w:tc>
        <w:tc>
          <w:tcPr>
            <w:tcW w:w="1249"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 xml:space="preserve">Breakfast </w:t>
            </w:r>
            <w:r w:rsidR="00767813" w:rsidRPr="00937A7F">
              <w:rPr>
                <w:b/>
                <w:lang w:eastAsia="ja-JP"/>
              </w:rPr>
              <w:t>ADP</w:t>
            </w:r>
          </w:p>
        </w:tc>
        <w:tc>
          <w:tcPr>
            <w:tcW w:w="1216"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Breakfast ADP %</w:t>
            </w:r>
          </w:p>
        </w:tc>
        <w:tc>
          <w:tcPr>
            <w:tcW w:w="1860"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Total Reimbursement ($$)</w:t>
            </w:r>
          </w:p>
        </w:tc>
      </w:tr>
      <w:tr w:rsidR="00767813" w:rsidRPr="00937A7F" w:rsidTr="00690A00">
        <w:trPr>
          <w:tblHeader/>
        </w:trPr>
        <w:tc>
          <w:tcPr>
            <w:tcW w:w="1230" w:type="dxa"/>
            <w:tcBorders>
              <w:top w:val="single" w:sz="4" w:space="0" w:color="auto"/>
            </w:tcBorders>
            <w:shd w:val="clear" w:color="auto" w:fill="auto"/>
          </w:tcPr>
          <w:p w:rsidR="006C3986" w:rsidRPr="00E71C1B" w:rsidRDefault="006C3986" w:rsidP="00E71C1B">
            <w:pPr>
              <w:pStyle w:val="NormalTNR"/>
              <w:spacing w:after="0"/>
              <w:rPr>
                <w:b/>
                <w:lang w:eastAsia="ja-JP"/>
              </w:rPr>
            </w:pPr>
            <w:r w:rsidRPr="00E71C1B">
              <w:rPr>
                <w:b/>
                <w:lang w:eastAsia="ja-JP"/>
              </w:rPr>
              <w:t>Free</w:t>
            </w:r>
          </w:p>
        </w:tc>
        <w:tc>
          <w:tcPr>
            <w:tcW w:w="1390" w:type="dxa"/>
            <w:shd w:val="clear" w:color="auto" w:fill="auto"/>
            <w:vAlign w:val="center"/>
          </w:tcPr>
          <w:p w:rsidR="006C3986" w:rsidRPr="00690A00" w:rsidRDefault="00862322" w:rsidP="00862322">
            <w:pPr>
              <w:pStyle w:val="NormalTNR"/>
              <w:spacing w:after="0"/>
              <w:jc w:val="center"/>
              <w:rPr>
                <w:lang w:eastAsia="ja-JP"/>
              </w:rPr>
            </w:pPr>
            <w:r>
              <w:rPr>
                <w:lang w:eastAsia="ja-JP"/>
              </w:rPr>
              <w:t>1,842</w:t>
            </w:r>
          </w:p>
        </w:tc>
        <w:tc>
          <w:tcPr>
            <w:tcW w:w="1563" w:type="dxa"/>
            <w:shd w:val="clear" w:color="auto" w:fill="auto"/>
            <w:vAlign w:val="center"/>
          </w:tcPr>
          <w:p w:rsidR="006C3986" w:rsidRPr="00690A00" w:rsidRDefault="00862322" w:rsidP="00862322">
            <w:pPr>
              <w:pStyle w:val="NormalTNR"/>
              <w:spacing w:after="0"/>
              <w:jc w:val="center"/>
              <w:rPr>
                <w:lang w:eastAsia="ja-JP"/>
              </w:rPr>
            </w:pPr>
            <w:r>
              <w:rPr>
                <w:lang w:eastAsia="ja-JP"/>
              </w:rPr>
              <w:t>1,384</w:t>
            </w:r>
          </w:p>
        </w:tc>
        <w:tc>
          <w:tcPr>
            <w:tcW w:w="1027" w:type="dxa"/>
            <w:shd w:val="clear" w:color="auto" w:fill="auto"/>
            <w:vAlign w:val="center"/>
          </w:tcPr>
          <w:p w:rsidR="00862322" w:rsidRPr="00690A00" w:rsidRDefault="00862322" w:rsidP="00862322">
            <w:pPr>
              <w:pStyle w:val="NormalTNR"/>
              <w:spacing w:after="0"/>
              <w:jc w:val="center"/>
              <w:rPr>
                <w:lang w:eastAsia="ja-JP"/>
              </w:rPr>
            </w:pPr>
            <w:r>
              <w:rPr>
                <w:lang w:eastAsia="ja-JP"/>
              </w:rPr>
              <w:t>53.19%</w:t>
            </w:r>
          </w:p>
        </w:tc>
        <w:tc>
          <w:tcPr>
            <w:tcW w:w="1249" w:type="dxa"/>
            <w:shd w:val="clear" w:color="auto" w:fill="auto"/>
            <w:vAlign w:val="center"/>
          </w:tcPr>
          <w:p w:rsidR="006C3986" w:rsidRPr="00690A00" w:rsidRDefault="00862322" w:rsidP="00862322">
            <w:pPr>
              <w:pStyle w:val="NormalTNR"/>
              <w:spacing w:after="0"/>
              <w:jc w:val="center"/>
              <w:rPr>
                <w:lang w:eastAsia="ja-JP"/>
              </w:rPr>
            </w:pPr>
            <w:r>
              <w:rPr>
                <w:lang w:eastAsia="ja-JP"/>
              </w:rPr>
              <w:t>759</w:t>
            </w:r>
          </w:p>
        </w:tc>
        <w:tc>
          <w:tcPr>
            <w:tcW w:w="1216" w:type="dxa"/>
            <w:shd w:val="clear" w:color="auto" w:fill="auto"/>
            <w:vAlign w:val="center"/>
          </w:tcPr>
          <w:p w:rsidR="006C3986" w:rsidRPr="00690A00" w:rsidRDefault="00862322" w:rsidP="00862322">
            <w:pPr>
              <w:pStyle w:val="NormalTNR"/>
              <w:spacing w:after="0"/>
              <w:jc w:val="center"/>
              <w:rPr>
                <w:lang w:eastAsia="ja-JP"/>
              </w:rPr>
            </w:pPr>
            <w:r>
              <w:rPr>
                <w:lang w:eastAsia="ja-JP"/>
              </w:rPr>
              <w:t>64.71%</w:t>
            </w:r>
          </w:p>
        </w:tc>
        <w:tc>
          <w:tcPr>
            <w:tcW w:w="1860" w:type="dxa"/>
            <w:shd w:val="clear" w:color="auto" w:fill="auto"/>
            <w:vAlign w:val="center"/>
          </w:tcPr>
          <w:p w:rsidR="006C3986" w:rsidRPr="00690A00" w:rsidRDefault="00862322" w:rsidP="00862322">
            <w:pPr>
              <w:pStyle w:val="NormalTNR"/>
              <w:spacing w:after="0"/>
              <w:jc w:val="center"/>
              <w:rPr>
                <w:lang w:eastAsia="ja-JP"/>
              </w:rPr>
            </w:pPr>
            <w:r>
              <w:rPr>
                <w:lang w:eastAsia="ja-JP"/>
              </w:rPr>
              <w:t>$117,251.77</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Reduced</w:t>
            </w:r>
          </w:p>
        </w:tc>
        <w:tc>
          <w:tcPr>
            <w:tcW w:w="1390" w:type="dxa"/>
            <w:shd w:val="clear" w:color="auto" w:fill="auto"/>
            <w:vAlign w:val="center"/>
          </w:tcPr>
          <w:p w:rsidR="006C3986" w:rsidRPr="00690A00" w:rsidRDefault="00862322" w:rsidP="00862322">
            <w:pPr>
              <w:pStyle w:val="NormalTNR"/>
              <w:spacing w:after="0"/>
              <w:jc w:val="center"/>
              <w:rPr>
                <w:lang w:eastAsia="ja-JP"/>
              </w:rPr>
            </w:pPr>
            <w:r>
              <w:rPr>
                <w:lang w:eastAsia="ja-JP"/>
              </w:rPr>
              <w:t>399</w:t>
            </w:r>
          </w:p>
        </w:tc>
        <w:tc>
          <w:tcPr>
            <w:tcW w:w="1563" w:type="dxa"/>
            <w:shd w:val="clear" w:color="auto" w:fill="auto"/>
            <w:vAlign w:val="center"/>
          </w:tcPr>
          <w:p w:rsidR="006C3986" w:rsidRPr="00690A00" w:rsidRDefault="00862322" w:rsidP="00862322">
            <w:pPr>
              <w:pStyle w:val="NormalTNR"/>
              <w:spacing w:after="0"/>
              <w:jc w:val="center"/>
              <w:rPr>
                <w:lang w:eastAsia="ja-JP"/>
              </w:rPr>
            </w:pPr>
            <w:r>
              <w:rPr>
                <w:lang w:eastAsia="ja-JP"/>
              </w:rPr>
              <w:t>282</w:t>
            </w:r>
          </w:p>
        </w:tc>
        <w:tc>
          <w:tcPr>
            <w:tcW w:w="1027" w:type="dxa"/>
            <w:shd w:val="clear" w:color="auto" w:fill="auto"/>
            <w:vAlign w:val="center"/>
          </w:tcPr>
          <w:p w:rsidR="006C3986" w:rsidRPr="00690A00" w:rsidRDefault="00862322" w:rsidP="00862322">
            <w:pPr>
              <w:pStyle w:val="NormalTNR"/>
              <w:spacing w:after="0"/>
              <w:jc w:val="center"/>
              <w:rPr>
                <w:lang w:eastAsia="ja-JP"/>
              </w:rPr>
            </w:pPr>
            <w:r>
              <w:rPr>
                <w:lang w:eastAsia="ja-JP"/>
              </w:rPr>
              <w:t>10.84%</w:t>
            </w:r>
          </w:p>
        </w:tc>
        <w:tc>
          <w:tcPr>
            <w:tcW w:w="1249" w:type="dxa"/>
            <w:shd w:val="clear" w:color="auto" w:fill="auto"/>
            <w:vAlign w:val="center"/>
          </w:tcPr>
          <w:p w:rsidR="006C3986" w:rsidRPr="00690A00" w:rsidRDefault="00862322" w:rsidP="00862322">
            <w:pPr>
              <w:pStyle w:val="NormalTNR"/>
              <w:spacing w:after="0"/>
              <w:jc w:val="center"/>
              <w:rPr>
                <w:lang w:eastAsia="ja-JP"/>
              </w:rPr>
            </w:pPr>
            <w:r>
              <w:rPr>
                <w:lang w:eastAsia="ja-JP"/>
              </w:rPr>
              <w:t>119</w:t>
            </w:r>
          </w:p>
        </w:tc>
        <w:tc>
          <w:tcPr>
            <w:tcW w:w="1216" w:type="dxa"/>
            <w:shd w:val="clear" w:color="auto" w:fill="auto"/>
            <w:vAlign w:val="center"/>
          </w:tcPr>
          <w:p w:rsidR="006C3986" w:rsidRPr="00690A00" w:rsidRDefault="00862322" w:rsidP="00862322">
            <w:pPr>
              <w:pStyle w:val="NormalTNR"/>
              <w:spacing w:after="0"/>
              <w:jc w:val="center"/>
              <w:rPr>
                <w:lang w:eastAsia="ja-JP"/>
              </w:rPr>
            </w:pPr>
            <w:r>
              <w:rPr>
                <w:lang w:eastAsia="ja-JP"/>
              </w:rPr>
              <w:t>10.14%</w:t>
            </w:r>
          </w:p>
        </w:tc>
        <w:tc>
          <w:tcPr>
            <w:tcW w:w="1860" w:type="dxa"/>
            <w:shd w:val="clear" w:color="auto" w:fill="auto"/>
            <w:vAlign w:val="center"/>
          </w:tcPr>
          <w:p w:rsidR="006C3986" w:rsidRPr="00690A00" w:rsidRDefault="00862322" w:rsidP="00862322">
            <w:pPr>
              <w:pStyle w:val="NormalTNR"/>
              <w:spacing w:after="0"/>
              <w:jc w:val="center"/>
              <w:rPr>
                <w:lang w:eastAsia="ja-JP"/>
              </w:rPr>
            </w:pPr>
            <w:r>
              <w:rPr>
                <w:lang w:eastAsia="ja-JP"/>
              </w:rPr>
              <w:t>$19,691.79</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Paid</w:t>
            </w:r>
          </w:p>
        </w:tc>
        <w:tc>
          <w:tcPr>
            <w:tcW w:w="1390" w:type="dxa"/>
            <w:shd w:val="clear" w:color="auto" w:fill="auto"/>
            <w:vAlign w:val="center"/>
          </w:tcPr>
          <w:p w:rsidR="006C3986" w:rsidRPr="00690A00" w:rsidRDefault="00862322" w:rsidP="00862322">
            <w:pPr>
              <w:pStyle w:val="NormalTNR"/>
              <w:spacing w:after="0"/>
              <w:jc w:val="center"/>
              <w:rPr>
                <w:lang w:eastAsia="ja-JP"/>
              </w:rPr>
            </w:pPr>
            <w:r>
              <w:rPr>
                <w:lang w:eastAsia="ja-JP"/>
              </w:rPr>
              <w:t>2,609</w:t>
            </w:r>
          </w:p>
        </w:tc>
        <w:tc>
          <w:tcPr>
            <w:tcW w:w="1563" w:type="dxa"/>
            <w:shd w:val="clear" w:color="auto" w:fill="auto"/>
            <w:vAlign w:val="center"/>
          </w:tcPr>
          <w:p w:rsidR="006C3986" w:rsidRPr="00690A00" w:rsidRDefault="00862322" w:rsidP="00862322">
            <w:pPr>
              <w:pStyle w:val="NormalTNR"/>
              <w:spacing w:after="0"/>
              <w:jc w:val="center"/>
              <w:rPr>
                <w:lang w:eastAsia="ja-JP"/>
              </w:rPr>
            </w:pPr>
            <w:r>
              <w:rPr>
                <w:lang w:eastAsia="ja-JP"/>
              </w:rPr>
              <w:t>936</w:t>
            </w:r>
          </w:p>
        </w:tc>
        <w:tc>
          <w:tcPr>
            <w:tcW w:w="1027" w:type="dxa"/>
            <w:shd w:val="clear" w:color="auto" w:fill="auto"/>
            <w:vAlign w:val="center"/>
          </w:tcPr>
          <w:p w:rsidR="006C3986" w:rsidRPr="00690A00" w:rsidRDefault="00862322" w:rsidP="00862322">
            <w:pPr>
              <w:pStyle w:val="NormalTNR"/>
              <w:spacing w:after="0"/>
              <w:jc w:val="center"/>
              <w:rPr>
                <w:lang w:eastAsia="ja-JP"/>
              </w:rPr>
            </w:pPr>
            <w:r>
              <w:rPr>
                <w:lang w:eastAsia="ja-JP"/>
              </w:rPr>
              <w:t>35.97%</w:t>
            </w:r>
          </w:p>
        </w:tc>
        <w:tc>
          <w:tcPr>
            <w:tcW w:w="1249" w:type="dxa"/>
            <w:shd w:val="clear" w:color="auto" w:fill="auto"/>
            <w:vAlign w:val="center"/>
          </w:tcPr>
          <w:p w:rsidR="006C3986" w:rsidRPr="00690A00" w:rsidRDefault="00862322" w:rsidP="00862322">
            <w:pPr>
              <w:pStyle w:val="NormalTNR"/>
              <w:spacing w:after="0"/>
              <w:jc w:val="center"/>
              <w:rPr>
                <w:lang w:eastAsia="ja-JP"/>
              </w:rPr>
            </w:pPr>
            <w:r>
              <w:rPr>
                <w:lang w:eastAsia="ja-JP"/>
              </w:rPr>
              <w:t>295</w:t>
            </w:r>
          </w:p>
        </w:tc>
        <w:tc>
          <w:tcPr>
            <w:tcW w:w="1216" w:type="dxa"/>
            <w:shd w:val="clear" w:color="auto" w:fill="auto"/>
            <w:vAlign w:val="center"/>
          </w:tcPr>
          <w:p w:rsidR="006C3986" w:rsidRPr="00690A00" w:rsidRDefault="00862322" w:rsidP="00862322">
            <w:pPr>
              <w:pStyle w:val="NormalTNR"/>
              <w:spacing w:after="0"/>
              <w:jc w:val="center"/>
              <w:rPr>
                <w:lang w:eastAsia="ja-JP"/>
              </w:rPr>
            </w:pPr>
            <w:r>
              <w:rPr>
                <w:lang w:eastAsia="ja-JP"/>
              </w:rPr>
              <w:t>25.15%</w:t>
            </w:r>
          </w:p>
        </w:tc>
        <w:tc>
          <w:tcPr>
            <w:tcW w:w="1860" w:type="dxa"/>
            <w:shd w:val="clear" w:color="auto" w:fill="auto"/>
            <w:vAlign w:val="center"/>
          </w:tcPr>
          <w:p w:rsidR="006C3986" w:rsidRPr="00690A00" w:rsidRDefault="00862322" w:rsidP="00862322">
            <w:pPr>
              <w:pStyle w:val="NormalTNR"/>
              <w:spacing w:after="0"/>
              <w:jc w:val="center"/>
              <w:rPr>
                <w:lang w:eastAsia="ja-JP"/>
              </w:rPr>
            </w:pPr>
            <w:r>
              <w:rPr>
                <w:lang w:eastAsia="ja-JP"/>
              </w:rPr>
              <w:t>$8,621.76</w:t>
            </w:r>
          </w:p>
        </w:tc>
      </w:tr>
      <w:tr w:rsidR="00767813" w:rsidRPr="00937A7F" w:rsidTr="00937A7F">
        <w:trPr>
          <w:tblHeader/>
        </w:trPr>
        <w:tc>
          <w:tcPr>
            <w:tcW w:w="1230" w:type="dxa"/>
            <w:shd w:val="clear" w:color="auto" w:fill="auto"/>
          </w:tcPr>
          <w:p w:rsidR="006C3986" w:rsidRPr="00937A7F" w:rsidRDefault="006C3986" w:rsidP="00E71C1B">
            <w:pPr>
              <w:pStyle w:val="NormalTNR"/>
              <w:spacing w:after="0"/>
              <w:rPr>
                <w:b/>
                <w:lang w:eastAsia="ja-JP"/>
              </w:rPr>
            </w:pPr>
            <w:r w:rsidRPr="00937A7F">
              <w:rPr>
                <w:b/>
                <w:lang w:eastAsia="ja-JP"/>
              </w:rPr>
              <w:t>Total</w:t>
            </w:r>
          </w:p>
        </w:tc>
        <w:tc>
          <w:tcPr>
            <w:tcW w:w="1390" w:type="dxa"/>
            <w:shd w:val="clear" w:color="auto" w:fill="auto"/>
          </w:tcPr>
          <w:p w:rsidR="006C3986" w:rsidRPr="00937A7F" w:rsidRDefault="00862322" w:rsidP="00862322">
            <w:pPr>
              <w:pStyle w:val="NormalTNR"/>
              <w:spacing w:after="0"/>
              <w:jc w:val="center"/>
              <w:rPr>
                <w:b/>
                <w:lang w:eastAsia="ja-JP"/>
              </w:rPr>
            </w:pPr>
            <w:r>
              <w:rPr>
                <w:b/>
                <w:lang w:eastAsia="ja-JP"/>
              </w:rPr>
              <w:t>4,850</w:t>
            </w:r>
          </w:p>
        </w:tc>
        <w:tc>
          <w:tcPr>
            <w:tcW w:w="1563" w:type="dxa"/>
            <w:shd w:val="clear" w:color="auto" w:fill="auto"/>
            <w:vAlign w:val="center"/>
          </w:tcPr>
          <w:p w:rsidR="006C3986" w:rsidRPr="00E71C1B" w:rsidRDefault="00E71C1B" w:rsidP="007B68D3">
            <w:pPr>
              <w:pStyle w:val="NormalTNR"/>
              <w:spacing w:after="0"/>
              <w:rPr>
                <w:color w:val="FFFFFF" w:themeColor="background1"/>
                <w:sz w:val="10"/>
                <w:lang w:eastAsia="ja-JP"/>
              </w:rPr>
            </w:pPr>
            <w:r w:rsidRPr="00E71C1B">
              <w:rPr>
                <w:color w:val="FFFFFF" w:themeColor="background1"/>
                <w:sz w:val="10"/>
                <w:lang w:eastAsia="ja-JP"/>
              </w:rPr>
              <w:t>Cell intentio</w:t>
            </w:r>
            <w:r w:rsidR="00862322">
              <w:rPr>
                <w:color w:val="FFFFFF" w:themeColor="background1"/>
                <w:sz w:val="10"/>
                <w:lang w:eastAsia="ja-JP"/>
              </w:rPr>
              <w:t>2</w:t>
            </w:r>
            <w:r w:rsidRPr="00E71C1B">
              <w:rPr>
                <w:color w:val="FFFFFF" w:themeColor="background1"/>
                <w:sz w:val="10"/>
                <w:lang w:eastAsia="ja-JP"/>
              </w:rPr>
              <w:t>nally left blank</w:t>
            </w:r>
          </w:p>
        </w:tc>
        <w:tc>
          <w:tcPr>
            <w:tcW w:w="1027" w:type="dxa"/>
            <w:shd w:val="clear" w:color="auto" w:fill="auto"/>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49"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16"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860" w:type="dxa"/>
            <w:shd w:val="clear" w:color="auto" w:fill="auto"/>
            <w:vAlign w:val="center"/>
          </w:tcPr>
          <w:p w:rsidR="006C3986" w:rsidRPr="00937A7F" w:rsidRDefault="00862322" w:rsidP="00862322">
            <w:pPr>
              <w:pStyle w:val="NormalTNR"/>
              <w:spacing w:after="0"/>
              <w:jc w:val="center"/>
              <w:rPr>
                <w:b/>
                <w:lang w:eastAsia="ja-JP"/>
              </w:rPr>
            </w:pPr>
            <w:r>
              <w:rPr>
                <w:b/>
                <w:lang w:eastAsia="ja-JP"/>
              </w:rPr>
              <w:t>145,565.32</w:t>
            </w:r>
          </w:p>
        </w:tc>
      </w:tr>
    </w:tbl>
    <w:p w:rsidR="00A03102" w:rsidRPr="007D3AFD" w:rsidRDefault="007D3AFD" w:rsidP="007D3AFD">
      <w:pPr>
        <w:rPr>
          <w:lang w:eastAsia="ja-JP"/>
        </w:rPr>
      </w:pPr>
      <w:r>
        <w:rPr>
          <w:lang w:eastAsia="ja-JP"/>
        </w:rPr>
        <w:br w:type="page"/>
      </w:r>
    </w:p>
    <w:p w:rsidR="00A61E27" w:rsidRPr="00A61E27" w:rsidRDefault="00A03102" w:rsidP="00A61E27">
      <w:pPr>
        <w:pStyle w:val="Heading2"/>
        <w:spacing w:after="480"/>
        <w:rPr>
          <w:sz w:val="28"/>
        </w:rPr>
      </w:pPr>
      <w:r w:rsidRPr="00A61E27">
        <w:rPr>
          <w:sz w:val="28"/>
        </w:rPr>
        <w:lastRenderedPageBreak/>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5"/>
        <w:gridCol w:w="4677"/>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862322" w:rsidRDefault="002032A0" w:rsidP="002D2FED">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04B765F3">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862322"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18BA6F1" wp14:editId="759056D8">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862322"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3D60A0DE" wp14:editId="3F083CFD">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F205EF" w:rsidRDefault="00906D57" w:rsidP="00FC03D3">
            <w:pPr>
              <w:spacing w:before="0"/>
              <w:rPr>
                <w:rFonts w:ascii="Times New Roman" w:eastAsia="Times New Roman" w:hAnsi="Times New Roman"/>
                <w:color w:val="auto"/>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862322" w:rsidRDefault="002032A0"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6E9FE8D">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862322" w:rsidRDefault="002032A0" w:rsidP="0086232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4E06E31" wp14:editId="50F02371">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862322"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78C977E" wp14:editId="579C96C3">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862322" w:rsidRDefault="007E4542" w:rsidP="00BC0516">
            <w:pPr>
              <w:rPr>
                <w:rFonts w:ascii="Times New Roman" w:eastAsia="Times New Roman" w:hAnsi="Times New Roman"/>
                <w:b/>
                <w:color w:val="005E20"/>
                <w:szCs w:val="16"/>
                <w:lang w:eastAsia="ja-JP"/>
              </w:rPr>
            </w:pPr>
            <w:r>
              <w:rPr>
                <w:noProof/>
              </w:rPr>
              <w:pict>
                <v:shape id="_x0000_i1032" type="#_x0000_t75" alt="Denotes no findings" style="width:15.05pt;height:15.05pt;visibility:visible;mso-wrap-style:square;mso-width-percent:0;mso-height-percent:0;mso-width-percent:0;mso-height-percent:0">
                  <v:imagedata r:id="rId10"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7D3AFD" w:rsidRDefault="006475A6" w:rsidP="00FC03D3">
            <w:pPr>
              <w:rPr>
                <w:rFonts w:ascii="Times New Roman" w:hAnsi="Times New Roman"/>
              </w:rPr>
            </w:pPr>
            <w:r>
              <w:rPr>
                <w:rFonts w:ascii="Times New Roman" w:hAnsi="Times New Roman"/>
                <w:noProof/>
              </w:rPr>
              <w:drawing>
                <wp:inline distT="0" distB="0" distL="0" distR="0" wp14:anchorId="28E30B13" wp14:editId="292CAFB8">
                  <wp:extent cx="207010" cy="207010"/>
                  <wp:effectExtent l="0" t="0" r="2540" b="2540"/>
                  <wp:docPr id="36" name="Picture 36"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C0516" w:rsidRPr="007D3AFD" w:rsidRDefault="00B130AE" w:rsidP="004F0002">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r w:rsidR="00862322">
              <w:rPr>
                <w:rFonts w:ascii="Times New Roman" w:eastAsia="Times New Roman" w:hAnsi="Times New Roman"/>
                <w:b/>
                <w:color w:val="000000"/>
                <w:szCs w:val="16"/>
                <w:lang w:eastAsia="ja-JP"/>
              </w:rPr>
              <w:t xml:space="preserve"> </w:t>
            </w:r>
          </w:p>
        </w:tc>
        <w:tc>
          <w:tcPr>
            <w:tcW w:w="4669" w:type="dxa"/>
            <w:vAlign w:val="center"/>
          </w:tcPr>
          <w:p w:rsidR="00B130AE" w:rsidRPr="004F0002" w:rsidRDefault="004F0002" w:rsidP="00FC03D3">
            <w:pPr>
              <w:rPr>
                <w:rFonts w:ascii="Times New Roman" w:eastAsia="Times New Roman" w:hAnsi="Times New Roman"/>
                <w:noProof/>
                <w:color w:val="000000"/>
                <w:szCs w:val="20"/>
              </w:rPr>
            </w:pPr>
            <w:r w:rsidRPr="004F0002">
              <w:rPr>
                <w:rFonts w:ascii="Times New Roman" w:eastAsia="Times New Roman" w:hAnsi="Times New Roman"/>
                <w:color w:val="000000"/>
                <w:szCs w:val="16"/>
                <w:lang w:eastAsia="ja-JP"/>
              </w:rPr>
              <w:t xml:space="preserve">The Local Wellness Policy must be updated to include the nutrition standards for the sale </w:t>
            </w:r>
            <w:r w:rsidRPr="004F0002">
              <w:rPr>
                <w:rFonts w:ascii="Times New Roman" w:eastAsia="Times New Roman" w:hAnsi="Times New Roman"/>
                <w:color w:val="000000"/>
                <w:szCs w:val="16"/>
                <w:lang w:eastAsia="ja-JP"/>
              </w:rPr>
              <w:lastRenderedPageBreak/>
              <w:t>of competitive foods.</w:t>
            </w: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lastRenderedPageBreak/>
              <w:t>Competitive Foods</w:t>
            </w:r>
          </w:p>
        </w:tc>
        <w:tc>
          <w:tcPr>
            <w:tcW w:w="4669" w:type="dxa"/>
            <w:vAlign w:val="center"/>
          </w:tcPr>
          <w:p w:rsidR="006475A6" w:rsidRPr="00862322"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67D006F0" wp14:editId="32A70A44">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862322"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28059486" wp14:editId="791F9572">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032" w:rsidRDefault="007B2032" w:rsidP="00EA0AD0">
      <w:pPr>
        <w:spacing w:before="0" w:after="0"/>
      </w:pPr>
      <w:r>
        <w:separator/>
      </w:r>
    </w:p>
  </w:endnote>
  <w:endnote w:type="continuationSeparator" w:id="0">
    <w:p w:rsidR="007B2032" w:rsidRDefault="007B2032"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032" w:rsidRDefault="007B2032" w:rsidP="00EA0AD0">
      <w:pPr>
        <w:spacing w:before="0" w:after="0"/>
      </w:pPr>
      <w:r>
        <w:separator/>
      </w:r>
    </w:p>
  </w:footnote>
  <w:footnote w:type="continuationSeparator" w:id="0">
    <w:p w:rsidR="007B2032" w:rsidRDefault="007B2032"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21.75pt;height:21.75pt;visibility:visible;mso-wrap-style:square" o:bullet="t">
        <v:imagedata r:id="rId1" o:title=""/>
      </v:shape>
    </w:pict>
  </w:numPicBullet>
  <w:numPicBullet w:numPicBulletId="1">
    <w:pict>
      <v:shape id="_x0000_i1139" type="#_x0000_t75" alt="Denotes no findings" style="width:15.05pt;height:15.05pt;visibility:visible;mso-wrap-style:square" o:bullet="t">
        <v:imagedata r:id="rId2" o:title="Denotes no findings"/>
      </v:shape>
    </w:pict>
  </w:numPicBullet>
  <w:numPicBullet w:numPicBulletId="2">
    <w:pict>
      <v:shape id="_x0000_i1140" type="#_x0000_t75" alt="Denotes findings identified" style="width:21.75pt;height:21.75pt;visibility:visible;mso-wrap-style:square" o:bullet="t">
        <v:imagedata r:id="rId3" o:title="Denotes findings identified"/>
      </v:shape>
    </w:pict>
  </w:numPicBullet>
  <w:numPicBullet w:numPicBulletId="3">
    <w:pict>
      <v:shape id="_x0000_i1141" type="#_x0000_t75" style="width:15.9pt;height:15.9pt;visibility:visible;mso-wrap-style:square" o:bullet="t">
        <v:imagedata r:id="rId4" o:title=""/>
      </v:shape>
    </w:pict>
  </w:numPicBullet>
  <w:numPicBullet w:numPicBulletId="4">
    <w:pict>
      <v:shape id="_x0000_i1142" type="#_x0000_t75" style="width:15.05pt;height:15.05pt;visibility:visible;mso-wrap-style:square" o:bullet="t">
        <v:imagedata r:id="rId5" o:title=""/>
      </v:shape>
    </w:pict>
  </w:numPicBullet>
  <w:numPicBullet w:numPicBulletId="5">
    <w:pict>
      <v:shape id="_x0000_i1143" type="#_x0000_t75" alt="Denotes no findings" style="width:15.05pt;height:15.05pt;visibility:visible;mso-wrap-style:square" o:bullet="t">
        <v:imagedata r:id="rId6" o:title="Denotes no findings"/>
      </v:shape>
    </w:pict>
  </w:numPicBullet>
  <w:numPicBullet w:numPicBulletId="6">
    <w:pict>
      <v:shape id="_x0000_i1144" type="#_x0000_t75" style="width:15.05pt;height:15.0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2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670"/>
    <w:rsid w:val="00097AFF"/>
    <w:rsid w:val="000B155A"/>
    <w:rsid w:val="000C309B"/>
    <w:rsid w:val="000C4495"/>
    <w:rsid w:val="001B0603"/>
    <w:rsid w:val="001F75BE"/>
    <w:rsid w:val="002032A0"/>
    <w:rsid w:val="00217886"/>
    <w:rsid w:val="00260CA2"/>
    <w:rsid w:val="00265D36"/>
    <w:rsid w:val="00274A66"/>
    <w:rsid w:val="002D2FED"/>
    <w:rsid w:val="002D4167"/>
    <w:rsid w:val="0031611E"/>
    <w:rsid w:val="0032739D"/>
    <w:rsid w:val="003507AB"/>
    <w:rsid w:val="003C5AEE"/>
    <w:rsid w:val="00464DF8"/>
    <w:rsid w:val="004A5012"/>
    <w:rsid w:val="004C04E4"/>
    <w:rsid w:val="004C18F7"/>
    <w:rsid w:val="004D45AD"/>
    <w:rsid w:val="004F0002"/>
    <w:rsid w:val="00527106"/>
    <w:rsid w:val="00576EFE"/>
    <w:rsid w:val="00593DA0"/>
    <w:rsid w:val="005B2FE4"/>
    <w:rsid w:val="005C2719"/>
    <w:rsid w:val="005E617A"/>
    <w:rsid w:val="005E72E8"/>
    <w:rsid w:val="006070B4"/>
    <w:rsid w:val="00620948"/>
    <w:rsid w:val="006475A6"/>
    <w:rsid w:val="00690A00"/>
    <w:rsid w:val="00694D91"/>
    <w:rsid w:val="006C3986"/>
    <w:rsid w:val="006D0B91"/>
    <w:rsid w:val="006E68D8"/>
    <w:rsid w:val="00705097"/>
    <w:rsid w:val="0073582B"/>
    <w:rsid w:val="00767813"/>
    <w:rsid w:val="007B2032"/>
    <w:rsid w:val="007B68D3"/>
    <w:rsid w:val="007D26AA"/>
    <w:rsid w:val="007D3AFD"/>
    <w:rsid w:val="007E4542"/>
    <w:rsid w:val="007F1384"/>
    <w:rsid w:val="00806AE0"/>
    <w:rsid w:val="00846C3D"/>
    <w:rsid w:val="00862322"/>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62C03"/>
    <w:rsid w:val="00BC0516"/>
    <w:rsid w:val="00C450BF"/>
    <w:rsid w:val="00C55670"/>
    <w:rsid w:val="00C75889"/>
    <w:rsid w:val="00CC5420"/>
    <w:rsid w:val="00D8766D"/>
    <w:rsid w:val="00DB68F3"/>
    <w:rsid w:val="00DD07D9"/>
    <w:rsid w:val="00DE1159"/>
    <w:rsid w:val="00DF70F6"/>
    <w:rsid w:val="00E63DC5"/>
    <w:rsid w:val="00E71C1B"/>
    <w:rsid w:val="00E74FFA"/>
    <w:rsid w:val="00EA0AD0"/>
    <w:rsid w:val="00EB6A3E"/>
    <w:rsid w:val="00EC4887"/>
    <w:rsid w:val="00EC4C76"/>
    <w:rsid w:val="00EF1C86"/>
    <w:rsid w:val="00EF640A"/>
    <w:rsid w:val="00F04C94"/>
    <w:rsid w:val="00F205EF"/>
    <w:rsid w:val="00F32B5F"/>
    <w:rsid w:val="00F570B2"/>
    <w:rsid w:val="00F60239"/>
    <w:rsid w:val="00F70D82"/>
    <w:rsid w:val="00F93689"/>
    <w:rsid w:val="00FB055E"/>
    <w:rsid w:val="00FC03D3"/>
    <w:rsid w:val="00FC4CA7"/>
    <w:rsid w:val="00FE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2C60F3-F02D-9049-911D-41FCA3CB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5AD52-C9DE-5840-9086-C647D1233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301</Words>
  <Characters>1847</Characters>
  <Application>Microsoft Office Word</Application>
  <DocSecurity>2</DocSecurity>
  <Lines>131</Lines>
  <Paragraphs>107</Paragraphs>
  <ScaleCrop>false</ScaleCrop>
  <HeadingPairs>
    <vt:vector size="2" baseType="variant">
      <vt:variant>
        <vt:lpstr>Title</vt:lpstr>
      </vt:variant>
      <vt:variant>
        <vt:i4>1</vt:i4>
      </vt:variant>
    </vt:vector>
  </HeadingPairs>
  <TitlesOfParts>
    <vt:vector size="1" baseType="lpstr">
      <vt:lpstr/>
    </vt:vector>
  </TitlesOfParts>
  <Manager/>
  <Company>Virginia IT Infrastructure Partnership</Company>
  <LinksUpToDate>false</LinksUpToDate>
  <CharactersWithSpaces>2041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Louisa County FPAR Summary 2018</dc:title>
  <dc:subject/>
  <dc:creator>DOE - NUTRITION (DOE)</dc:creator>
  <cp:keywords/>
  <dc:description/>
  <cp:lastModifiedBy>Kelly Bowman</cp:lastModifiedBy>
  <cp:revision>3</cp:revision>
  <cp:lastPrinted>2018-03-27T12:01:00Z</cp:lastPrinted>
  <dcterms:created xsi:type="dcterms:W3CDTF">2018-11-09T14:23:00Z</dcterms:created>
  <dcterms:modified xsi:type="dcterms:W3CDTF">2018-11-09T14:29:00Z</dcterms:modified>
  <cp:category/>
</cp:coreProperties>
</file>