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07" w:rsidRDefault="00B04607">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04607">
        <w:trPr>
          <w:trHeight w:val="144"/>
        </w:trPr>
        <w:tc>
          <w:tcPr>
            <w:tcW w:w="7824" w:type="dxa"/>
            <w:tcMar>
              <w:left w:w="115" w:type="dxa"/>
              <w:right w:w="115" w:type="dxa"/>
            </w:tcMar>
            <w:vAlign w:val="center"/>
          </w:tcPr>
          <w:p w:rsidR="00B04607" w:rsidRDefault="00760C43">
            <w:pPr>
              <w:pStyle w:val="Title"/>
              <w:pBdr>
                <w:bottom w:val="none" w:sz="0" w:space="0" w:color="000000"/>
              </w:pBdr>
              <w:jc w:val="center"/>
              <w:rPr>
                <w:rFonts w:ascii="Times New Roman" w:eastAsia="Times New Roman" w:hAnsi="Times New Roman" w:cs="Times New Roman"/>
                <w:b/>
                <w:color w:val="000000"/>
                <w:sz w:val="36"/>
                <w:szCs w:val="36"/>
              </w:rPr>
            </w:pPr>
            <w:bookmarkStart w:id="0" w:name="_heading=h.gjdgxs" w:colFirst="0" w:colLast="0"/>
            <w:bookmarkStart w:id="1" w:name="_GoBack"/>
            <w:bookmarkEnd w:id="0"/>
            <w:bookmarkEnd w:id="1"/>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B04607" w:rsidRDefault="00B04607">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B04607" w:rsidRDefault="00760C4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B04607" w:rsidRDefault="00760C43">
      <w:pPr>
        <w:pStyle w:val="Heading1"/>
        <w:spacing w:before="0"/>
      </w:pPr>
      <w:r>
        <w:br/>
        <w:t>Agenda Item:</w:t>
      </w:r>
      <w:r>
        <w:tab/>
      </w:r>
      <w:r>
        <w:tab/>
        <w:t>I</w:t>
      </w:r>
    </w:p>
    <w:p w:rsidR="00B04607" w:rsidRDefault="00B04607">
      <w:pPr>
        <w:spacing w:after="0"/>
        <w:rPr>
          <w:b/>
        </w:rPr>
      </w:pPr>
    </w:p>
    <w:p w:rsidR="00B04607" w:rsidRDefault="00760C43">
      <w:pPr>
        <w:pStyle w:val="Heading2"/>
        <w:spacing w:before="0" w:after="0"/>
      </w:pPr>
      <w:r>
        <w:t>Date:</w:t>
      </w:r>
      <w:r>
        <w:tab/>
      </w:r>
      <w:r>
        <w:tab/>
      </w:r>
      <w:r>
        <w:tab/>
        <w:t>January 23, 2020</w:t>
      </w:r>
    </w:p>
    <w:p w:rsidR="00B04607" w:rsidRDefault="00B04607">
      <w:pPr>
        <w:spacing w:after="0"/>
        <w:rPr>
          <w:b/>
        </w:rPr>
      </w:pPr>
    </w:p>
    <w:p w:rsidR="00B04607" w:rsidRDefault="00760C43">
      <w:pPr>
        <w:pStyle w:val="Heading3"/>
        <w:spacing w:before="0"/>
        <w:ind w:left="2160" w:hanging="2160"/>
        <w:rPr>
          <w:i/>
          <w:color w:val="000000"/>
        </w:rPr>
      </w:pPr>
      <w:r>
        <w:rPr>
          <w:color w:val="000000"/>
        </w:rPr>
        <w:t xml:space="preserve">Title: </w:t>
      </w:r>
      <w:r>
        <w:rPr>
          <w:color w:val="000000"/>
        </w:rPr>
        <w:tab/>
        <w:t xml:space="preserve">First Review of Revisions to </w:t>
      </w:r>
      <w:r>
        <w:rPr>
          <w:i/>
          <w:color w:val="000000"/>
        </w:rPr>
        <w:t>Family Life Education Board of Education Guidelines and Standards of Learning for Virginia Public Schools</w:t>
      </w:r>
    </w:p>
    <w:p w:rsidR="00B04607" w:rsidRDefault="00B04607">
      <w:pPr>
        <w:spacing w:after="0"/>
        <w:rPr>
          <w:b/>
        </w:rPr>
      </w:pPr>
    </w:p>
    <w:p w:rsidR="00B04607" w:rsidRDefault="00760C43">
      <w:pPr>
        <w:pStyle w:val="Heading4"/>
        <w:spacing w:before="0"/>
        <w:ind w:left="2160" w:hanging="2160"/>
      </w:pPr>
      <w:r>
        <w:t xml:space="preserve">Presenter: </w:t>
      </w:r>
      <w:r>
        <w:tab/>
      </w:r>
      <w:r>
        <w:t>Dr. Samantha Hollins, Assistant Superintendent, Department of Special Education and Student Services</w:t>
      </w:r>
    </w:p>
    <w:p w:rsidR="00B04607" w:rsidRDefault="00760C43">
      <w:r>
        <w:rPr>
          <w:i/>
        </w:rPr>
        <w:br/>
      </w:r>
      <w:r>
        <w:rPr>
          <w:b/>
        </w:rPr>
        <w:t>Email:</w:t>
      </w:r>
      <w:r>
        <w:rPr>
          <w:b/>
        </w:rPr>
        <w:tab/>
      </w:r>
      <w:r>
        <w:tab/>
      </w:r>
      <w:r>
        <w:tab/>
      </w:r>
      <w:hyperlink r:id="rId9">
        <w:r>
          <w:rPr>
            <w:b/>
            <w:color w:val="0000FF"/>
            <w:u w:val="single"/>
          </w:rPr>
          <w:t>Samantha.Hollins@doe.virginia.gov</w:t>
        </w:r>
      </w:hyperlink>
      <w:r>
        <w:rPr>
          <w:b/>
          <w:i/>
        </w:rPr>
        <w:tab/>
      </w:r>
      <w:r>
        <w:rPr>
          <w:b/>
        </w:rPr>
        <w:t>Phone: (804) 786-8079</w:t>
      </w:r>
    </w:p>
    <w:p w:rsidR="00B04607" w:rsidRDefault="00B04607">
      <w:pPr>
        <w:spacing w:after="0"/>
      </w:pPr>
    </w:p>
    <w:p w:rsidR="00B04607" w:rsidRDefault="00760C43">
      <w:pPr>
        <w:pStyle w:val="Heading2"/>
        <w:spacing w:before="0" w:after="0"/>
      </w:pPr>
      <w:r>
        <w:t xml:space="preserve">Purpose of Presentation: </w:t>
      </w:r>
    </w:p>
    <w:p w:rsidR="00B04607" w:rsidRDefault="00760C43">
      <w:r>
        <w:t>Action required by state or federal law or regulation.</w:t>
      </w:r>
    </w:p>
    <w:p w:rsidR="00B04607" w:rsidRDefault="00B04607">
      <w:pPr>
        <w:rPr>
          <w:sz w:val="12"/>
          <w:szCs w:val="12"/>
        </w:rPr>
      </w:pPr>
    </w:p>
    <w:p w:rsidR="00B04607" w:rsidRDefault="00760C43">
      <w:pPr>
        <w:pStyle w:val="Heading2"/>
        <w:spacing w:before="0" w:after="0"/>
      </w:pPr>
      <w:r>
        <w:t xml:space="preserve">Executive Summary:  </w:t>
      </w:r>
    </w:p>
    <w:p w:rsidR="00B04607" w:rsidRDefault="00760C43">
      <w:r>
        <w:t xml:space="preserve">In 2018, the Virginia General Assembly amended </w:t>
      </w:r>
      <w:hyperlink r:id="rId10">
        <w:r>
          <w:rPr>
            <w:i/>
            <w:color w:val="0000FF"/>
            <w:u w:val="single"/>
          </w:rPr>
          <w:t>§22.1-207.1:1</w:t>
        </w:r>
      </w:hyperlink>
      <w:r>
        <w:rPr>
          <w:i/>
        </w:rPr>
        <w:t>.</w:t>
      </w:r>
      <w:r>
        <w:t xml:space="preserve"> of the </w:t>
      </w:r>
      <w:r>
        <w:rPr>
          <w:i/>
        </w:rPr>
        <w:t>Code of Virgin</w:t>
      </w:r>
      <w:r>
        <w:rPr>
          <w:i/>
        </w:rPr>
        <w:t>ia</w:t>
      </w:r>
      <w:r>
        <w:t xml:space="preserve"> relating to required and permissible content in the family life education curriculum. The </w:t>
      </w:r>
      <w:r>
        <w:rPr>
          <w:i/>
        </w:rPr>
        <w:t xml:space="preserve">Code </w:t>
      </w:r>
      <w:r>
        <w:t xml:space="preserve">was amended to require instruction addressing personal privacy and personal boundaries and the prevention of sexual harassment using electronic means. The </w:t>
      </w:r>
      <w:r>
        <w:rPr>
          <w:i/>
        </w:rPr>
        <w:t>Cod</w:t>
      </w:r>
      <w:r>
        <w:rPr>
          <w:i/>
        </w:rPr>
        <w:t>e</w:t>
      </w:r>
      <w:r>
        <w:t xml:space="preserve"> was also amended to permit instruction on the prevention, recognition and awareness of child abduction, child abuse, child sexual exploitation, and child sexual abuse.</w:t>
      </w:r>
    </w:p>
    <w:p w:rsidR="00B04607" w:rsidRDefault="00760C43">
      <w:r>
        <w:t xml:space="preserve">In 2019, the Virginia General Assembly further amended </w:t>
      </w:r>
      <w:hyperlink r:id="rId11">
        <w:r>
          <w:rPr>
            <w:i/>
            <w:color w:val="0000FF"/>
            <w:u w:val="single"/>
          </w:rPr>
          <w:t>§22.1-207.1:1</w:t>
        </w:r>
      </w:hyperlink>
      <w:r>
        <w:rPr>
          <w:i/>
        </w:rPr>
        <w:t>.</w:t>
      </w:r>
      <w:r>
        <w:t xml:space="preserve"> of the </w:t>
      </w:r>
      <w:r>
        <w:rPr>
          <w:i/>
        </w:rPr>
        <w:t>Code</w:t>
      </w:r>
      <w:r>
        <w:t xml:space="preserve"> to include additional required content in the curriculum, including instruction related to human trafficking, female genital mutilation, and the rights of victims. </w:t>
      </w:r>
      <w:r>
        <w:t xml:space="preserve">The </w:t>
      </w:r>
      <w:r>
        <w:rPr>
          <w:i/>
        </w:rPr>
        <w:t>Code</w:t>
      </w:r>
      <w:r>
        <w:t xml:space="preserve"> was also amended to require, rather than permit, any high school family life education program to </w:t>
      </w:r>
      <w:r>
        <w:rPr>
          <w:highlight w:val="white"/>
        </w:rPr>
        <w:t>incorporate age-appropriate elements of effective and evidence-based programs on the law and meaning of consent.</w:t>
      </w:r>
      <w:r>
        <w:rPr>
          <w:rFonts w:ascii="Arial" w:eastAsia="Arial" w:hAnsi="Arial" w:cs="Arial"/>
          <w:sz w:val="18"/>
          <w:szCs w:val="18"/>
          <w:highlight w:val="white"/>
        </w:rPr>
        <w:t> </w:t>
      </w:r>
    </w:p>
    <w:p w:rsidR="00B04607" w:rsidRDefault="00760C43">
      <w:r>
        <w:t xml:space="preserve">The proposed revisions to the </w:t>
      </w:r>
      <w:r>
        <w:rPr>
          <w:i/>
        </w:rPr>
        <w:t>Famil</w:t>
      </w:r>
      <w:r>
        <w:rPr>
          <w:i/>
        </w:rPr>
        <w:t xml:space="preserve">y Life Education Board of Education Guidelines and Standards of Learning for Virginia Public Schools </w:t>
      </w:r>
      <w:r>
        <w:t xml:space="preserve">align the guidelines with 2018 and 2019 legislative changes. A stakeholder group, comprised of family life educators from a </w:t>
      </w:r>
      <w:r>
        <w:lastRenderedPageBreak/>
        <w:t>geographically diverse group of</w:t>
      </w:r>
      <w:r>
        <w:t xml:space="preserve"> school divisions, family life education trainers, and a human trafficking non-profit prevention group in Virginia, was convened to review an initial draft of proposed revisions and provide input and feedback. Family life education experts considered curre</w:t>
      </w:r>
      <w:r>
        <w:t>nt family life education curriculum and embedded new content into relevant standards. The team was deliberate when inserting content in certain grade levels and when including age appropriate elements.</w:t>
      </w:r>
    </w:p>
    <w:p w:rsidR="00B04607" w:rsidRDefault="00760C43">
      <w:r>
        <w:t xml:space="preserve">The proposed revisions to the </w:t>
      </w:r>
      <w:r>
        <w:rPr>
          <w:i/>
        </w:rPr>
        <w:t>Family Life Education Bo</w:t>
      </w:r>
      <w:r>
        <w:rPr>
          <w:i/>
        </w:rPr>
        <w:t>ard of Education Guidelines and Standards of Learning for Virginia Public Schools</w:t>
      </w:r>
      <w:r>
        <w:t xml:space="preserve"> support the goals and priorities of the Board of Education of “</w:t>
      </w:r>
      <w:r>
        <w:rPr>
          <w:i/>
        </w:rPr>
        <w:t>providing high quality, effective learning environments for all students</w:t>
      </w:r>
      <w:r>
        <w:t xml:space="preserve">,” as outlined in Priority 1 of the </w:t>
      </w:r>
      <w:hyperlink r:id="rId12">
        <w:r>
          <w:rPr>
            <w:color w:val="0000FF"/>
            <w:u w:val="single"/>
          </w:rPr>
          <w:t>Board of Education Comprehensive Plan</w:t>
        </w:r>
      </w:hyperlink>
      <w:r>
        <w:t>.</w:t>
      </w:r>
    </w:p>
    <w:p w:rsidR="00B04607" w:rsidRDefault="00B04607">
      <w:pPr>
        <w:rPr>
          <w:sz w:val="12"/>
          <w:szCs w:val="12"/>
        </w:rPr>
      </w:pPr>
    </w:p>
    <w:p w:rsidR="00B04607" w:rsidRDefault="00760C43">
      <w:pPr>
        <w:pStyle w:val="Heading2"/>
        <w:spacing w:before="0" w:after="0"/>
      </w:pPr>
      <w:r>
        <w:t xml:space="preserve">Action Requested:  </w:t>
      </w:r>
    </w:p>
    <w:p w:rsidR="00B04607" w:rsidRDefault="00760C43">
      <w:r>
        <w:t>Action will be requested at a future meeting. Specify anticipated date below:</w:t>
      </w:r>
    </w:p>
    <w:p w:rsidR="00B04607" w:rsidRDefault="00760C43">
      <w:r>
        <w:t>March 19, 2020.</w:t>
      </w:r>
    </w:p>
    <w:p w:rsidR="00B04607" w:rsidRDefault="00B04607">
      <w:pPr>
        <w:rPr>
          <w:sz w:val="12"/>
          <w:szCs w:val="12"/>
        </w:rPr>
      </w:pPr>
    </w:p>
    <w:p w:rsidR="00B04607" w:rsidRDefault="00760C43">
      <w:pPr>
        <w:pStyle w:val="Heading2"/>
        <w:spacing w:before="0" w:after="0"/>
      </w:pPr>
      <w:r>
        <w:t>Superintendent’s Recommen</w:t>
      </w:r>
      <w:r>
        <w:t xml:space="preserve">dation: </w:t>
      </w:r>
    </w:p>
    <w:p w:rsidR="00B04607" w:rsidRDefault="00760C43">
      <w:r>
        <w:t xml:space="preserve">The Superintendent of Public Instruction recommends the Board of Education receive for first review the proposed revisions to the </w:t>
      </w:r>
      <w:r>
        <w:rPr>
          <w:i/>
        </w:rPr>
        <w:t>Family Life Education Board of Education Guidelines and Standards of Learning for Virginia Public Schools.</w:t>
      </w:r>
      <w:r>
        <w:t xml:space="preserve"> </w:t>
      </w:r>
    </w:p>
    <w:p w:rsidR="00B04607" w:rsidRDefault="00B04607">
      <w:pPr>
        <w:rPr>
          <w:sz w:val="12"/>
          <w:szCs w:val="12"/>
        </w:rPr>
      </w:pPr>
    </w:p>
    <w:p w:rsidR="00B04607" w:rsidRDefault="00760C43">
      <w:pPr>
        <w:pStyle w:val="Heading2"/>
        <w:spacing w:before="0" w:after="0"/>
      </w:pPr>
      <w:r>
        <w:t>Rational</w:t>
      </w:r>
      <w:r>
        <w:t>e for Action:</w:t>
      </w:r>
    </w:p>
    <w:p w:rsidR="00B04607" w:rsidRDefault="00760C43">
      <w:pPr>
        <w:rPr>
          <w:i/>
          <w:color w:val="0000FF"/>
          <w:u w:val="single"/>
        </w:rPr>
      </w:pPr>
      <w:r>
        <w:t xml:space="preserve">The proposed revisions to the </w:t>
      </w:r>
      <w:r>
        <w:rPr>
          <w:i/>
        </w:rPr>
        <w:t xml:space="preserve">Family Life Education Board of Education Guidelines and Standards of Learning for Virginia Public Schools </w:t>
      </w:r>
      <w:r>
        <w:t xml:space="preserve">align the guidelines with 2018 and 2019 amendments to </w:t>
      </w:r>
      <w:r>
        <w:rPr>
          <w:i/>
        </w:rPr>
        <w:t>Code of Virginia</w:t>
      </w:r>
      <w:r>
        <w:t xml:space="preserve"> </w:t>
      </w:r>
      <w:hyperlink r:id="rId13">
        <w:r>
          <w:rPr>
            <w:i/>
            <w:color w:val="0000FF"/>
            <w:u w:val="single"/>
          </w:rPr>
          <w:t>§22.1-207.1:1</w:t>
        </w:r>
      </w:hyperlink>
      <w:r>
        <w:rPr>
          <w:i/>
        </w:rPr>
        <w:t xml:space="preserve"> </w:t>
      </w:r>
      <w:r>
        <w:t>and</w:t>
      </w:r>
      <w:r>
        <w:rPr>
          <w:i/>
        </w:rPr>
        <w:t xml:space="preserve"> </w:t>
      </w:r>
      <w:hyperlink r:id="rId14">
        <w:r>
          <w:rPr>
            <w:i/>
            <w:color w:val="0000FF"/>
            <w:u w:val="single"/>
          </w:rPr>
          <w:t xml:space="preserve">§ 22.1-207.1. </w:t>
        </w:r>
      </w:hyperlink>
    </w:p>
    <w:p w:rsidR="00B04607" w:rsidRDefault="00B04607">
      <w:pPr>
        <w:rPr>
          <w:sz w:val="12"/>
          <w:szCs w:val="12"/>
        </w:rPr>
      </w:pPr>
    </w:p>
    <w:p w:rsidR="00B04607" w:rsidRDefault="00760C43">
      <w:pPr>
        <w:pStyle w:val="Heading2"/>
        <w:spacing w:before="0" w:after="0"/>
      </w:pPr>
      <w:r>
        <w:t xml:space="preserve">Previous Review or Action:  </w:t>
      </w:r>
    </w:p>
    <w:p w:rsidR="00B04607" w:rsidRDefault="00760C43">
      <w:r>
        <w:t>No previous review or action.</w:t>
      </w:r>
    </w:p>
    <w:p w:rsidR="00B04607" w:rsidRDefault="00B04607">
      <w:pPr>
        <w:rPr>
          <w:sz w:val="12"/>
          <w:szCs w:val="12"/>
        </w:rPr>
      </w:pPr>
    </w:p>
    <w:p w:rsidR="00B04607" w:rsidRDefault="00760C43">
      <w:pPr>
        <w:rPr>
          <w:i/>
        </w:rPr>
      </w:pPr>
      <w:r>
        <w:rPr>
          <w:b/>
        </w:rPr>
        <w:t>Background Information and Statutory Authority:</w:t>
      </w:r>
      <w:r>
        <w:t xml:space="preserve"> </w:t>
      </w:r>
      <w:r>
        <w:br/>
        <w:t xml:space="preserve">The 1987 Virginia General Assembly enacted </w:t>
      </w:r>
      <w:hyperlink r:id="rId15">
        <w:r>
          <w:rPr>
            <w:color w:val="0000FF"/>
            <w:u w:val="single"/>
          </w:rPr>
          <w:t xml:space="preserve">§ 22.1-207.1. </w:t>
        </w:r>
      </w:hyperlink>
      <w:hyperlink r:id="rId16">
        <w:r>
          <w:rPr>
            <w:color w:val="0000FF"/>
          </w:rPr>
          <w:t xml:space="preserve"> </w:t>
        </w:r>
      </w:hyperlink>
      <w:r>
        <w:t>of the</w:t>
      </w:r>
      <w:r>
        <w:rPr>
          <w:i/>
        </w:rPr>
        <w:t xml:space="preserve"> Code of Virginia </w:t>
      </w:r>
      <w:r>
        <w:t>to require that the “</w:t>
      </w:r>
      <w:r>
        <w:rPr>
          <w:i/>
        </w:rPr>
        <w:t>Board of Education shall develop Standards of Learning and curriculum guidelines for a comprehensive, sequential family life education curric</w:t>
      </w:r>
      <w:r>
        <w:rPr>
          <w:i/>
        </w:rPr>
        <w:t>ulum in grades kindergarten through 12.</w:t>
      </w:r>
      <w:r>
        <w:t xml:space="preserve"> This section further requires that, “</w:t>
      </w:r>
      <w:r>
        <w:rPr>
          <w:i/>
        </w:rPr>
        <w:t>All such instruction shall be designed to promote parental involvement, foster positive self-concepts, and provide mechanisms for coping with peer pressure and the stresses of mod</w:t>
      </w:r>
      <w:r>
        <w:rPr>
          <w:i/>
        </w:rPr>
        <w:t xml:space="preserve">ern living according to the students' developmental stages and abilities. </w:t>
      </w:r>
      <w:r>
        <w:rPr>
          <w:i/>
        </w:rPr>
        <w:lastRenderedPageBreak/>
        <w:t>The Board shall also establish requirements for appropriate training for teachers of family life education, which shall include training in instructional elements to support the vari</w:t>
      </w:r>
      <w:r>
        <w:rPr>
          <w:i/>
        </w:rPr>
        <w:t>ous curriculum components</w:t>
      </w:r>
      <w:r>
        <w:t>.”</w:t>
      </w:r>
      <w:r>
        <w:rPr>
          <w:i/>
        </w:rPr>
        <w:t xml:space="preserve"> Code of Virginia</w:t>
      </w:r>
      <w:r>
        <w:t xml:space="preserve"> </w:t>
      </w:r>
      <w:hyperlink r:id="rId17">
        <w:r>
          <w:rPr>
            <w:i/>
            <w:color w:val="0000FF"/>
            <w:u w:val="single"/>
          </w:rPr>
          <w:t>§ 22.1-207.1:1.</w:t>
        </w:r>
      </w:hyperlink>
      <w:r>
        <w:rPr>
          <w:i/>
        </w:rPr>
        <w:t xml:space="preserve"> </w:t>
      </w:r>
      <w:r>
        <w:t>sets certain requirements for family life education curriculum and Standards of Learning,</w:t>
      </w:r>
    </w:p>
    <w:p w:rsidR="00B04607" w:rsidRDefault="00760C43">
      <w:r>
        <w:t>During th</w:t>
      </w:r>
      <w:r>
        <w:t xml:space="preserve">e 2018 Virginia General Assembly, two bills were passed that required amendments and reenactments to </w:t>
      </w:r>
      <w:hyperlink r:id="rId18">
        <w:r>
          <w:rPr>
            <w:i/>
            <w:color w:val="0000FF"/>
            <w:u w:val="single"/>
          </w:rPr>
          <w:t>§ 22.1-207.1:1.</w:t>
        </w:r>
      </w:hyperlink>
      <w:r>
        <w:rPr>
          <w:i/>
        </w:rPr>
        <w:t xml:space="preserve"> </w:t>
      </w:r>
      <w:r>
        <w:t>of the</w:t>
      </w:r>
      <w:r>
        <w:rPr>
          <w:i/>
        </w:rPr>
        <w:t xml:space="preserve"> Code.</w:t>
      </w:r>
    </w:p>
    <w:p w:rsidR="00B04607" w:rsidRDefault="00760C43">
      <w:hyperlink r:id="rId19">
        <w:r>
          <w:rPr>
            <w:color w:val="0000FF"/>
            <w:u w:val="single"/>
          </w:rPr>
          <w:t>House Bill 45</w:t>
        </w:r>
      </w:hyperlink>
      <w:r>
        <w:t xml:space="preserve"> (Filler-Corn) requires that </w:t>
      </w:r>
      <w:r>
        <w:rPr>
          <w:i/>
        </w:rPr>
        <w:t>“a</w:t>
      </w:r>
      <w:r>
        <w:rPr>
          <w:i/>
          <w:highlight w:val="white"/>
        </w:rPr>
        <w:t>ny family life education curriculum offered in any elementary school, middle school, or high school shall incorporate age-appropriate elements of effective and ev</w:t>
      </w:r>
      <w:r>
        <w:rPr>
          <w:i/>
          <w:highlight w:val="white"/>
        </w:rPr>
        <w:t>idence-based programs on the importance of the personal privacy and personal boundaries of other individuals and tools for a student to use to ensure that he respects the personal privacy and personal boundaries of other individuals.”</w:t>
      </w:r>
      <w:r>
        <w:rPr>
          <w:highlight w:val="white"/>
        </w:rPr>
        <w:t xml:space="preserve"> </w:t>
      </w:r>
    </w:p>
    <w:p w:rsidR="00B04607" w:rsidRDefault="00760C43">
      <w:pPr>
        <w:rPr>
          <w:i/>
        </w:rPr>
      </w:pPr>
      <w:hyperlink r:id="rId20">
        <w:r>
          <w:rPr>
            <w:color w:val="0000FF"/>
            <w:u w:val="single"/>
          </w:rPr>
          <w:t xml:space="preserve">Senate Bill 101 </w:t>
        </w:r>
      </w:hyperlink>
      <w:r>
        <w:t xml:space="preserve"> (McClellan) “</w:t>
      </w:r>
      <w:r>
        <w:rPr>
          <w:i/>
        </w:rPr>
        <w:t>requires any high school family life education curriculum offered by a local school division to incorporate age-appropriate elements of effective and evidence-based prog</w:t>
      </w:r>
      <w:r>
        <w:rPr>
          <w:i/>
        </w:rPr>
        <w:t xml:space="preserve">rams on the prevention of sexual harassment using electronic means.” </w:t>
      </w:r>
      <w:r>
        <w:t>The bill also permits any</w:t>
      </w:r>
      <w:r>
        <w:rPr>
          <w:i/>
        </w:rPr>
        <w:t xml:space="preserve"> “family life education curriculum offered by a local school division to incorporate age-appropriate elements of effective and evidence-based programs on the prevention, recognition, and awareness of child abduction, child abuse, child sexual exploitation,</w:t>
      </w:r>
      <w:r>
        <w:rPr>
          <w:i/>
        </w:rPr>
        <w:t xml:space="preserve"> and child sexual abuse.” </w:t>
      </w:r>
    </w:p>
    <w:p w:rsidR="00B04607" w:rsidRDefault="00760C43">
      <w:pPr>
        <w:rPr>
          <w:i/>
        </w:rPr>
      </w:pPr>
      <w:r>
        <w:t xml:space="preserve">Three bills were passed in the 2019 General Assembly that required additional amendments and reenactments to </w:t>
      </w:r>
      <w:hyperlink r:id="rId21">
        <w:r>
          <w:rPr>
            <w:i/>
            <w:color w:val="0000FF"/>
            <w:u w:val="single"/>
          </w:rPr>
          <w:t>§ 22.1-207.1:1.</w:t>
        </w:r>
      </w:hyperlink>
      <w:r>
        <w:rPr>
          <w:i/>
          <w:color w:val="0000FF"/>
        </w:rPr>
        <w:t xml:space="preserve"> </w:t>
      </w:r>
      <w:r>
        <w:t>and</w:t>
      </w:r>
      <w:r>
        <w:rPr>
          <w:color w:val="0000FF"/>
        </w:rPr>
        <w:t xml:space="preserve"> </w:t>
      </w:r>
      <w:r>
        <w:rPr>
          <w:i/>
          <w:color w:val="0000FF"/>
          <w:u w:val="single"/>
        </w:rPr>
        <w:t>§ 22</w:t>
      </w:r>
      <w:r>
        <w:rPr>
          <w:i/>
          <w:color w:val="0000FF"/>
          <w:u w:val="single"/>
        </w:rPr>
        <w:t>.1-207.1. (Senate Bill 1141)</w:t>
      </w:r>
      <w:r>
        <w:rPr>
          <w:i/>
        </w:rPr>
        <w:t xml:space="preserve"> </w:t>
      </w:r>
      <w:r>
        <w:t xml:space="preserve">of the </w:t>
      </w:r>
      <w:r>
        <w:rPr>
          <w:i/>
        </w:rPr>
        <w:t>Code:</w:t>
      </w:r>
    </w:p>
    <w:p w:rsidR="00B04607" w:rsidRDefault="00760C43">
      <w:hyperlink r:id="rId22">
        <w:r>
          <w:rPr>
            <w:color w:val="0000FF"/>
            <w:u w:val="single"/>
          </w:rPr>
          <w:t>House Bill 2205</w:t>
        </w:r>
      </w:hyperlink>
      <w:r>
        <w:t xml:space="preserve"> (Filler-Corn</w:t>
      </w:r>
      <w:r>
        <w:rPr>
          <w:i/>
        </w:rPr>
        <w:t>) “requires any high school family life education curriculum offered by a local school division to incorpora</w:t>
      </w:r>
      <w:r>
        <w:rPr>
          <w:i/>
        </w:rPr>
        <w:t xml:space="preserve">te age-appropriate elements of effective and evidence-based programs on the law and meaning of consent. Under current law, such elements are permissive in any high school family life education curriculum.” </w:t>
      </w:r>
    </w:p>
    <w:p w:rsidR="00B04607" w:rsidRDefault="00760C43">
      <w:hyperlink r:id="rId23">
        <w:r>
          <w:rPr>
            <w:color w:val="0000FF"/>
            <w:u w:val="single"/>
          </w:rPr>
          <w:t>Senate Bill 1141</w:t>
        </w:r>
      </w:hyperlink>
      <w:r>
        <w:t xml:space="preserve"> (Favola) </w:t>
      </w:r>
      <w:r>
        <w:rPr>
          <w:i/>
        </w:rPr>
        <w:t xml:space="preserve">“requires the Board of Education, in its curriculum guidelines for family life education, to include instruction on the prevention of human trafficking. Additionally, the bill requires any </w:t>
      </w:r>
      <w:r>
        <w:rPr>
          <w:i/>
        </w:rPr>
        <w:t xml:space="preserve">high school family life education program offered in a local school division to incorporate age-appropriate elements of effective and evidence-based programs on the prevention of human trafficking.” </w:t>
      </w:r>
    </w:p>
    <w:p w:rsidR="00B04607" w:rsidRDefault="00760C43">
      <w:pPr>
        <w:rPr>
          <w:i/>
          <w:highlight w:val="white"/>
        </w:rPr>
      </w:pPr>
      <w:hyperlink r:id="rId24">
        <w:r>
          <w:rPr>
            <w:color w:val="0000FF"/>
            <w:u w:val="single"/>
          </w:rPr>
          <w:t>Senate Bill 1159</w:t>
        </w:r>
      </w:hyperlink>
      <w:r>
        <w:t xml:space="preserve"> (Black) “</w:t>
      </w:r>
      <w:r>
        <w:rPr>
          <w:i/>
        </w:rPr>
        <w:t>r</w:t>
      </w:r>
      <w:r>
        <w:rPr>
          <w:i/>
          <w:highlight w:val="white"/>
        </w:rPr>
        <w:t>equires any family life education curriculum offered by a local school division to incorporate age-appropriate elements of effective and evidence-based programs on the harmful physical and emotio</w:t>
      </w:r>
      <w:r>
        <w:rPr>
          <w:i/>
          <w:highlight w:val="white"/>
        </w:rPr>
        <w:t>nal effects of female genital mutilation, associated criminal penalties, and the rights of the victim including any civil action.”</w:t>
      </w:r>
    </w:p>
    <w:p w:rsidR="00B04607" w:rsidRDefault="00760C43">
      <w:pPr>
        <w:rPr>
          <w:i/>
          <w:highlight w:val="white"/>
        </w:rPr>
      </w:pPr>
      <w:r>
        <w:br w:type="page"/>
      </w:r>
    </w:p>
    <w:p w:rsidR="00B04607" w:rsidRDefault="00760C43">
      <w:pPr>
        <w:rPr>
          <w:u w:val="single"/>
        </w:rPr>
      </w:pPr>
      <w:r>
        <w:rPr>
          <w:u w:val="single"/>
        </w:rPr>
        <w:lastRenderedPageBreak/>
        <w:t>Summary of proposed revisions to Family Life Education Standards of Learning:</w:t>
      </w:r>
    </w:p>
    <w:p w:rsidR="00B04607" w:rsidRDefault="00760C43">
      <w:pPr>
        <w:rPr>
          <w:u w:val="single"/>
        </w:rPr>
      </w:pPr>
      <w:r>
        <w:t xml:space="preserve">As a result of legislation from the 2018 and </w:t>
      </w:r>
      <w:r>
        <w:t xml:space="preserve">2019 Virginia General Assembly, revisions are necessary to align the </w:t>
      </w:r>
      <w:r>
        <w:rPr>
          <w:i/>
        </w:rPr>
        <w:t>Family Life Education Board of Education Guidelines and Standards of Learning for Virginia Public Schools</w:t>
      </w:r>
      <w:r>
        <w:t xml:space="preserve"> with the requirements outlined in the </w:t>
      </w:r>
      <w:r>
        <w:rPr>
          <w:i/>
        </w:rPr>
        <w:t>Code.</w:t>
      </w:r>
      <w:r>
        <w:t xml:space="preserve"> There are six distinct topic areas, i</w:t>
      </w:r>
      <w:r>
        <w:t xml:space="preserve">dentified below, which are embedded throughout the proposed, revised guidelines:  </w:t>
      </w:r>
    </w:p>
    <w:p w:rsidR="00B04607" w:rsidRDefault="00760C43">
      <w:pPr>
        <w:numPr>
          <w:ilvl w:val="0"/>
          <w:numId w:val="1"/>
        </w:numPr>
        <w:pBdr>
          <w:top w:val="nil"/>
          <w:left w:val="nil"/>
          <w:bottom w:val="nil"/>
          <w:right w:val="nil"/>
          <w:between w:val="nil"/>
        </w:pBdr>
        <w:spacing w:after="0"/>
        <w:rPr>
          <w:color w:val="000000"/>
        </w:rPr>
      </w:pPr>
      <w:r>
        <w:rPr>
          <w:color w:val="000000"/>
          <w:highlight w:val="white"/>
        </w:rPr>
        <w:t>New language added to address the importance of the personal privacy and personal boundaries of other individuals;</w:t>
      </w:r>
    </w:p>
    <w:p w:rsidR="00B04607" w:rsidRDefault="00760C43">
      <w:pPr>
        <w:numPr>
          <w:ilvl w:val="0"/>
          <w:numId w:val="1"/>
        </w:numPr>
        <w:pBdr>
          <w:top w:val="nil"/>
          <w:left w:val="nil"/>
          <w:bottom w:val="nil"/>
          <w:right w:val="nil"/>
          <w:between w:val="nil"/>
        </w:pBdr>
        <w:spacing w:after="0"/>
        <w:rPr>
          <w:color w:val="000000"/>
        </w:rPr>
      </w:pPr>
      <w:r>
        <w:rPr>
          <w:color w:val="000000"/>
          <w:highlight w:val="white"/>
        </w:rPr>
        <w:t xml:space="preserve">New language added to </w:t>
      </w:r>
      <w:r>
        <w:rPr>
          <w:color w:val="000000"/>
        </w:rPr>
        <w:t>address the prevention of sexual har</w:t>
      </w:r>
      <w:r>
        <w:rPr>
          <w:color w:val="000000"/>
        </w:rPr>
        <w:t>assment using electronic means;</w:t>
      </w:r>
    </w:p>
    <w:p w:rsidR="00B04607" w:rsidRDefault="00760C43">
      <w:pPr>
        <w:numPr>
          <w:ilvl w:val="0"/>
          <w:numId w:val="1"/>
        </w:numPr>
        <w:pBdr>
          <w:top w:val="nil"/>
          <w:left w:val="nil"/>
          <w:bottom w:val="nil"/>
          <w:right w:val="nil"/>
          <w:between w:val="nil"/>
        </w:pBdr>
        <w:spacing w:after="0"/>
      </w:pPr>
      <w:r>
        <w:rPr>
          <w:color w:val="000000"/>
        </w:rPr>
        <w:t>New language added to permit instruction to address the prevention, recognition, and awareness of child abduction, child abuse, child sexual exploitation, and child sexual abuse;</w:t>
      </w:r>
    </w:p>
    <w:p w:rsidR="00B04607" w:rsidRDefault="00760C43">
      <w:pPr>
        <w:numPr>
          <w:ilvl w:val="0"/>
          <w:numId w:val="1"/>
        </w:numPr>
        <w:pBdr>
          <w:top w:val="nil"/>
          <w:left w:val="nil"/>
          <w:bottom w:val="nil"/>
          <w:right w:val="nil"/>
          <w:between w:val="nil"/>
        </w:pBdr>
        <w:spacing w:after="0"/>
        <w:rPr>
          <w:color w:val="000000"/>
        </w:rPr>
      </w:pPr>
      <w:r>
        <w:rPr>
          <w:color w:val="000000"/>
        </w:rPr>
        <w:t xml:space="preserve">Revised language to require, rather than permit, instruction to address the law and meaning of consent; </w:t>
      </w:r>
    </w:p>
    <w:p w:rsidR="00B04607" w:rsidRDefault="00760C43">
      <w:pPr>
        <w:numPr>
          <w:ilvl w:val="0"/>
          <w:numId w:val="1"/>
        </w:numPr>
        <w:pBdr>
          <w:top w:val="nil"/>
          <w:left w:val="nil"/>
          <w:bottom w:val="nil"/>
          <w:right w:val="nil"/>
          <w:between w:val="nil"/>
        </w:pBdr>
        <w:spacing w:after="0"/>
        <w:rPr>
          <w:color w:val="000000"/>
        </w:rPr>
      </w:pPr>
      <w:r>
        <w:rPr>
          <w:color w:val="000000"/>
        </w:rPr>
        <w:t>New language added to address the prevention of human trafficking; and</w:t>
      </w:r>
    </w:p>
    <w:p w:rsidR="00B04607" w:rsidRDefault="00760C43">
      <w:pPr>
        <w:numPr>
          <w:ilvl w:val="0"/>
          <w:numId w:val="1"/>
        </w:numPr>
        <w:pBdr>
          <w:top w:val="nil"/>
          <w:left w:val="nil"/>
          <w:bottom w:val="nil"/>
          <w:right w:val="nil"/>
          <w:between w:val="nil"/>
        </w:pBdr>
      </w:pPr>
      <w:r>
        <w:rPr>
          <w:color w:val="000000"/>
          <w:highlight w:val="white"/>
        </w:rPr>
        <w:t>New language added to address the harmful physical and emotional effects of female genital mutilation, associated criminal penalties, and the rights of the victim including any civil action.</w:t>
      </w:r>
    </w:p>
    <w:p w:rsidR="00B04607" w:rsidRDefault="00760C43">
      <w:r>
        <w:t>Proposed revised standards are listed below.</w:t>
      </w:r>
    </w:p>
    <w:tbl>
      <w:tblPr>
        <w:tblStyle w:val="a0"/>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250"/>
        <w:gridCol w:w="2340"/>
        <w:gridCol w:w="2160"/>
      </w:tblGrid>
      <w:tr w:rsidR="00B04607">
        <w:trPr>
          <w:trHeight w:val="601"/>
        </w:trPr>
        <w:tc>
          <w:tcPr>
            <w:tcW w:w="2245" w:type="dxa"/>
          </w:tcPr>
          <w:p w:rsidR="00B04607" w:rsidRDefault="00760C43">
            <w:pPr>
              <w:jc w:val="center"/>
            </w:pPr>
            <w:r>
              <w:t>Grade Level</w:t>
            </w:r>
          </w:p>
        </w:tc>
        <w:tc>
          <w:tcPr>
            <w:tcW w:w="2250" w:type="dxa"/>
          </w:tcPr>
          <w:p w:rsidR="00B04607" w:rsidRDefault="00760C43">
            <w:pPr>
              <w:jc w:val="center"/>
            </w:pPr>
            <w:r>
              <w:t xml:space="preserve">Revised </w:t>
            </w:r>
            <w:r>
              <w:t>SOL</w:t>
            </w:r>
          </w:p>
        </w:tc>
        <w:tc>
          <w:tcPr>
            <w:tcW w:w="2340" w:type="dxa"/>
          </w:tcPr>
          <w:p w:rsidR="00B04607" w:rsidRDefault="00760C43">
            <w:pPr>
              <w:jc w:val="center"/>
            </w:pPr>
            <w:r>
              <w:t xml:space="preserve">Topic Area Addressed  </w:t>
            </w:r>
          </w:p>
        </w:tc>
        <w:tc>
          <w:tcPr>
            <w:tcW w:w="2160" w:type="dxa"/>
          </w:tcPr>
          <w:p w:rsidR="00B04607" w:rsidRDefault="00760C43">
            <w:pPr>
              <w:jc w:val="center"/>
            </w:pPr>
            <w:r>
              <w:t>Page</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t>Kindergarten</w:t>
            </w:r>
          </w:p>
        </w:tc>
        <w:tc>
          <w:tcPr>
            <w:tcW w:w="2250" w:type="dxa"/>
          </w:tcPr>
          <w:p w:rsidR="00B04607" w:rsidRDefault="00760C43">
            <w:pPr>
              <w:pBdr>
                <w:top w:val="nil"/>
                <w:left w:val="nil"/>
                <w:bottom w:val="nil"/>
                <w:right w:val="nil"/>
                <w:between w:val="nil"/>
              </w:pBdr>
              <w:jc w:val="center"/>
              <w:rPr>
                <w:color w:val="000000"/>
              </w:rPr>
            </w:pPr>
            <w:r>
              <w:rPr>
                <w:color w:val="000000"/>
              </w:rPr>
              <w:t>K.3</w:t>
            </w:r>
          </w:p>
        </w:tc>
        <w:tc>
          <w:tcPr>
            <w:tcW w:w="2340" w:type="dxa"/>
          </w:tcPr>
          <w:p w:rsidR="00B04607" w:rsidRDefault="00760C43">
            <w:pPr>
              <w:pBdr>
                <w:top w:val="nil"/>
                <w:left w:val="nil"/>
                <w:bottom w:val="nil"/>
                <w:right w:val="nil"/>
                <w:between w:val="nil"/>
              </w:pBdr>
              <w:jc w:val="center"/>
              <w:rPr>
                <w:color w:val="000000"/>
              </w:rPr>
            </w:pPr>
            <w:r>
              <w:rPr>
                <w:color w:val="000000"/>
              </w:rPr>
              <w:t>A</w:t>
            </w:r>
          </w:p>
        </w:tc>
        <w:tc>
          <w:tcPr>
            <w:tcW w:w="2160" w:type="dxa"/>
          </w:tcPr>
          <w:p w:rsidR="00B04607" w:rsidRDefault="00760C43">
            <w:pPr>
              <w:pBdr>
                <w:top w:val="nil"/>
                <w:left w:val="nil"/>
                <w:bottom w:val="nil"/>
                <w:right w:val="nil"/>
                <w:between w:val="nil"/>
              </w:pBdr>
              <w:jc w:val="center"/>
              <w:rPr>
                <w:color w:val="000000"/>
              </w:rPr>
            </w:pPr>
            <w:r>
              <w:rPr>
                <w:color w:val="000000"/>
              </w:rPr>
              <w:t>14</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t>First Grade</w:t>
            </w:r>
          </w:p>
        </w:tc>
        <w:tc>
          <w:tcPr>
            <w:tcW w:w="2250" w:type="dxa"/>
          </w:tcPr>
          <w:p w:rsidR="00B04607" w:rsidRDefault="00760C43">
            <w:pPr>
              <w:pBdr>
                <w:top w:val="nil"/>
                <w:left w:val="nil"/>
                <w:bottom w:val="nil"/>
                <w:right w:val="nil"/>
                <w:between w:val="nil"/>
              </w:pBdr>
              <w:jc w:val="center"/>
              <w:rPr>
                <w:color w:val="000000"/>
              </w:rPr>
            </w:pPr>
            <w:r>
              <w:rPr>
                <w:color w:val="000000"/>
              </w:rPr>
              <w:t>1.11</w:t>
            </w:r>
          </w:p>
        </w:tc>
        <w:tc>
          <w:tcPr>
            <w:tcW w:w="2340" w:type="dxa"/>
          </w:tcPr>
          <w:p w:rsidR="00B04607" w:rsidRDefault="00760C43">
            <w:pPr>
              <w:pBdr>
                <w:top w:val="nil"/>
                <w:left w:val="nil"/>
                <w:bottom w:val="nil"/>
                <w:right w:val="nil"/>
                <w:between w:val="nil"/>
              </w:pBdr>
              <w:jc w:val="center"/>
              <w:rPr>
                <w:color w:val="000000"/>
              </w:rPr>
            </w:pPr>
            <w:r>
              <w:rPr>
                <w:color w:val="000000"/>
              </w:rPr>
              <w:t>A</w:t>
            </w:r>
          </w:p>
        </w:tc>
        <w:tc>
          <w:tcPr>
            <w:tcW w:w="2160" w:type="dxa"/>
          </w:tcPr>
          <w:p w:rsidR="00B04607" w:rsidRDefault="00760C43">
            <w:pPr>
              <w:pBdr>
                <w:top w:val="nil"/>
                <w:left w:val="nil"/>
                <w:bottom w:val="nil"/>
                <w:right w:val="nil"/>
                <w:between w:val="nil"/>
              </w:pBdr>
              <w:jc w:val="center"/>
              <w:rPr>
                <w:color w:val="000000"/>
              </w:rPr>
            </w:pPr>
            <w:r>
              <w:rPr>
                <w:color w:val="000000"/>
              </w:rPr>
              <w:t>17</w:t>
            </w:r>
          </w:p>
        </w:tc>
      </w:tr>
      <w:tr w:rsidR="00B04607">
        <w:trPr>
          <w:trHeight w:val="286"/>
        </w:trPr>
        <w:tc>
          <w:tcPr>
            <w:tcW w:w="2245" w:type="dxa"/>
          </w:tcPr>
          <w:p w:rsidR="00B04607" w:rsidRDefault="00760C43">
            <w:pPr>
              <w:pBdr>
                <w:top w:val="nil"/>
                <w:left w:val="nil"/>
                <w:bottom w:val="nil"/>
                <w:right w:val="nil"/>
                <w:between w:val="nil"/>
              </w:pBdr>
              <w:jc w:val="both"/>
              <w:rPr>
                <w:color w:val="000000"/>
              </w:rPr>
            </w:pPr>
            <w:r>
              <w:rPr>
                <w:color w:val="000000"/>
              </w:rPr>
              <w:t>Second Grade</w:t>
            </w:r>
          </w:p>
        </w:tc>
        <w:tc>
          <w:tcPr>
            <w:tcW w:w="2250" w:type="dxa"/>
          </w:tcPr>
          <w:p w:rsidR="00B04607" w:rsidRDefault="00760C43">
            <w:pPr>
              <w:pBdr>
                <w:top w:val="nil"/>
                <w:left w:val="nil"/>
                <w:bottom w:val="nil"/>
                <w:right w:val="nil"/>
                <w:between w:val="nil"/>
              </w:pBdr>
              <w:jc w:val="center"/>
              <w:rPr>
                <w:color w:val="000000"/>
              </w:rPr>
            </w:pPr>
            <w:r>
              <w:rPr>
                <w:color w:val="000000"/>
              </w:rPr>
              <w:t>2.4</w:t>
            </w:r>
          </w:p>
        </w:tc>
        <w:tc>
          <w:tcPr>
            <w:tcW w:w="2340" w:type="dxa"/>
          </w:tcPr>
          <w:p w:rsidR="00B04607" w:rsidRDefault="00760C43">
            <w:pPr>
              <w:pBdr>
                <w:top w:val="nil"/>
                <w:left w:val="nil"/>
                <w:bottom w:val="nil"/>
                <w:right w:val="nil"/>
                <w:between w:val="nil"/>
              </w:pBdr>
              <w:jc w:val="center"/>
              <w:rPr>
                <w:color w:val="000000"/>
              </w:rPr>
            </w:pPr>
            <w:r>
              <w:rPr>
                <w:color w:val="000000"/>
              </w:rPr>
              <w:t>A</w:t>
            </w:r>
          </w:p>
        </w:tc>
        <w:tc>
          <w:tcPr>
            <w:tcW w:w="2160" w:type="dxa"/>
          </w:tcPr>
          <w:p w:rsidR="00B04607" w:rsidRDefault="00760C43">
            <w:pPr>
              <w:pBdr>
                <w:top w:val="nil"/>
                <w:left w:val="nil"/>
                <w:bottom w:val="nil"/>
                <w:right w:val="nil"/>
                <w:between w:val="nil"/>
              </w:pBdr>
              <w:jc w:val="center"/>
              <w:rPr>
                <w:color w:val="000000"/>
              </w:rPr>
            </w:pPr>
            <w:r>
              <w:rPr>
                <w:color w:val="000000"/>
              </w:rPr>
              <w:t>18</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t xml:space="preserve">Sixth </w:t>
            </w:r>
            <w:r>
              <w:t>G</w:t>
            </w:r>
            <w:r>
              <w:rPr>
                <w:color w:val="000000"/>
              </w:rPr>
              <w:t>rade</w:t>
            </w:r>
          </w:p>
        </w:tc>
        <w:tc>
          <w:tcPr>
            <w:tcW w:w="2250" w:type="dxa"/>
          </w:tcPr>
          <w:p w:rsidR="00B04607" w:rsidRDefault="00760C43">
            <w:pPr>
              <w:pBdr>
                <w:top w:val="nil"/>
                <w:left w:val="nil"/>
                <w:bottom w:val="nil"/>
                <w:right w:val="nil"/>
                <w:between w:val="nil"/>
              </w:pBdr>
              <w:jc w:val="center"/>
              <w:rPr>
                <w:color w:val="000000"/>
              </w:rPr>
            </w:pPr>
            <w:r>
              <w:rPr>
                <w:color w:val="000000"/>
              </w:rPr>
              <w:t>6.7</w:t>
            </w:r>
          </w:p>
          <w:p w:rsidR="00B04607" w:rsidRDefault="00760C43">
            <w:pPr>
              <w:pBdr>
                <w:top w:val="nil"/>
                <w:left w:val="nil"/>
                <w:bottom w:val="nil"/>
                <w:right w:val="nil"/>
                <w:between w:val="nil"/>
              </w:pBdr>
              <w:jc w:val="center"/>
              <w:rPr>
                <w:color w:val="000000"/>
              </w:rPr>
            </w:pPr>
            <w:r>
              <w:rPr>
                <w:color w:val="000000"/>
              </w:rPr>
              <w:t xml:space="preserve"> 6.11</w:t>
            </w:r>
          </w:p>
          <w:p w:rsidR="00B04607" w:rsidRDefault="00760C43">
            <w:pPr>
              <w:pBdr>
                <w:top w:val="nil"/>
                <w:left w:val="nil"/>
                <w:bottom w:val="nil"/>
                <w:right w:val="nil"/>
                <w:between w:val="nil"/>
              </w:pBdr>
              <w:jc w:val="center"/>
              <w:rPr>
                <w:color w:val="000000"/>
              </w:rPr>
            </w:pPr>
            <w:r>
              <w:rPr>
                <w:color w:val="000000"/>
              </w:rPr>
              <w:t xml:space="preserve"> 6.12</w:t>
            </w:r>
          </w:p>
        </w:tc>
        <w:tc>
          <w:tcPr>
            <w:tcW w:w="2340" w:type="dxa"/>
          </w:tcPr>
          <w:p w:rsidR="00B04607" w:rsidRDefault="00760C43">
            <w:pPr>
              <w:pBdr>
                <w:top w:val="nil"/>
                <w:left w:val="nil"/>
                <w:bottom w:val="nil"/>
                <w:right w:val="nil"/>
                <w:between w:val="nil"/>
              </w:pBdr>
              <w:jc w:val="center"/>
              <w:rPr>
                <w:color w:val="000000"/>
              </w:rPr>
            </w:pPr>
            <w:r>
              <w:rPr>
                <w:color w:val="000000"/>
              </w:rPr>
              <w:t>A</w:t>
            </w:r>
          </w:p>
          <w:p w:rsidR="00B04607" w:rsidRDefault="00760C43">
            <w:pPr>
              <w:pBdr>
                <w:top w:val="nil"/>
                <w:left w:val="nil"/>
                <w:bottom w:val="nil"/>
                <w:right w:val="nil"/>
                <w:between w:val="nil"/>
              </w:pBdr>
              <w:jc w:val="center"/>
              <w:rPr>
                <w:color w:val="000000"/>
              </w:rPr>
            </w:pPr>
            <w:r>
              <w:rPr>
                <w:color w:val="000000"/>
              </w:rPr>
              <w:t xml:space="preserve"> B, C</w:t>
            </w:r>
          </w:p>
          <w:p w:rsidR="00B04607" w:rsidRDefault="00760C43">
            <w:pPr>
              <w:pBdr>
                <w:top w:val="nil"/>
                <w:left w:val="nil"/>
                <w:bottom w:val="nil"/>
                <w:right w:val="nil"/>
                <w:between w:val="nil"/>
              </w:pBdr>
              <w:jc w:val="center"/>
              <w:rPr>
                <w:color w:val="000000"/>
              </w:rPr>
            </w:pPr>
            <w:r>
              <w:rPr>
                <w:color w:val="000000"/>
              </w:rPr>
              <w:t>E</w:t>
            </w:r>
          </w:p>
        </w:tc>
        <w:tc>
          <w:tcPr>
            <w:tcW w:w="2160" w:type="dxa"/>
          </w:tcPr>
          <w:p w:rsidR="00B04607" w:rsidRDefault="00760C43">
            <w:pPr>
              <w:pBdr>
                <w:top w:val="nil"/>
                <w:left w:val="nil"/>
                <w:bottom w:val="nil"/>
                <w:right w:val="nil"/>
                <w:between w:val="nil"/>
              </w:pBdr>
              <w:jc w:val="center"/>
              <w:rPr>
                <w:color w:val="000000"/>
              </w:rPr>
            </w:pPr>
            <w:r>
              <w:rPr>
                <w:color w:val="000000"/>
              </w:rPr>
              <w:t>26</w:t>
            </w:r>
          </w:p>
          <w:p w:rsidR="00B04607" w:rsidRDefault="00760C43">
            <w:pPr>
              <w:pBdr>
                <w:top w:val="nil"/>
                <w:left w:val="nil"/>
                <w:bottom w:val="nil"/>
                <w:right w:val="nil"/>
                <w:between w:val="nil"/>
              </w:pBdr>
              <w:jc w:val="center"/>
              <w:rPr>
                <w:color w:val="000000"/>
              </w:rPr>
            </w:pPr>
            <w:r>
              <w:rPr>
                <w:color w:val="000000"/>
              </w:rPr>
              <w:t>27</w:t>
            </w:r>
          </w:p>
          <w:p w:rsidR="00B04607" w:rsidRDefault="00760C43">
            <w:pPr>
              <w:pBdr>
                <w:top w:val="nil"/>
                <w:left w:val="nil"/>
                <w:bottom w:val="nil"/>
                <w:right w:val="nil"/>
                <w:between w:val="nil"/>
              </w:pBdr>
              <w:jc w:val="center"/>
              <w:rPr>
                <w:color w:val="000000"/>
              </w:rPr>
            </w:pPr>
            <w:r>
              <w:rPr>
                <w:color w:val="000000"/>
              </w:rPr>
              <w:t>27</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t>Seventh Grade</w:t>
            </w:r>
          </w:p>
        </w:tc>
        <w:tc>
          <w:tcPr>
            <w:tcW w:w="2250" w:type="dxa"/>
          </w:tcPr>
          <w:p w:rsidR="00B04607" w:rsidRDefault="00760C43">
            <w:pPr>
              <w:pBdr>
                <w:top w:val="nil"/>
                <w:left w:val="nil"/>
                <w:bottom w:val="nil"/>
                <w:right w:val="nil"/>
                <w:between w:val="nil"/>
              </w:pBdr>
              <w:jc w:val="center"/>
              <w:rPr>
                <w:color w:val="000000"/>
              </w:rPr>
            </w:pPr>
            <w:r>
              <w:rPr>
                <w:color w:val="000000"/>
              </w:rPr>
              <w:t>7.6</w:t>
            </w:r>
          </w:p>
          <w:p w:rsidR="00B04607" w:rsidRDefault="00760C43">
            <w:pPr>
              <w:pBdr>
                <w:top w:val="nil"/>
                <w:left w:val="nil"/>
                <w:bottom w:val="nil"/>
                <w:right w:val="nil"/>
                <w:between w:val="nil"/>
              </w:pBdr>
              <w:jc w:val="center"/>
              <w:rPr>
                <w:color w:val="000000"/>
              </w:rPr>
            </w:pPr>
            <w:r>
              <w:rPr>
                <w:color w:val="000000"/>
              </w:rPr>
              <w:t xml:space="preserve"> 7.11</w:t>
            </w:r>
          </w:p>
          <w:p w:rsidR="00B04607" w:rsidRDefault="00760C43">
            <w:pPr>
              <w:pBdr>
                <w:top w:val="nil"/>
                <w:left w:val="nil"/>
                <w:bottom w:val="nil"/>
                <w:right w:val="nil"/>
                <w:between w:val="nil"/>
              </w:pBdr>
              <w:jc w:val="center"/>
              <w:rPr>
                <w:color w:val="000000"/>
              </w:rPr>
            </w:pPr>
            <w:r>
              <w:rPr>
                <w:color w:val="000000"/>
              </w:rPr>
              <w:t xml:space="preserve"> 7.13</w:t>
            </w:r>
          </w:p>
        </w:tc>
        <w:tc>
          <w:tcPr>
            <w:tcW w:w="2340" w:type="dxa"/>
          </w:tcPr>
          <w:p w:rsidR="00B04607" w:rsidRDefault="00760C43">
            <w:pPr>
              <w:pBdr>
                <w:top w:val="nil"/>
                <w:left w:val="nil"/>
                <w:bottom w:val="nil"/>
                <w:right w:val="nil"/>
                <w:between w:val="nil"/>
              </w:pBdr>
              <w:jc w:val="center"/>
              <w:rPr>
                <w:color w:val="000000"/>
              </w:rPr>
            </w:pPr>
            <w:r>
              <w:rPr>
                <w:color w:val="000000"/>
              </w:rPr>
              <w:t>C</w:t>
            </w:r>
          </w:p>
          <w:p w:rsidR="00B04607" w:rsidRDefault="00760C43">
            <w:pPr>
              <w:pBdr>
                <w:top w:val="nil"/>
                <w:left w:val="nil"/>
                <w:bottom w:val="nil"/>
                <w:right w:val="nil"/>
                <w:between w:val="nil"/>
              </w:pBdr>
              <w:jc w:val="center"/>
              <w:rPr>
                <w:color w:val="000000"/>
              </w:rPr>
            </w:pPr>
            <w:r>
              <w:rPr>
                <w:color w:val="000000"/>
              </w:rPr>
              <w:t xml:space="preserve"> C, E</w:t>
            </w:r>
          </w:p>
          <w:p w:rsidR="00B04607" w:rsidRDefault="00760C43">
            <w:pPr>
              <w:pBdr>
                <w:top w:val="nil"/>
                <w:left w:val="nil"/>
                <w:bottom w:val="nil"/>
                <w:right w:val="nil"/>
                <w:between w:val="nil"/>
              </w:pBdr>
              <w:jc w:val="center"/>
              <w:rPr>
                <w:color w:val="000000"/>
              </w:rPr>
            </w:pPr>
            <w:r>
              <w:rPr>
                <w:color w:val="000000"/>
              </w:rPr>
              <w:t xml:space="preserve"> A</w:t>
            </w:r>
          </w:p>
        </w:tc>
        <w:tc>
          <w:tcPr>
            <w:tcW w:w="2160" w:type="dxa"/>
          </w:tcPr>
          <w:p w:rsidR="00B04607" w:rsidRDefault="00760C43">
            <w:pPr>
              <w:pBdr>
                <w:top w:val="nil"/>
                <w:left w:val="nil"/>
                <w:bottom w:val="nil"/>
                <w:right w:val="nil"/>
                <w:between w:val="nil"/>
              </w:pBdr>
              <w:jc w:val="center"/>
              <w:rPr>
                <w:color w:val="000000"/>
              </w:rPr>
            </w:pPr>
            <w:r>
              <w:rPr>
                <w:color w:val="000000"/>
              </w:rPr>
              <w:t>29</w:t>
            </w:r>
          </w:p>
          <w:p w:rsidR="00B04607" w:rsidRDefault="00760C43">
            <w:pPr>
              <w:pBdr>
                <w:top w:val="nil"/>
                <w:left w:val="nil"/>
                <w:bottom w:val="nil"/>
                <w:right w:val="nil"/>
                <w:between w:val="nil"/>
              </w:pBdr>
              <w:jc w:val="center"/>
              <w:rPr>
                <w:color w:val="000000"/>
              </w:rPr>
            </w:pPr>
            <w:r>
              <w:rPr>
                <w:color w:val="000000"/>
              </w:rPr>
              <w:t>30</w:t>
            </w:r>
          </w:p>
          <w:p w:rsidR="00B04607" w:rsidRDefault="00760C43">
            <w:pPr>
              <w:pBdr>
                <w:top w:val="nil"/>
                <w:left w:val="nil"/>
                <w:bottom w:val="nil"/>
                <w:right w:val="nil"/>
                <w:between w:val="nil"/>
              </w:pBdr>
              <w:jc w:val="center"/>
              <w:rPr>
                <w:color w:val="000000"/>
              </w:rPr>
            </w:pPr>
            <w:r>
              <w:rPr>
                <w:color w:val="000000"/>
              </w:rPr>
              <w:t>31</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t>Eighth Grade</w:t>
            </w:r>
          </w:p>
        </w:tc>
        <w:tc>
          <w:tcPr>
            <w:tcW w:w="2250" w:type="dxa"/>
          </w:tcPr>
          <w:p w:rsidR="00B04607" w:rsidRDefault="00760C43">
            <w:pPr>
              <w:pBdr>
                <w:top w:val="nil"/>
                <w:left w:val="nil"/>
                <w:bottom w:val="nil"/>
                <w:right w:val="nil"/>
                <w:between w:val="nil"/>
              </w:pBdr>
              <w:jc w:val="center"/>
              <w:rPr>
                <w:color w:val="000000"/>
              </w:rPr>
            </w:pPr>
            <w:r>
              <w:rPr>
                <w:color w:val="000000"/>
              </w:rPr>
              <w:t>8.3</w:t>
            </w:r>
          </w:p>
          <w:p w:rsidR="00B04607" w:rsidRDefault="00760C43">
            <w:pPr>
              <w:pBdr>
                <w:top w:val="nil"/>
                <w:left w:val="nil"/>
                <w:bottom w:val="nil"/>
                <w:right w:val="nil"/>
                <w:between w:val="nil"/>
              </w:pBdr>
              <w:jc w:val="center"/>
              <w:rPr>
                <w:color w:val="000000"/>
              </w:rPr>
            </w:pPr>
            <w:r>
              <w:rPr>
                <w:color w:val="000000"/>
              </w:rPr>
              <w:t xml:space="preserve"> 8.6</w:t>
            </w:r>
          </w:p>
          <w:p w:rsidR="00B04607" w:rsidRDefault="00760C43">
            <w:pPr>
              <w:pBdr>
                <w:top w:val="nil"/>
                <w:left w:val="nil"/>
                <w:bottom w:val="nil"/>
                <w:right w:val="nil"/>
                <w:between w:val="nil"/>
              </w:pBdr>
              <w:jc w:val="center"/>
              <w:rPr>
                <w:color w:val="000000"/>
              </w:rPr>
            </w:pPr>
            <w:r>
              <w:rPr>
                <w:color w:val="000000"/>
              </w:rPr>
              <w:t xml:space="preserve"> 8.13</w:t>
            </w:r>
          </w:p>
        </w:tc>
        <w:tc>
          <w:tcPr>
            <w:tcW w:w="2340" w:type="dxa"/>
          </w:tcPr>
          <w:p w:rsidR="00B04607" w:rsidRDefault="00760C43">
            <w:pPr>
              <w:pBdr>
                <w:top w:val="nil"/>
                <w:left w:val="nil"/>
                <w:bottom w:val="nil"/>
                <w:right w:val="nil"/>
                <w:between w:val="nil"/>
              </w:pBdr>
              <w:jc w:val="center"/>
              <w:rPr>
                <w:color w:val="000000"/>
              </w:rPr>
            </w:pPr>
            <w:r>
              <w:rPr>
                <w:color w:val="000000"/>
              </w:rPr>
              <w:t>C</w:t>
            </w:r>
          </w:p>
          <w:p w:rsidR="00B04607" w:rsidRDefault="00760C43">
            <w:pPr>
              <w:pBdr>
                <w:top w:val="nil"/>
                <w:left w:val="nil"/>
                <w:bottom w:val="nil"/>
                <w:right w:val="nil"/>
                <w:between w:val="nil"/>
              </w:pBdr>
              <w:jc w:val="center"/>
              <w:rPr>
                <w:color w:val="000000"/>
              </w:rPr>
            </w:pPr>
            <w:r>
              <w:rPr>
                <w:color w:val="000000"/>
              </w:rPr>
              <w:t xml:space="preserve"> E</w:t>
            </w:r>
          </w:p>
          <w:p w:rsidR="00B04607" w:rsidRDefault="00760C43">
            <w:pPr>
              <w:pBdr>
                <w:top w:val="nil"/>
                <w:left w:val="nil"/>
                <w:bottom w:val="nil"/>
                <w:right w:val="nil"/>
                <w:between w:val="nil"/>
              </w:pBdr>
              <w:jc w:val="center"/>
              <w:rPr>
                <w:color w:val="000000"/>
              </w:rPr>
            </w:pPr>
            <w:r>
              <w:rPr>
                <w:color w:val="000000"/>
              </w:rPr>
              <w:t>D, E</w:t>
            </w:r>
          </w:p>
        </w:tc>
        <w:tc>
          <w:tcPr>
            <w:tcW w:w="2160" w:type="dxa"/>
          </w:tcPr>
          <w:p w:rsidR="00B04607" w:rsidRDefault="00760C43">
            <w:pPr>
              <w:pBdr>
                <w:top w:val="nil"/>
                <w:left w:val="nil"/>
                <w:bottom w:val="nil"/>
                <w:right w:val="nil"/>
                <w:between w:val="nil"/>
              </w:pBdr>
              <w:jc w:val="center"/>
              <w:rPr>
                <w:color w:val="000000"/>
              </w:rPr>
            </w:pPr>
            <w:r>
              <w:rPr>
                <w:color w:val="000000"/>
              </w:rPr>
              <w:t>32</w:t>
            </w:r>
          </w:p>
          <w:p w:rsidR="00B04607" w:rsidRDefault="00760C43">
            <w:pPr>
              <w:pBdr>
                <w:top w:val="nil"/>
                <w:left w:val="nil"/>
                <w:bottom w:val="nil"/>
                <w:right w:val="nil"/>
                <w:between w:val="nil"/>
              </w:pBdr>
              <w:jc w:val="center"/>
              <w:rPr>
                <w:color w:val="000000"/>
              </w:rPr>
            </w:pPr>
            <w:r>
              <w:rPr>
                <w:color w:val="000000"/>
              </w:rPr>
              <w:t>32-33</w:t>
            </w:r>
          </w:p>
          <w:p w:rsidR="00B04607" w:rsidRDefault="00760C43">
            <w:pPr>
              <w:pBdr>
                <w:top w:val="nil"/>
                <w:left w:val="nil"/>
                <w:bottom w:val="nil"/>
                <w:right w:val="nil"/>
                <w:between w:val="nil"/>
              </w:pBdr>
              <w:jc w:val="center"/>
              <w:rPr>
                <w:color w:val="000000"/>
              </w:rPr>
            </w:pPr>
            <w:r>
              <w:rPr>
                <w:color w:val="000000"/>
              </w:rPr>
              <w:t>33-34</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t>Ninth Grade</w:t>
            </w:r>
          </w:p>
        </w:tc>
        <w:tc>
          <w:tcPr>
            <w:tcW w:w="2250" w:type="dxa"/>
          </w:tcPr>
          <w:p w:rsidR="00B04607" w:rsidRDefault="00760C43">
            <w:pPr>
              <w:pBdr>
                <w:top w:val="nil"/>
                <w:left w:val="nil"/>
                <w:bottom w:val="nil"/>
                <w:right w:val="nil"/>
                <w:between w:val="nil"/>
              </w:pBdr>
              <w:jc w:val="center"/>
              <w:rPr>
                <w:color w:val="000000"/>
              </w:rPr>
            </w:pPr>
            <w:r>
              <w:rPr>
                <w:color w:val="000000"/>
              </w:rPr>
              <w:t>9.6</w:t>
            </w:r>
          </w:p>
          <w:p w:rsidR="00B04607" w:rsidRDefault="00760C43">
            <w:pPr>
              <w:pBdr>
                <w:top w:val="nil"/>
                <w:left w:val="nil"/>
                <w:bottom w:val="nil"/>
                <w:right w:val="nil"/>
                <w:between w:val="nil"/>
              </w:pBdr>
              <w:jc w:val="center"/>
              <w:rPr>
                <w:color w:val="000000"/>
              </w:rPr>
            </w:pPr>
            <w:r>
              <w:rPr>
                <w:color w:val="000000"/>
              </w:rPr>
              <w:t>9.7</w:t>
            </w:r>
          </w:p>
        </w:tc>
        <w:tc>
          <w:tcPr>
            <w:tcW w:w="2340" w:type="dxa"/>
          </w:tcPr>
          <w:p w:rsidR="00B04607" w:rsidRDefault="00760C43">
            <w:pPr>
              <w:pBdr>
                <w:top w:val="nil"/>
                <w:left w:val="nil"/>
                <w:bottom w:val="nil"/>
                <w:right w:val="nil"/>
                <w:between w:val="nil"/>
              </w:pBdr>
              <w:jc w:val="center"/>
              <w:rPr>
                <w:color w:val="000000"/>
              </w:rPr>
            </w:pPr>
            <w:r>
              <w:rPr>
                <w:color w:val="000000"/>
              </w:rPr>
              <w:t>D</w:t>
            </w:r>
          </w:p>
          <w:p w:rsidR="00B04607" w:rsidRDefault="00760C43">
            <w:pPr>
              <w:pBdr>
                <w:top w:val="nil"/>
                <w:left w:val="nil"/>
                <w:bottom w:val="nil"/>
                <w:right w:val="nil"/>
                <w:between w:val="nil"/>
              </w:pBdr>
              <w:jc w:val="center"/>
              <w:rPr>
                <w:color w:val="000000"/>
              </w:rPr>
            </w:pPr>
            <w:r>
              <w:rPr>
                <w:color w:val="000000"/>
              </w:rPr>
              <w:t>E, F</w:t>
            </w:r>
          </w:p>
        </w:tc>
        <w:tc>
          <w:tcPr>
            <w:tcW w:w="2160" w:type="dxa"/>
          </w:tcPr>
          <w:p w:rsidR="00B04607" w:rsidRDefault="00760C43">
            <w:pPr>
              <w:pBdr>
                <w:top w:val="nil"/>
                <w:left w:val="nil"/>
                <w:bottom w:val="nil"/>
                <w:right w:val="nil"/>
                <w:between w:val="nil"/>
              </w:pBdr>
              <w:jc w:val="center"/>
              <w:rPr>
                <w:color w:val="000000"/>
              </w:rPr>
            </w:pPr>
            <w:r>
              <w:rPr>
                <w:color w:val="000000"/>
              </w:rPr>
              <w:t>35</w:t>
            </w:r>
          </w:p>
          <w:p w:rsidR="00B04607" w:rsidRDefault="00760C43">
            <w:pPr>
              <w:pBdr>
                <w:top w:val="nil"/>
                <w:left w:val="nil"/>
                <w:bottom w:val="nil"/>
                <w:right w:val="nil"/>
                <w:between w:val="nil"/>
              </w:pBdr>
              <w:jc w:val="center"/>
              <w:rPr>
                <w:color w:val="000000"/>
              </w:rPr>
            </w:pPr>
            <w:r>
              <w:rPr>
                <w:color w:val="000000"/>
              </w:rPr>
              <w:t xml:space="preserve">35-36 </w:t>
            </w:r>
          </w:p>
        </w:tc>
      </w:tr>
      <w:tr w:rsidR="00B04607">
        <w:trPr>
          <w:trHeight w:val="902"/>
        </w:trPr>
        <w:tc>
          <w:tcPr>
            <w:tcW w:w="2245" w:type="dxa"/>
          </w:tcPr>
          <w:p w:rsidR="00B04607" w:rsidRDefault="00760C43">
            <w:pPr>
              <w:pBdr>
                <w:top w:val="nil"/>
                <w:left w:val="nil"/>
                <w:bottom w:val="nil"/>
                <w:right w:val="nil"/>
                <w:between w:val="nil"/>
              </w:pBdr>
              <w:jc w:val="both"/>
              <w:rPr>
                <w:color w:val="000000"/>
              </w:rPr>
            </w:pPr>
            <w:r>
              <w:rPr>
                <w:color w:val="000000"/>
              </w:rPr>
              <w:t>Tenth Grade</w:t>
            </w:r>
          </w:p>
        </w:tc>
        <w:tc>
          <w:tcPr>
            <w:tcW w:w="2250" w:type="dxa"/>
          </w:tcPr>
          <w:p w:rsidR="00B04607" w:rsidRDefault="00760C43">
            <w:pPr>
              <w:pBdr>
                <w:top w:val="nil"/>
                <w:left w:val="nil"/>
                <w:bottom w:val="nil"/>
                <w:right w:val="nil"/>
                <w:between w:val="nil"/>
              </w:pBdr>
              <w:jc w:val="center"/>
              <w:rPr>
                <w:color w:val="000000"/>
              </w:rPr>
            </w:pPr>
            <w:r>
              <w:rPr>
                <w:color w:val="000000"/>
              </w:rPr>
              <w:t>10.3</w:t>
            </w:r>
          </w:p>
          <w:p w:rsidR="00B04607" w:rsidRDefault="00760C43">
            <w:pPr>
              <w:pBdr>
                <w:top w:val="nil"/>
                <w:left w:val="nil"/>
                <w:bottom w:val="nil"/>
                <w:right w:val="nil"/>
                <w:between w:val="nil"/>
              </w:pBdr>
              <w:jc w:val="center"/>
              <w:rPr>
                <w:color w:val="000000"/>
              </w:rPr>
            </w:pPr>
            <w:r>
              <w:rPr>
                <w:color w:val="000000"/>
              </w:rPr>
              <w:t xml:space="preserve"> 10.7</w:t>
            </w:r>
          </w:p>
          <w:p w:rsidR="00B04607" w:rsidRDefault="00760C43">
            <w:pPr>
              <w:pBdr>
                <w:top w:val="nil"/>
                <w:left w:val="nil"/>
                <w:bottom w:val="nil"/>
                <w:right w:val="nil"/>
                <w:between w:val="nil"/>
              </w:pBdr>
              <w:jc w:val="center"/>
              <w:rPr>
                <w:color w:val="000000"/>
              </w:rPr>
            </w:pPr>
            <w:r>
              <w:rPr>
                <w:color w:val="000000"/>
              </w:rPr>
              <w:t>10.16</w:t>
            </w:r>
          </w:p>
        </w:tc>
        <w:tc>
          <w:tcPr>
            <w:tcW w:w="2340" w:type="dxa"/>
          </w:tcPr>
          <w:p w:rsidR="00B04607" w:rsidRDefault="00760C43">
            <w:pPr>
              <w:pBdr>
                <w:top w:val="nil"/>
                <w:left w:val="nil"/>
                <w:bottom w:val="nil"/>
                <w:right w:val="nil"/>
                <w:between w:val="nil"/>
              </w:pBdr>
              <w:jc w:val="center"/>
              <w:rPr>
                <w:color w:val="000000"/>
              </w:rPr>
            </w:pPr>
            <w:r>
              <w:rPr>
                <w:color w:val="000000"/>
              </w:rPr>
              <w:t>B</w:t>
            </w:r>
            <w:r>
              <w:t xml:space="preserve">, </w:t>
            </w:r>
            <w:r>
              <w:rPr>
                <w:color w:val="000000"/>
              </w:rPr>
              <w:t>D</w:t>
            </w:r>
          </w:p>
          <w:p w:rsidR="00B04607" w:rsidRDefault="00760C43">
            <w:pPr>
              <w:pBdr>
                <w:top w:val="nil"/>
                <w:left w:val="nil"/>
                <w:bottom w:val="nil"/>
                <w:right w:val="nil"/>
                <w:between w:val="nil"/>
              </w:pBdr>
              <w:jc w:val="center"/>
              <w:rPr>
                <w:color w:val="000000"/>
              </w:rPr>
            </w:pPr>
            <w:r>
              <w:rPr>
                <w:color w:val="000000"/>
              </w:rPr>
              <w:t xml:space="preserve"> E </w:t>
            </w:r>
          </w:p>
          <w:p w:rsidR="00B04607" w:rsidRDefault="00760C43">
            <w:pPr>
              <w:pBdr>
                <w:top w:val="nil"/>
                <w:left w:val="nil"/>
                <w:bottom w:val="nil"/>
                <w:right w:val="nil"/>
                <w:between w:val="nil"/>
              </w:pBdr>
              <w:jc w:val="center"/>
              <w:rPr>
                <w:color w:val="000000"/>
              </w:rPr>
            </w:pPr>
            <w:r>
              <w:rPr>
                <w:color w:val="000000"/>
              </w:rPr>
              <w:t>C, E</w:t>
            </w:r>
          </w:p>
        </w:tc>
        <w:tc>
          <w:tcPr>
            <w:tcW w:w="2160" w:type="dxa"/>
          </w:tcPr>
          <w:p w:rsidR="00B04607" w:rsidRDefault="00760C43">
            <w:pPr>
              <w:pBdr>
                <w:top w:val="nil"/>
                <w:left w:val="nil"/>
                <w:bottom w:val="nil"/>
                <w:right w:val="nil"/>
                <w:between w:val="nil"/>
              </w:pBdr>
              <w:jc w:val="center"/>
              <w:rPr>
                <w:color w:val="000000"/>
              </w:rPr>
            </w:pPr>
            <w:r>
              <w:rPr>
                <w:color w:val="000000"/>
              </w:rPr>
              <w:t>37</w:t>
            </w:r>
          </w:p>
          <w:p w:rsidR="00B04607" w:rsidRDefault="00760C43">
            <w:pPr>
              <w:pBdr>
                <w:top w:val="nil"/>
                <w:left w:val="nil"/>
                <w:bottom w:val="nil"/>
                <w:right w:val="nil"/>
                <w:between w:val="nil"/>
              </w:pBdr>
              <w:jc w:val="center"/>
              <w:rPr>
                <w:color w:val="000000"/>
              </w:rPr>
            </w:pPr>
            <w:r>
              <w:rPr>
                <w:color w:val="000000"/>
              </w:rPr>
              <w:t>38</w:t>
            </w:r>
          </w:p>
          <w:p w:rsidR="00B04607" w:rsidRDefault="00760C43">
            <w:pPr>
              <w:pBdr>
                <w:top w:val="nil"/>
                <w:left w:val="nil"/>
                <w:bottom w:val="nil"/>
                <w:right w:val="nil"/>
                <w:between w:val="nil"/>
              </w:pBdr>
              <w:jc w:val="center"/>
              <w:rPr>
                <w:color w:val="000000"/>
              </w:rPr>
            </w:pPr>
            <w:r>
              <w:rPr>
                <w:color w:val="000000"/>
              </w:rPr>
              <w:t>39</w:t>
            </w:r>
          </w:p>
        </w:tc>
      </w:tr>
      <w:tr w:rsidR="00B04607">
        <w:trPr>
          <w:trHeight w:val="300"/>
        </w:trPr>
        <w:tc>
          <w:tcPr>
            <w:tcW w:w="2245" w:type="dxa"/>
          </w:tcPr>
          <w:p w:rsidR="00B04607" w:rsidRDefault="00760C43">
            <w:pPr>
              <w:pBdr>
                <w:top w:val="nil"/>
                <w:left w:val="nil"/>
                <w:bottom w:val="nil"/>
                <w:right w:val="nil"/>
                <w:between w:val="nil"/>
              </w:pBdr>
              <w:jc w:val="both"/>
              <w:rPr>
                <w:color w:val="000000"/>
              </w:rPr>
            </w:pPr>
            <w:r>
              <w:rPr>
                <w:color w:val="000000"/>
              </w:rPr>
              <w:lastRenderedPageBreak/>
              <w:t>Eleventh Grade</w:t>
            </w:r>
          </w:p>
        </w:tc>
        <w:tc>
          <w:tcPr>
            <w:tcW w:w="2250" w:type="dxa"/>
          </w:tcPr>
          <w:p w:rsidR="00B04607" w:rsidRDefault="00760C43">
            <w:pPr>
              <w:pBdr>
                <w:top w:val="nil"/>
                <w:left w:val="nil"/>
                <w:bottom w:val="nil"/>
                <w:right w:val="nil"/>
                <w:between w:val="nil"/>
              </w:pBdr>
              <w:jc w:val="center"/>
              <w:rPr>
                <w:color w:val="000000"/>
              </w:rPr>
            </w:pPr>
            <w:r>
              <w:rPr>
                <w:color w:val="000000"/>
              </w:rPr>
              <w:t>11.3</w:t>
            </w:r>
          </w:p>
          <w:p w:rsidR="00B04607" w:rsidRDefault="00760C43">
            <w:pPr>
              <w:pBdr>
                <w:top w:val="nil"/>
                <w:left w:val="nil"/>
                <w:bottom w:val="nil"/>
                <w:right w:val="nil"/>
                <w:between w:val="nil"/>
              </w:pBdr>
              <w:jc w:val="center"/>
              <w:rPr>
                <w:color w:val="000000"/>
              </w:rPr>
            </w:pPr>
            <w:r>
              <w:rPr>
                <w:color w:val="000000"/>
              </w:rPr>
              <w:t xml:space="preserve"> 11.4</w:t>
            </w:r>
          </w:p>
        </w:tc>
        <w:tc>
          <w:tcPr>
            <w:tcW w:w="2340" w:type="dxa"/>
          </w:tcPr>
          <w:p w:rsidR="00B04607" w:rsidRDefault="00760C43">
            <w:pPr>
              <w:pBdr>
                <w:top w:val="nil"/>
                <w:left w:val="nil"/>
                <w:bottom w:val="nil"/>
                <w:right w:val="nil"/>
                <w:between w:val="nil"/>
              </w:pBdr>
              <w:jc w:val="center"/>
              <w:rPr>
                <w:color w:val="000000"/>
              </w:rPr>
            </w:pPr>
            <w:r>
              <w:rPr>
                <w:color w:val="000000"/>
              </w:rPr>
              <w:t>D</w:t>
            </w:r>
          </w:p>
          <w:p w:rsidR="00B04607" w:rsidRDefault="00760C43">
            <w:pPr>
              <w:pBdr>
                <w:top w:val="nil"/>
                <w:left w:val="nil"/>
                <w:bottom w:val="nil"/>
                <w:right w:val="nil"/>
                <w:between w:val="nil"/>
              </w:pBdr>
              <w:jc w:val="center"/>
              <w:rPr>
                <w:color w:val="000000"/>
              </w:rPr>
            </w:pPr>
            <w:r>
              <w:rPr>
                <w:color w:val="000000"/>
              </w:rPr>
              <w:t>E</w:t>
            </w:r>
          </w:p>
        </w:tc>
        <w:tc>
          <w:tcPr>
            <w:tcW w:w="2160" w:type="dxa"/>
          </w:tcPr>
          <w:p w:rsidR="00B04607" w:rsidRDefault="00760C43">
            <w:pPr>
              <w:pBdr>
                <w:top w:val="nil"/>
                <w:left w:val="nil"/>
                <w:bottom w:val="nil"/>
                <w:right w:val="nil"/>
                <w:between w:val="nil"/>
              </w:pBdr>
              <w:jc w:val="center"/>
              <w:rPr>
                <w:color w:val="000000"/>
              </w:rPr>
            </w:pPr>
            <w:r>
              <w:rPr>
                <w:color w:val="000000"/>
              </w:rPr>
              <w:t>40</w:t>
            </w:r>
          </w:p>
          <w:p w:rsidR="00B04607" w:rsidRDefault="00760C43">
            <w:pPr>
              <w:pBdr>
                <w:top w:val="nil"/>
                <w:left w:val="nil"/>
                <w:bottom w:val="nil"/>
                <w:right w:val="nil"/>
                <w:between w:val="nil"/>
              </w:pBdr>
              <w:jc w:val="center"/>
              <w:rPr>
                <w:color w:val="000000"/>
              </w:rPr>
            </w:pPr>
            <w:r>
              <w:rPr>
                <w:color w:val="000000"/>
              </w:rPr>
              <w:t>40</w:t>
            </w:r>
          </w:p>
        </w:tc>
      </w:tr>
      <w:tr w:rsidR="00B04607">
        <w:trPr>
          <w:trHeight w:val="426"/>
        </w:trPr>
        <w:tc>
          <w:tcPr>
            <w:tcW w:w="2245" w:type="dxa"/>
          </w:tcPr>
          <w:p w:rsidR="00B04607" w:rsidRDefault="00760C43">
            <w:pPr>
              <w:pBdr>
                <w:top w:val="nil"/>
                <w:left w:val="nil"/>
                <w:bottom w:val="nil"/>
                <w:right w:val="nil"/>
                <w:between w:val="nil"/>
              </w:pBdr>
              <w:jc w:val="both"/>
              <w:rPr>
                <w:color w:val="000000"/>
              </w:rPr>
            </w:pPr>
            <w:r>
              <w:rPr>
                <w:color w:val="000000"/>
              </w:rPr>
              <w:t>Twelfth Grade</w:t>
            </w:r>
          </w:p>
        </w:tc>
        <w:tc>
          <w:tcPr>
            <w:tcW w:w="2250" w:type="dxa"/>
          </w:tcPr>
          <w:p w:rsidR="00B04607" w:rsidRDefault="00760C43">
            <w:pPr>
              <w:pBdr>
                <w:top w:val="nil"/>
                <w:left w:val="nil"/>
                <w:bottom w:val="nil"/>
                <w:right w:val="nil"/>
                <w:between w:val="nil"/>
              </w:pBdr>
              <w:jc w:val="center"/>
              <w:rPr>
                <w:color w:val="000000"/>
              </w:rPr>
            </w:pPr>
            <w:r>
              <w:rPr>
                <w:color w:val="000000"/>
              </w:rPr>
              <w:t>12.3</w:t>
            </w:r>
          </w:p>
          <w:p w:rsidR="00B04607" w:rsidRDefault="00760C43">
            <w:pPr>
              <w:pBdr>
                <w:top w:val="nil"/>
                <w:left w:val="nil"/>
                <w:bottom w:val="nil"/>
                <w:right w:val="nil"/>
                <w:between w:val="nil"/>
              </w:pBdr>
              <w:jc w:val="center"/>
              <w:rPr>
                <w:color w:val="000000"/>
              </w:rPr>
            </w:pPr>
            <w:r>
              <w:rPr>
                <w:color w:val="000000"/>
              </w:rPr>
              <w:t>12.7</w:t>
            </w:r>
          </w:p>
          <w:p w:rsidR="00B04607" w:rsidRDefault="00760C43">
            <w:pPr>
              <w:pBdr>
                <w:top w:val="nil"/>
                <w:left w:val="nil"/>
                <w:bottom w:val="nil"/>
                <w:right w:val="nil"/>
                <w:between w:val="nil"/>
              </w:pBdr>
              <w:jc w:val="center"/>
              <w:rPr>
                <w:color w:val="000000"/>
              </w:rPr>
            </w:pPr>
            <w:r>
              <w:rPr>
                <w:color w:val="000000"/>
              </w:rPr>
              <w:t>12.8</w:t>
            </w:r>
          </w:p>
          <w:p w:rsidR="00B04607" w:rsidRDefault="00760C43">
            <w:pPr>
              <w:pBdr>
                <w:top w:val="nil"/>
                <w:left w:val="nil"/>
                <w:bottom w:val="nil"/>
                <w:right w:val="nil"/>
                <w:between w:val="nil"/>
              </w:pBdr>
              <w:jc w:val="center"/>
              <w:rPr>
                <w:color w:val="000000"/>
              </w:rPr>
            </w:pPr>
            <w:r>
              <w:rPr>
                <w:color w:val="000000"/>
              </w:rPr>
              <w:t xml:space="preserve"> 12.11</w:t>
            </w:r>
          </w:p>
        </w:tc>
        <w:tc>
          <w:tcPr>
            <w:tcW w:w="2340" w:type="dxa"/>
          </w:tcPr>
          <w:p w:rsidR="00B04607" w:rsidRDefault="00760C43">
            <w:pPr>
              <w:pBdr>
                <w:top w:val="nil"/>
                <w:left w:val="nil"/>
                <w:bottom w:val="nil"/>
                <w:right w:val="nil"/>
                <w:between w:val="nil"/>
              </w:pBdr>
              <w:jc w:val="center"/>
              <w:rPr>
                <w:color w:val="000000"/>
              </w:rPr>
            </w:pPr>
            <w:r>
              <w:rPr>
                <w:color w:val="000000"/>
              </w:rPr>
              <w:t>A, B</w:t>
            </w:r>
          </w:p>
          <w:p w:rsidR="00B04607" w:rsidRDefault="00760C43">
            <w:pPr>
              <w:pBdr>
                <w:top w:val="nil"/>
                <w:left w:val="nil"/>
                <w:bottom w:val="nil"/>
                <w:right w:val="nil"/>
                <w:between w:val="nil"/>
              </w:pBdr>
              <w:jc w:val="center"/>
              <w:rPr>
                <w:color w:val="000000"/>
              </w:rPr>
            </w:pPr>
            <w:r>
              <w:rPr>
                <w:color w:val="000000"/>
              </w:rPr>
              <w:t>E</w:t>
            </w:r>
          </w:p>
          <w:p w:rsidR="00B04607" w:rsidRDefault="00760C43">
            <w:pPr>
              <w:pBdr>
                <w:top w:val="nil"/>
                <w:left w:val="nil"/>
                <w:bottom w:val="nil"/>
                <w:right w:val="nil"/>
                <w:between w:val="nil"/>
              </w:pBdr>
              <w:jc w:val="center"/>
              <w:rPr>
                <w:color w:val="000000"/>
              </w:rPr>
            </w:pPr>
            <w:r>
              <w:rPr>
                <w:color w:val="000000"/>
              </w:rPr>
              <w:t>C, E, F</w:t>
            </w:r>
          </w:p>
          <w:p w:rsidR="00B04607" w:rsidRDefault="00760C43">
            <w:pPr>
              <w:pBdr>
                <w:top w:val="nil"/>
                <w:left w:val="nil"/>
                <w:bottom w:val="nil"/>
                <w:right w:val="nil"/>
                <w:between w:val="nil"/>
              </w:pBdr>
              <w:jc w:val="center"/>
              <w:rPr>
                <w:color w:val="000000"/>
              </w:rPr>
            </w:pPr>
            <w:r>
              <w:rPr>
                <w:color w:val="000000"/>
              </w:rPr>
              <w:t>D</w:t>
            </w:r>
          </w:p>
        </w:tc>
        <w:tc>
          <w:tcPr>
            <w:tcW w:w="2160" w:type="dxa"/>
          </w:tcPr>
          <w:p w:rsidR="00B04607" w:rsidRDefault="00760C43">
            <w:pPr>
              <w:pBdr>
                <w:top w:val="nil"/>
                <w:left w:val="nil"/>
                <w:bottom w:val="nil"/>
                <w:right w:val="nil"/>
                <w:between w:val="nil"/>
              </w:pBdr>
              <w:jc w:val="center"/>
              <w:rPr>
                <w:color w:val="000000"/>
              </w:rPr>
            </w:pPr>
            <w:r>
              <w:rPr>
                <w:color w:val="000000"/>
              </w:rPr>
              <w:t>43</w:t>
            </w:r>
          </w:p>
          <w:p w:rsidR="00B04607" w:rsidRDefault="00760C43">
            <w:pPr>
              <w:pBdr>
                <w:top w:val="nil"/>
                <w:left w:val="nil"/>
                <w:bottom w:val="nil"/>
                <w:right w:val="nil"/>
                <w:between w:val="nil"/>
              </w:pBdr>
              <w:jc w:val="center"/>
              <w:rPr>
                <w:color w:val="000000"/>
              </w:rPr>
            </w:pPr>
            <w:r>
              <w:rPr>
                <w:color w:val="000000"/>
              </w:rPr>
              <w:t>43</w:t>
            </w:r>
          </w:p>
          <w:p w:rsidR="00B04607" w:rsidRDefault="00760C43">
            <w:pPr>
              <w:pBdr>
                <w:top w:val="nil"/>
                <w:left w:val="nil"/>
                <w:bottom w:val="nil"/>
                <w:right w:val="nil"/>
                <w:between w:val="nil"/>
              </w:pBdr>
              <w:jc w:val="center"/>
              <w:rPr>
                <w:color w:val="000000"/>
              </w:rPr>
            </w:pPr>
            <w:r>
              <w:rPr>
                <w:color w:val="000000"/>
              </w:rPr>
              <w:t>44</w:t>
            </w:r>
          </w:p>
          <w:p w:rsidR="00B04607" w:rsidRDefault="00760C43">
            <w:pPr>
              <w:pBdr>
                <w:top w:val="nil"/>
                <w:left w:val="nil"/>
                <w:bottom w:val="nil"/>
                <w:right w:val="nil"/>
                <w:between w:val="nil"/>
              </w:pBdr>
              <w:jc w:val="center"/>
              <w:rPr>
                <w:color w:val="000000"/>
              </w:rPr>
            </w:pPr>
            <w:r>
              <w:rPr>
                <w:color w:val="000000"/>
              </w:rPr>
              <w:t>44</w:t>
            </w:r>
          </w:p>
        </w:tc>
      </w:tr>
    </w:tbl>
    <w:p w:rsidR="00B04607" w:rsidRDefault="00B04607"/>
    <w:p w:rsidR="00B04607" w:rsidRDefault="00760C43">
      <w:pPr>
        <w:pStyle w:val="Heading2"/>
        <w:spacing w:before="0" w:after="0"/>
        <w:rPr>
          <w:rFonts w:eastAsia="Times New Roman"/>
        </w:rPr>
      </w:pPr>
      <w:r>
        <w:rPr>
          <w:rFonts w:eastAsia="Times New Roman"/>
        </w:rPr>
        <w:t xml:space="preserve">Timetable for Further Review/Action: </w:t>
      </w:r>
    </w:p>
    <w:p w:rsidR="00B04607" w:rsidRDefault="00760C43">
      <w:r>
        <w:t xml:space="preserve">Upon Board of Education adoption of the </w:t>
      </w:r>
      <w:r>
        <w:rPr>
          <w:i/>
        </w:rPr>
        <w:t>2019 Family Life Education Board of Education Guidelines and Standards of Learning for Virginia Public Schools</w:t>
      </w:r>
      <w:r>
        <w:t>, the Virginia Department of Education (VDOE) will make them available to school divisions on the Departme</w:t>
      </w:r>
      <w:r>
        <w:t>nt’s website.</w:t>
      </w:r>
    </w:p>
    <w:p w:rsidR="00B04607" w:rsidRDefault="00760C43">
      <w:r>
        <w:t>The VDOE recognizes that professional development is crucial for family life instructors to understand the changes to the family life education standards of learning (SOL) and how to incorporate effective evidence-based practices. Training fo</w:t>
      </w:r>
      <w:r>
        <w:t xml:space="preserve">r family life educators, especially related to teaching sensitive material, is essential to provide developmentally appropriate practices to Virginia’s students. The VDOE relied on federal funds from the Centers for Disease Control, Division on Adolescent </w:t>
      </w:r>
      <w:r>
        <w:t xml:space="preserve">and Student Health, between 2008 and 2013 to develop training modules designed to increase the skills and capacity of family life education instructors to deliver standards of learning-based family life education. </w:t>
      </w:r>
    </w:p>
    <w:p w:rsidR="00B04607" w:rsidRDefault="00760C43">
      <w:r>
        <w:t>Since the grant ended in 2013, and in ord</w:t>
      </w:r>
      <w:r>
        <w:t>er to maintain updated content for professional development, the VDOE has provided an annual two-day training to family life education trainers related to updates in the field. However, the VDOE recognizes there is a need to redesign the training and techn</w:t>
      </w:r>
      <w:r>
        <w:t xml:space="preserve">ical assistance efforts, including updating the professional learning modules and instructional resources, to better align with the current standards and division needs. </w:t>
      </w:r>
    </w:p>
    <w:p w:rsidR="00B04607" w:rsidRDefault="00B04607">
      <w:pPr>
        <w:spacing w:after="0"/>
      </w:pPr>
    </w:p>
    <w:p w:rsidR="00B04607" w:rsidRDefault="00760C43">
      <w:pPr>
        <w:pStyle w:val="Heading2"/>
        <w:spacing w:before="0" w:after="0"/>
      </w:pPr>
      <w:r>
        <w:t xml:space="preserve">Impact on Fiscal and Human Resources: </w:t>
      </w:r>
    </w:p>
    <w:p w:rsidR="00B04607" w:rsidRDefault="00760C43">
      <w:r>
        <w:t>It is anticipated that local school divisions will incur cost associated with professional development related to training on the new content areas in the family life education curriculum. The VDOE will incur some cost related to updating professional deve</w:t>
      </w:r>
      <w:r>
        <w:t>lopment, providing training, and developing curriculum resources.</w:t>
      </w:r>
    </w:p>
    <w:sectPr w:rsidR="00B04607">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0C43">
      <w:pPr>
        <w:spacing w:after="0" w:line="240" w:lineRule="auto"/>
      </w:pPr>
      <w:r>
        <w:separator/>
      </w:r>
    </w:p>
  </w:endnote>
  <w:endnote w:type="continuationSeparator" w:id="0">
    <w:p w:rsidR="00000000" w:rsidRDefault="0076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07" w:rsidRDefault="00760C4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B04607" w:rsidRDefault="00B046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0C43">
      <w:pPr>
        <w:spacing w:after="0" w:line="240" w:lineRule="auto"/>
      </w:pPr>
      <w:r>
        <w:separator/>
      </w:r>
    </w:p>
  </w:footnote>
  <w:footnote w:type="continuationSeparator" w:id="0">
    <w:p w:rsidR="00000000" w:rsidRDefault="0076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1936"/>
    <w:multiLevelType w:val="multilevel"/>
    <w:tmpl w:val="B55C42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07"/>
    <w:rsid w:val="00760C43"/>
    <w:rsid w:val="00B0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1CD5"/>
  <w15:docId w15:val="{2252ABB1-0387-4D34-9CC9-A2BF7727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vacode/title22.1/chapter13/section22.1-207.1:1/" TargetMode="External"/><Relationship Id="rId18" Type="http://schemas.openxmlformats.org/officeDocument/2006/relationships/hyperlink" Target="https://law.lis.virginia.gov/vacode/title22.1/chapter13/section22.1-207.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lis.virginia.gov/vacode/title22.1/chapter13/section22.1-207.1:1/" TargetMode="External"/><Relationship Id="rId7" Type="http://schemas.openxmlformats.org/officeDocument/2006/relationships/endnotes" Target="endnotes.xml"/><Relationship Id="rId12" Type="http://schemas.openxmlformats.org/officeDocument/2006/relationships/hyperlink" Target="http://www.doe.virginia.gov/boe/plan/comprehensive-plan.pdf" TargetMode="External"/><Relationship Id="rId17" Type="http://schemas.openxmlformats.org/officeDocument/2006/relationships/hyperlink" Target="https://law.lis.virginia.gov/vacode/title22.1/chapter13/section22.1-207.1: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vacode/title22.1/chapter13/section22.1-207.1/" TargetMode="External"/><Relationship Id="rId20" Type="http://schemas.openxmlformats.org/officeDocument/2006/relationships/hyperlink" Target="http://lis.virginia.gov/cgi-bin/legp604.exe?181+sum+SB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section22.1-207.1:1/" TargetMode="External"/><Relationship Id="rId24" Type="http://schemas.openxmlformats.org/officeDocument/2006/relationships/hyperlink" Target="http://lis.virginia.gov/cgi-bin/legp604.exe?ses=191&amp;typ=bil&amp;val=SB1159" TargetMode="External"/><Relationship Id="rId5" Type="http://schemas.openxmlformats.org/officeDocument/2006/relationships/webSettings" Target="webSettings.xml"/><Relationship Id="rId15" Type="http://schemas.openxmlformats.org/officeDocument/2006/relationships/hyperlink" Target="https://law.lis.virginia.gov/vacode/title22.1/chapter13/section22.1-207.1/" TargetMode="External"/><Relationship Id="rId23" Type="http://schemas.openxmlformats.org/officeDocument/2006/relationships/hyperlink" Target="http://lis.virginia.gov/cgi-bin/legp604.exe?ses=191&amp;typ=bil&amp;val=SB1141" TargetMode="External"/><Relationship Id="rId10" Type="http://schemas.openxmlformats.org/officeDocument/2006/relationships/hyperlink" Target="https://law.lis.virginia.gov/vacode/title22.1/chapter13/section22.1-207.1:1/" TargetMode="External"/><Relationship Id="rId19" Type="http://schemas.openxmlformats.org/officeDocument/2006/relationships/hyperlink" Target="http://lis.virginia.gov/cgi-bin/legp604.exe?181+ful+CHAP0383"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law.lis.virginia.gov/vacode/title22.1/chapter13/section22.1-207.1/" TargetMode="External"/><Relationship Id="rId22" Type="http://schemas.openxmlformats.org/officeDocument/2006/relationships/hyperlink" Target="http://lis.virginia.gov/cgi-bin/legp604.exe?191+sum+HB220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C+CL1BLDRoVgjSLZlaNplRUjQA==">AMUW2mUQPXvSvrqpdJyUY+kbvMzjAIfJRJxqk9cn12pMUpmr9hYurVg4ZbGkGjzVPF/ld2zKVvbV83K+RTQUq3w+odXu5vJcslMkeLduQJClH4hZ4QXI/KR/ihWrQFiQ7isYUIUd/1oWsGW/R1YJdEuY2u58Dep0dA==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dcterms:created xsi:type="dcterms:W3CDTF">2020-01-13T14:55:00Z</dcterms:created>
  <dcterms:modified xsi:type="dcterms:W3CDTF">2020-01-13T14:55:00Z</dcterms:modified>
</cp:coreProperties>
</file>