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274DE1">
        <w:t>Isle of Wight County Public Schools</w:t>
      </w:r>
    </w:p>
    <w:p w:rsidR="00E63DC5" w:rsidRDefault="00E63DC5" w:rsidP="00E63DC5">
      <w:pPr>
        <w:pStyle w:val="NormalTNR"/>
      </w:pPr>
      <w:r w:rsidRPr="008B62AA">
        <w:rPr>
          <w:b/>
        </w:rPr>
        <w:t>Report Publication Date:</w:t>
      </w:r>
      <w:r>
        <w:t xml:space="preserve"> </w:t>
      </w:r>
      <w:r w:rsidR="00274DE1">
        <w:t>July 16, 2019</w:t>
      </w:r>
    </w:p>
    <w:p w:rsidR="00E63DC5" w:rsidRDefault="00E63DC5" w:rsidP="00E63DC5">
      <w:pPr>
        <w:pStyle w:val="NormalTNR"/>
      </w:pPr>
      <w:r w:rsidRPr="008B62AA">
        <w:rPr>
          <w:b/>
        </w:rPr>
        <w:t>Administrative Review Dates:</w:t>
      </w:r>
      <w:r>
        <w:t xml:space="preserve"> </w:t>
      </w:r>
      <w:r w:rsidR="00274DE1">
        <w:t>May 7-9, 2019</w:t>
      </w:r>
    </w:p>
    <w:p w:rsidR="00E63DC5" w:rsidRDefault="00E63DC5" w:rsidP="00E63DC5">
      <w:pPr>
        <w:pStyle w:val="NormalTNR"/>
      </w:pPr>
      <w:r w:rsidRPr="008B62AA">
        <w:rPr>
          <w:b/>
        </w:rPr>
        <w:t>Review Month and Year:</w:t>
      </w:r>
      <w:r>
        <w:t xml:space="preserve"> </w:t>
      </w:r>
      <w:r w:rsidR="00274DE1">
        <w:t>March 2019</w:t>
      </w:r>
    </w:p>
    <w:p w:rsidR="00E63DC5" w:rsidRDefault="00E63DC5" w:rsidP="00E63DC5">
      <w:pPr>
        <w:pStyle w:val="NormalTNR"/>
      </w:pPr>
      <w:r w:rsidRPr="008B62AA">
        <w:rPr>
          <w:b/>
        </w:rPr>
        <w:t>Participating Programs:</w:t>
      </w:r>
      <w:r>
        <w:t xml:space="preserve"> </w:t>
      </w:r>
      <w:r w:rsidR="00274DE1">
        <w:t>NSLP, SBP, ASP</w:t>
      </w:r>
    </w:p>
    <w:p w:rsidR="00E63DC5" w:rsidRPr="00E63DC5" w:rsidRDefault="00E63DC5" w:rsidP="00F70D82">
      <w:pPr>
        <w:pStyle w:val="NormalTNR"/>
        <w:spacing w:after="600"/>
      </w:pPr>
      <w:r w:rsidRPr="008B62AA">
        <w:rPr>
          <w:b/>
        </w:rPr>
        <w:t>Participates in Special Provisions?</w:t>
      </w:r>
      <w:r>
        <w:t xml:space="preserve"> </w:t>
      </w:r>
      <w:r w:rsidR="00274DE1">
        <w:t>N/A</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274DE1">
        <w:rPr>
          <w:sz w:val="28"/>
        </w:rPr>
        <w:t>March 2019</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506EC0" w:rsidP="007B68D3">
            <w:pPr>
              <w:pStyle w:val="NormalTNR"/>
              <w:spacing w:after="0"/>
              <w:rPr>
                <w:lang w:eastAsia="ja-JP"/>
              </w:rPr>
            </w:pPr>
            <w:r>
              <w:rPr>
                <w:lang w:eastAsia="ja-JP"/>
              </w:rPr>
              <w:t>1,650</w:t>
            </w:r>
          </w:p>
        </w:tc>
        <w:tc>
          <w:tcPr>
            <w:tcW w:w="1563" w:type="dxa"/>
            <w:shd w:val="clear" w:color="auto" w:fill="auto"/>
            <w:vAlign w:val="center"/>
          </w:tcPr>
          <w:p w:rsidR="006C3986" w:rsidRPr="00690A00" w:rsidRDefault="00506EC0" w:rsidP="007B68D3">
            <w:pPr>
              <w:pStyle w:val="NormalTNR"/>
              <w:spacing w:after="0"/>
              <w:rPr>
                <w:lang w:eastAsia="ja-JP"/>
              </w:rPr>
            </w:pPr>
            <w:r>
              <w:rPr>
                <w:lang w:eastAsia="ja-JP"/>
              </w:rPr>
              <w:t>1,101</w:t>
            </w:r>
          </w:p>
        </w:tc>
        <w:tc>
          <w:tcPr>
            <w:tcW w:w="1027" w:type="dxa"/>
            <w:shd w:val="clear" w:color="auto" w:fill="auto"/>
            <w:vAlign w:val="center"/>
          </w:tcPr>
          <w:p w:rsidR="006C3986" w:rsidRPr="00690A00" w:rsidRDefault="00506EC0" w:rsidP="007B68D3">
            <w:pPr>
              <w:pStyle w:val="NormalTNR"/>
              <w:spacing w:after="0"/>
              <w:rPr>
                <w:lang w:eastAsia="ja-JP"/>
              </w:rPr>
            </w:pPr>
            <w:r>
              <w:rPr>
                <w:lang w:eastAsia="ja-JP"/>
              </w:rPr>
              <w:t>47.68</w:t>
            </w:r>
          </w:p>
        </w:tc>
        <w:tc>
          <w:tcPr>
            <w:tcW w:w="1249" w:type="dxa"/>
            <w:shd w:val="clear" w:color="auto" w:fill="auto"/>
            <w:vAlign w:val="center"/>
          </w:tcPr>
          <w:p w:rsidR="006C3986" w:rsidRPr="00690A00" w:rsidRDefault="00506EC0" w:rsidP="007B68D3">
            <w:pPr>
              <w:pStyle w:val="NormalTNR"/>
              <w:spacing w:after="0"/>
              <w:rPr>
                <w:lang w:eastAsia="ja-JP"/>
              </w:rPr>
            </w:pPr>
            <w:r>
              <w:rPr>
                <w:lang w:eastAsia="ja-JP"/>
              </w:rPr>
              <w:t>743</w:t>
            </w:r>
          </w:p>
        </w:tc>
        <w:tc>
          <w:tcPr>
            <w:tcW w:w="1216" w:type="dxa"/>
            <w:shd w:val="clear" w:color="auto" w:fill="auto"/>
            <w:vAlign w:val="center"/>
          </w:tcPr>
          <w:p w:rsidR="006C3986" w:rsidRPr="00690A00" w:rsidRDefault="00506EC0" w:rsidP="007B68D3">
            <w:pPr>
              <w:pStyle w:val="NormalTNR"/>
              <w:spacing w:after="0"/>
              <w:rPr>
                <w:lang w:eastAsia="ja-JP"/>
              </w:rPr>
            </w:pPr>
            <w:r>
              <w:rPr>
                <w:lang w:eastAsia="ja-JP"/>
              </w:rPr>
              <w:t>57.42</w:t>
            </w:r>
          </w:p>
        </w:tc>
        <w:tc>
          <w:tcPr>
            <w:tcW w:w="1860" w:type="dxa"/>
            <w:shd w:val="clear" w:color="auto" w:fill="auto"/>
            <w:vAlign w:val="center"/>
          </w:tcPr>
          <w:p w:rsidR="006C3986" w:rsidRPr="00690A00" w:rsidRDefault="00506EC0" w:rsidP="007B68D3">
            <w:pPr>
              <w:pStyle w:val="NormalTNR"/>
              <w:spacing w:after="0"/>
              <w:rPr>
                <w:lang w:eastAsia="ja-JP"/>
              </w:rPr>
            </w:pPr>
            <w:r>
              <w:rPr>
                <w:lang w:eastAsia="ja-JP"/>
              </w:rPr>
              <w:t>111,386.24</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506EC0" w:rsidP="007B68D3">
            <w:pPr>
              <w:pStyle w:val="NormalTNR"/>
              <w:spacing w:after="0"/>
              <w:rPr>
                <w:lang w:eastAsia="ja-JP"/>
              </w:rPr>
            </w:pPr>
            <w:r>
              <w:rPr>
                <w:lang w:eastAsia="ja-JP"/>
              </w:rPr>
              <w:t>261</w:t>
            </w:r>
          </w:p>
        </w:tc>
        <w:tc>
          <w:tcPr>
            <w:tcW w:w="1563" w:type="dxa"/>
            <w:shd w:val="clear" w:color="auto" w:fill="auto"/>
            <w:vAlign w:val="center"/>
          </w:tcPr>
          <w:p w:rsidR="006C3986" w:rsidRPr="00690A00" w:rsidRDefault="00506EC0" w:rsidP="007B68D3">
            <w:pPr>
              <w:pStyle w:val="NormalTNR"/>
              <w:spacing w:after="0"/>
              <w:rPr>
                <w:lang w:eastAsia="ja-JP"/>
              </w:rPr>
            </w:pPr>
            <w:r>
              <w:rPr>
                <w:lang w:eastAsia="ja-JP"/>
              </w:rPr>
              <w:t>164</w:t>
            </w:r>
          </w:p>
        </w:tc>
        <w:tc>
          <w:tcPr>
            <w:tcW w:w="1027" w:type="dxa"/>
            <w:shd w:val="clear" w:color="auto" w:fill="auto"/>
            <w:vAlign w:val="center"/>
          </w:tcPr>
          <w:p w:rsidR="006C3986" w:rsidRPr="00690A00" w:rsidRDefault="00506EC0" w:rsidP="007B68D3">
            <w:pPr>
              <w:pStyle w:val="NormalTNR"/>
              <w:spacing w:after="0"/>
              <w:rPr>
                <w:lang w:eastAsia="ja-JP"/>
              </w:rPr>
            </w:pPr>
            <w:r>
              <w:rPr>
                <w:lang w:eastAsia="ja-JP"/>
              </w:rPr>
              <w:t>7.10</w:t>
            </w:r>
          </w:p>
        </w:tc>
        <w:tc>
          <w:tcPr>
            <w:tcW w:w="1249" w:type="dxa"/>
            <w:shd w:val="clear" w:color="auto" w:fill="auto"/>
            <w:vAlign w:val="center"/>
          </w:tcPr>
          <w:p w:rsidR="006C3986" w:rsidRPr="00690A00" w:rsidRDefault="00506EC0" w:rsidP="007B68D3">
            <w:pPr>
              <w:pStyle w:val="NormalTNR"/>
              <w:spacing w:after="0"/>
              <w:rPr>
                <w:lang w:eastAsia="ja-JP"/>
              </w:rPr>
            </w:pPr>
            <w:r>
              <w:rPr>
                <w:lang w:eastAsia="ja-JP"/>
              </w:rPr>
              <w:t>106</w:t>
            </w:r>
          </w:p>
        </w:tc>
        <w:tc>
          <w:tcPr>
            <w:tcW w:w="1216" w:type="dxa"/>
            <w:shd w:val="clear" w:color="auto" w:fill="auto"/>
            <w:vAlign w:val="center"/>
          </w:tcPr>
          <w:p w:rsidR="00506EC0" w:rsidRPr="00690A00" w:rsidRDefault="00506EC0" w:rsidP="007B68D3">
            <w:pPr>
              <w:pStyle w:val="NormalTNR"/>
              <w:spacing w:after="0"/>
              <w:rPr>
                <w:lang w:eastAsia="ja-JP"/>
              </w:rPr>
            </w:pPr>
            <w:r>
              <w:rPr>
                <w:lang w:eastAsia="ja-JP"/>
              </w:rPr>
              <w:t>8.19</w:t>
            </w:r>
          </w:p>
        </w:tc>
        <w:tc>
          <w:tcPr>
            <w:tcW w:w="1860" w:type="dxa"/>
            <w:shd w:val="clear" w:color="auto" w:fill="auto"/>
            <w:vAlign w:val="center"/>
          </w:tcPr>
          <w:p w:rsidR="006C3986" w:rsidRPr="00690A00" w:rsidRDefault="00506EC0" w:rsidP="007B68D3">
            <w:pPr>
              <w:pStyle w:val="NormalTNR"/>
              <w:spacing w:after="0"/>
              <w:rPr>
                <w:lang w:eastAsia="ja-JP"/>
              </w:rPr>
            </w:pPr>
            <w:r>
              <w:rPr>
                <w:lang w:eastAsia="ja-JP"/>
              </w:rPr>
              <w:t>14,376.85</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506EC0" w:rsidP="007B68D3">
            <w:pPr>
              <w:pStyle w:val="NormalTNR"/>
              <w:spacing w:after="0"/>
              <w:rPr>
                <w:lang w:eastAsia="ja-JP"/>
              </w:rPr>
            </w:pPr>
            <w:r>
              <w:rPr>
                <w:lang w:eastAsia="ja-JP"/>
              </w:rPr>
              <w:t>3,650</w:t>
            </w:r>
          </w:p>
        </w:tc>
        <w:tc>
          <w:tcPr>
            <w:tcW w:w="1563" w:type="dxa"/>
            <w:shd w:val="clear" w:color="auto" w:fill="auto"/>
            <w:vAlign w:val="center"/>
          </w:tcPr>
          <w:p w:rsidR="006C3986" w:rsidRPr="00690A00" w:rsidRDefault="00506EC0" w:rsidP="007B68D3">
            <w:pPr>
              <w:pStyle w:val="NormalTNR"/>
              <w:spacing w:after="0"/>
              <w:rPr>
                <w:lang w:eastAsia="ja-JP"/>
              </w:rPr>
            </w:pPr>
            <w:r>
              <w:rPr>
                <w:lang w:eastAsia="ja-JP"/>
              </w:rPr>
              <w:t>1,044</w:t>
            </w:r>
          </w:p>
        </w:tc>
        <w:tc>
          <w:tcPr>
            <w:tcW w:w="1027" w:type="dxa"/>
            <w:shd w:val="clear" w:color="auto" w:fill="auto"/>
            <w:vAlign w:val="center"/>
          </w:tcPr>
          <w:p w:rsidR="006C3986" w:rsidRPr="00690A00" w:rsidRDefault="00506EC0" w:rsidP="007B68D3">
            <w:pPr>
              <w:pStyle w:val="NormalTNR"/>
              <w:spacing w:after="0"/>
              <w:rPr>
                <w:lang w:eastAsia="ja-JP"/>
              </w:rPr>
            </w:pPr>
            <w:r>
              <w:rPr>
                <w:lang w:eastAsia="ja-JP"/>
              </w:rPr>
              <w:t>45.21</w:t>
            </w:r>
          </w:p>
        </w:tc>
        <w:tc>
          <w:tcPr>
            <w:tcW w:w="1249" w:type="dxa"/>
            <w:shd w:val="clear" w:color="auto" w:fill="auto"/>
            <w:vAlign w:val="center"/>
          </w:tcPr>
          <w:p w:rsidR="006C3986" w:rsidRPr="00690A00" w:rsidRDefault="00506EC0" w:rsidP="007B68D3">
            <w:pPr>
              <w:pStyle w:val="NormalTNR"/>
              <w:spacing w:after="0"/>
              <w:rPr>
                <w:lang w:eastAsia="ja-JP"/>
              </w:rPr>
            </w:pPr>
            <w:r>
              <w:rPr>
                <w:lang w:eastAsia="ja-JP"/>
              </w:rPr>
              <w:t>445</w:t>
            </w:r>
          </w:p>
        </w:tc>
        <w:tc>
          <w:tcPr>
            <w:tcW w:w="1216" w:type="dxa"/>
            <w:shd w:val="clear" w:color="auto" w:fill="auto"/>
            <w:vAlign w:val="center"/>
          </w:tcPr>
          <w:p w:rsidR="006C3986" w:rsidRPr="00690A00" w:rsidRDefault="00506EC0" w:rsidP="007B68D3">
            <w:pPr>
              <w:pStyle w:val="NormalTNR"/>
              <w:spacing w:after="0"/>
              <w:rPr>
                <w:lang w:eastAsia="ja-JP"/>
              </w:rPr>
            </w:pPr>
            <w:r>
              <w:rPr>
                <w:lang w:eastAsia="ja-JP"/>
              </w:rPr>
              <w:t>34.39</w:t>
            </w:r>
          </w:p>
        </w:tc>
        <w:tc>
          <w:tcPr>
            <w:tcW w:w="1860" w:type="dxa"/>
            <w:shd w:val="clear" w:color="auto" w:fill="auto"/>
            <w:vAlign w:val="center"/>
          </w:tcPr>
          <w:p w:rsidR="006C3986" w:rsidRPr="00690A00" w:rsidRDefault="00506EC0" w:rsidP="007B68D3">
            <w:pPr>
              <w:pStyle w:val="NormalTNR"/>
              <w:spacing w:after="0"/>
              <w:rPr>
                <w:lang w:eastAsia="ja-JP"/>
              </w:rPr>
            </w:pPr>
            <w:r>
              <w:rPr>
                <w:lang w:eastAsia="ja-JP"/>
              </w:rPr>
              <w:t>11,022.12</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506EC0" w:rsidP="007B68D3">
            <w:pPr>
              <w:pStyle w:val="NormalTNR"/>
              <w:spacing w:after="0"/>
              <w:rPr>
                <w:b/>
                <w:lang w:eastAsia="ja-JP"/>
              </w:rPr>
            </w:pPr>
            <w:r>
              <w:rPr>
                <w:b/>
                <w:lang w:eastAsia="ja-JP"/>
              </w:rPr>
              <w:t>5,561</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506EC0" w:rsidP="007B68D3">
            <w:pPr>
              <w:pStyle w:val="NormalTNR"/>
              <w:spacing w:after="0"/>
              <w:rPr>
                <w:b/>
                <w:lang w:eastAsia="ja-JP"/>
              </w:rPr>
            </w:pPr>
            <w:r>
              <w:rPr>
                <w:b/>
                <w:lang w:eastAsia="ja-JP"/>
              </w:rPr>
              <w:t>136,785.21</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D702894">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6F2922" w:rsidRDefault="006F2922" w:rsidP="006F2922">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Incomplete and inaccurate household applications were approved for free or reduced price meal benefits. </w:t>
            </w:r>
          </w:p>
          <w:p w:rsidR="00906D57" w:rsidRPr="007D3AFD" w:rsidRDefault="002E0A17"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Applications were incorrectly approved for free or reduced price meal benefits. </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4B14D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6F2922" w:rsidRDefault="006F2922"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 xml:space="preserve">The School Food Authority (SFA) was not using the approved production record template. </w:t>
            </w:r>
          </w:p>
          <w:p w:rsidR="006F2922" w:rsidRPr="00F205EF" w:rsidRDefault="006F2922"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Meal contributions were not included on recipes.</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9A6ECC" w:rsidP="000C309B">
            <w:pPr>
              <w:rPr>
                <w:rFonts w:ascii="Times New Roman" w:eastAsia="Times New Roman" w:hAnsi="Times New Roman"/>
                <w:noProof/>
                <w:color w:val="000000"/>
                <w:szCs w:val="20"/>
              </w:rPr>
            </w:pPr>
            <w:bookmarkStart w:id="0" w:name="_GoBack"/>
            <w:bookmarkEnd w:id="0"/>
            <w:r>
              <w:rPr>
                <w:rFonts w:ascii="Times New Roman" w:eastAsia="Times New Roman" w:hAnsi="Times New Roman"/>
                <w:noProof/>
                <w:color w:val="000000"/>
                <w:szCs w:val="20"/>
              </w:rPr>
              <w:t>Menu production records were incomplete for the review period.</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4B14D4"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4B14D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lastRenderedPageBreak/>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Default="0052368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Not all agricultureal products purchased met the Buy American provision.</w:t>
            </w:r>
          </w:p>
          <w:p w:rsidR="0052368E" w:rsidRDefault="00BD46E8"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Expired food items were found in the dry storage areas.</w:t>
            </w:r>
          </w:p>
          <w:p w:rsidR="00BD46E8" w:rsidRPr="007D3AFD" w:rsidRDefault="00BD46E8"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A copy of the food safety plan was not available at each school. The food safety plan was not site specific.</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D46E8" w:rsidP="00FC03D3">
            <w:pPr>
              <w:rPr>
                <w:rFonts w:ascii="Times New Roman" w:eastAsia="Times New Roman" w:hAnsi="Times New Roman"/>
                <w:noProof/>
                <w:color w:val="000000"/>
                <w:szCs w:val="20"/>
              </w:rPr>
            </w:pPr>
            <w:r>
              <w:rPr>
                <w:rFonts w:ascii="Times New Roman" w:eastAsia="Times New Roman" w:hAnsi="Times New Roman"/>
                <w:color w:val="000000"/>
                <w:szCs w:val="16"/>
                <w:lang w:eastAsia="ja-JP"/>
              </w:rPr>
              <w:t>The Local School Wellness Policy did not include all the required components.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4B14D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4B14D4"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1.6pt;height:21.6pt;visibility:visible;mso-wrap-style:square" o:bullet="t">
        <v:imagedata r:id="rId1" o:title=""/>
      </v:shape>
    </w:pict>
  </w:numPicBullet>
  <w:numPicBullet w:numPicBulletId="1">
    <w:pict>
      <v:shape id="_x0000_i1118" type="#_x0000_t75" alt="Denotes no findings" style="width:15.2pt;height:15.2pt;visibility:visible;mso-wrap-style:square" o:bullet="t">
        <v:imagedata r:id="rId2" o:title="Denotes no findings"/>
      </v:shape>
    </w:pict>
  </w:numPicBullet>
  <w:numPicBullet w:numPicBulletId="2">
    <w:pict>
      <v:shape id="_x0000_i1119" type="#_x0000_t75" alt="Denotes findings identified" style="width:21.6pt;height:21.6pt;visibility:visible;mso-wrap-style:square" o:bullet="t">
        <v:imagedata r:id="rId3" o:title="Denotes findings identified"/>
      </v:shape>
    </w:pict>
  </w:numPicBullet>
  <w:numPicBullet w:numPicBulletId="3">
    <w:pict>
      <v:shape id="_x0000_i1120" type="#_x0000_t75" style="width:16pt;height:16pt;visibility:visible;mso-wrap-style:square" o:bullet="t">
        <v:imagedata r:id="rId4" o:title=""/>
      </v:shape>
    </w:pict>
  </w:numPicBullet>
  <w:numPicBullet w:numPicBulletId="4">
    <w:pict>
      <v:shape id="_x0000_i1121" type="#_x0000_t75" style="width:15.2pt;height:15.2pt;visibility:visible;mso-wrap-style:square" o:bullet="t">
        <v:imagedata r:id="rId5" o:title=""/>
      </v:shape>
    </w:pict>
  </w:numPicBullet>
  <w:numPicBullet w:numPicBulletId="5">
    <w:pict>
      <v:shape id="_x0000_i1122" type="#_x0000_t75" alt="Denotes no findings" style="width:15.2pt;height:15.2pt;visibility:visible;mso-wrap-style:square" o:bullet="t">
        <v:imagedata r:id="rId6" o:title="Denotes no findings"/>
      </v:shape>
    </w:pict>
  </w:numPicBullet>
  <w:numPicBullet w:numPicBulletId="6">
    <w:pict>
      <v:shape id="_x0000_i1123"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31457"/>
    <w:rsid w:val="001B0603"/>
    <w:rsid w:val="001F75BE"/>
    <w:rsid w:val="002032A0"/>
    <w:rsid w:val="00217886"/>
    <w:rsid w:val="00233204"/>
    <w:rsid w:val="00260CA2"/>
    <w:rsid w:val="00265D36"/>
    <w:rsid w:val="00274A66"/>
    <w:rsid w:val="00274DE1"/>
    <w:rsid w:val="002D2FED"/>
    <w:rsid w:val="002D4167"/>
    <w:rsid w:val="002E0A17"/>
    <w:rsid w:val="0031611E"/>
    <w:rsid w:val="0032739D"/>
    <w:rsid w:val="003274A0"/>
    <w:rsid w:val="003507AB"/>
    <w:rsid w:val="003C5AEE"/>
    <w:rsid w:val="00464DF8"/>
    <w:rsid w:val="004A5012"/>
    <w:rsid w:val="004B14D4"/>
    <w:rsid w:val="004C04E4"/>
    <w:rsid w:val="004C18F7"/>
    <w:rsid w:val="004D45AD"/>
    <w:rsid w:val="00506EC0"/>
    <w:rsid w:val="0052368E"/>
    <w:rsid w:val="00527106"/>
    <w:rsid w:val="00576EFE"/>
    <w:rsid w:val="00593DA0"/>
    <w:rsid w:val="005C2719"/>
    <w:rsid w:val="005E617A"/>
    <w:rsid w:val="005E72E8"/>
    <w:rsid w:val="006070B4"/>
    <w:rsid w:val="00620948"/>
    <w:rsid w:val="006475A6"/>
    <w:rsid w:val="00690A00"/>
    <w:rsid w:val="00694D91"/>
    <w:rsid w:val="006C3986"/>
    <w:rsid w:val="006D0B91"/>
    <w:rsid w:val="006E68D8"/>
    <w:rsid w:val="006F2922"/>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9A6ECC"/>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93692"/>
    <w:rsid w:val="00BC0516"/>
    <w:rsid w:val="00BD46E8"/>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4B004"/>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143">
      <w:bodyDiv w:val="1"/>
      <w:marLeft w:val="0"/>
      <w:marRight w:val="0"/>
      <w:marTop w:val="0"/>
      <w:marBottom w:val="0"/>
      <w:divBdr>
        <w:top w:val="none" w:sz="0" w:space="0" w:color="auto"/>
        <w:left w:val="none" w:sz="0" w:space="0" w:color="auto"/>
        <w:bottom w:val="none" w:sz="0" w:space="0" w:color="auto"/>
        <w:right w:val="none" w:sz="0" w:space="0" w:color="auto"/>
      </w:divBdr>
    </w:div>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E01D-293A-9B4C-9EBF-5DF3F36F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2290</Characters>
  <Application>Microsoft Office Word</Application>
  <DocSecurity>0</DocSecurity>
  <Lines>131</Lines>
  <Paragraphs>94</Paragraphs>
  <ScaleCrop>false</ScaleCrop>
  <HeadingPairs>
    <vt:vector size="2" baseType="variant">
      <vt:variant>
        <vt:lpstr>Title</vt:lpstr>
      </vt:variant>
      <vt:variant>
        <vt:i4>1</vt:i4>
      </vt:variant>
    </vt:vector>
  </HeadingPairs>
  <TitlesOfParts>
    <vt:vector size="1" baseType="lpstr">
      <vt:lpstr>isle-ofwight-fpar-summary-2019</vt:lpstr>
    </vt:vector>
  </TitlesOfParts>
  <Manager/>
  <Company>Virginia IT Infrastructure Partnership</Company>
  <LinksUpToDate>false</LinksUpToDate>
  <CharactersWithSpaces>2603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isle-of-wight-fpar-summary-2019</dc:title>
  <dc:subject/>
  <dc:creator>DOE - NUTRITION (DOE)</dc:creator>
  <cp:keywords/>
  <dc:description/>
  <cp:lastModifiedBy>Kelly Bowman</cp:lastModifiedBy>
  <cp:revision>3</cp:revision>
  <cp:lastPrinted>2018-03-27T12:01:00Z</cp:lastPrinted>
  <dcterms:created xsi:type="dcterms:W3CDTF">2019-07-19T17:18:00Z</dcterms:created>
  <dcterms:modified xsi:type="dcterms:W3CDTF">2019-07-19T18:13:00Z</dcterms:modified>
  <cp:category/>
</cp:coreProperties>
</file>