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13" w:rsidRDefault="00767813" w:rsidP="0031611E">
      <w:pPr>
        <w:pStyle w:val="Heading1"/>
      </w:pPr>
      <w:bookmarkStart w:id="0" w:name="_GoBack"/>
      <w:bookmarkEnd w:id="0"/>
      <w:r>
        <w:rPr>
          <w:noProof/>
        </w:rPr>
        <w:drawing>
          <wp:inline distT="0" distB="0" distL="0" distR="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721114">
        <w:t>G</w:t>
      </w:r>
      <w:r w:rsidR="0011718C">
        <w:t>iles County Public Schools</w:t>
      </w:r>
    </w:p>
    <w:p w:rsidR="00E63DC5" w:rsidRDefault="00E63DC5" w:rsidP="00E63DC5">
      <w:pPr>
        <w:pStyle w:val="NormalTNR"/>
      </w:pPr>
      <w:r w:rsidRPr="008B62AA">
        <w:rPr>
          <w:b/>
        </w:rPr>
        <w:t>Report Publication Date:</w:t>
      </w:r>
      <w:r>
        <w:t xml:space="preserve"> </w:t>
      </w:r>
      <w:r w:rsidR="00332FD0">
        <w:t>February 21</w:t>
      </w:r>
      <w:r w:rsidR="00721114">
        <w:t>, 2019</w:t>
      </w:r>
    </w:p>
    <w:p w:rsidR="00E63DC5" w:rsidRDefault="00E63DC5" w:rsidP="00E63DC5">
      <w:pPr>
        <w:pStyle w:val="NormalTNR"/>
      </w:pPr>
      <w:r w:rsidRPr="008B62AA">
        <w:rPr>
          <w:b/>
        </w:rPr>
        <w:t>Administrative Review Dates:</w:t>
      </w:r>
      <w:r>
        <w:t xml:space="preserve"> </w:t>
      </w:r>
      <w:r w:rsidR="00721114">
        <w:t>October 16 – 18, 2019</w:t>
      </w:r>
    </w:p>
    <w:p w:rsidR="00E63DC5" w:rsidRDefault="00E63DC5" w:rsidP="00E63DC5">
      <w:pPr>
        <w:pStyle w:val="NormalTNR"/>
      </w:pPr>
      <w:r w:rsidRPr="008B62AA">
        <w:rPr>
          <w:b/>
        </w:rPr>
        <w:t>Review Month and Year:</w:t>
      </w:r>
      <w:r>
        <w:t xml:space="preserve"> </w:t>
      </w:r>
      <w:r w:rsidR="00721114">
        <w:t>September 2018</w:t>
      </w:r>
    </w:p>
    <w:p w:rsidR="00E63DC5" w:rsidRDefault="00E63DC5" w:rsidP="00E63DC5">
      <w:pPr>
        <w:pStyle w:val="NormalTNR"/>
      </w:pPr>
      <w:r w:rsidRPr="008B62AA">
        <w:rPr>
          <w:b/>
        </w:rPr>
        <w:t>Participating Programs:</w:t>
      </w:r>
      <w:r>
        <w:t xml:space="preserve"> </w:t>
      </w:r>
      <w:r w:rsidR="00721114">
        <w:t>NSLP, SBP, ASP, CACFP, SFSP</w:t>
      </w:r>
    </w:p>
    <w:p w:rsidR="00E63DC5" w:rsidRPr="00E63DC5" w:rsidRDefault="00E63DC5" w:rsidP="00F70D82">
      <w:pPr>
        <w:pStyle w:val="NormalTNR"/>
        <w:spacing w:after="600"/>
      </w:pPr>
      <w:r w:rsidRPr="008B62AA">
        <w:rPr>
          <w:b/>
        </w:rPr>
        <w:t>Participates in Special Provisions</w:t>
      </w:r>
      <w:r w:rsidR="00332FD0">
        <w:rPr>
          <w:b/>
        </w:rPr>
        <w:t>?</w:t>
      </w:r>
      <w:r w:rsidR="00721114">
        <w:rPr>
          <w:b/>
        </w:rPr>
        <w:t xml:space="preserve"> </w:t>
      </w:r>
      <w:r w:rsidR="00721114" w:rsidRPr="00FB638B">
        <w:t>No</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FB638B">
        <w:rPr>
          <w:sz w:val="28"/>
        </w:rPr>
        <w:t>September 2018</w:t>
      </w:r>
      <w:r w:rsidRPr="00A61E27">
        <w:rPr>
          <w:sz w:val="28"/>
        </w:rPr>
        <w:t>:</w:t>
      </w:r>
      <w:r w:rsidR="00A72169">
        <w:br/>
      </w:r>
    </w:p>
    <w:tbl>
      <w:tblPr>
        <w:tblStyle w:val="TableGrid"/>
        <w:tblW w:w="9535" w:type="dxa"/>
        <w:tblLook w:val="04A0" w:firstRow="1" w:lastRow="0" w:firstColumn="1" w:lastColumn="0" w:noHBand="0" w:noVBand="1"/>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721114" w:rsidP="007B68D3">
            <w:pPr>
              <w:pStyle w:val="NormalTNR"/>
              <w:spacing w:after="0"/>
              <w:rPr>
                <w:lang w:eastAsia="ja-JP"/>
              </w:rPr>
            </w:pPr>
            <w:r>
              <w:rPr>
                <w:lang w:eastAsia="ja-JP"/>
              </w:rPr>
              <w:t>1</w:t>
            </w:r>
            <w:r w:rsidR="00FB638B">
              <w:rPr>
                <w:lang w:eastAsia="ja-JP"/>
              </w:rPr>
              <w:t>,</w:t>
            </w:r>
            <w:r>
              <w:rPr>
                <w:lang w:eastAsia="ja-JP"/>
              </w:rPr>
              <w:t>063</w:t>
            </w:r>
          </w:p>
        </w:tc>
        <w:tc>
          <w:tcPr>
            <w:tcW w:w="1563" w:type="dxa"/>
            <w:shd w:val="clear" w:color="auto" w:fill="auto"/>
            <w:vAlign w:val="center"/>
          </w:tcPr>
          <w:p w:rsidR="006C3986" w:rsidRPr="00690A00" w:rsidRDefault="00466A48" w:rsidP="007B68D3">
            <w:pPr>
              <w:pStyle w:val="NormalTNR"/>
              <w:spacing w:after="0"/>
              <w:rPr>
                <w:lang w:eastAsia="ja-JP"/>
              </w:rPr>
            </w:pPr>
            <w:r>
              <w:rPr>
                <w:lang w:eastAsia="ja-JP"/>
              </w:rPr>
              <w:t>729</w:t>
            </w:r>
          </w:p>
        </w:tc>
        <w:tc>
          <w:tcPr>
            <w:tcW w:w="1027" w:type="dxa"/>
            <w:shd w:val="clear" w:color="auto" w:fill="auto"/>
            <w:vAlign w:val="center"/>
          </w:tcPr>
          <w:p w:rsidR="006C3986" w:rsidRPr="00690A00" w:rsidRDefault="00FB638B" w:rsidP="007B68D3">
            <w:pPr>
              <w:pStyle w:val="NormalTNR"/>
              <w:spacing w:after="0"/>
              <w:rPr>
                <w:lang w:eastAsia="ja-JP"/>
              </w:rPr>
            </w:pPr>
            <w:r>
              <w:rPr>
                <w:lang w:eastAsia="ja-JP"/>
              </w:rPr>
              <w:t>57.22</w:t>
            </w:r>
          </w:p>
        </w:tc>
        <w:tc>
          <w:tcPr>
            <w:tcW w:w="1249" w:type="dxa"/>
            <w:shd w:val="clear" w:color="auto" w:fill="auto"/>
            <w:vAlign w:val="center"/>
          </w:tcPr>
          <w:p w:rsidR="006C3986" w:rsidRPr="00690A00" w:rsidRDefault="00466A48" w:rsidP="007B68D3">
            <w:pPr>
              <w:pStyle w:val="NormalTNR"/>
              <w:spacing w:after="0"/>
              <w:rPr>
                <w:lang w:eastAsia="ja-JP"/>
              </w:rPr>
            </w:pPr>
            <w:r>
              <w:rPr>
                <w:lang w:eastAsia="ja-JP"/>
              </w:rPr>
              <w:t>487</w:t>
            </w:r>
          </w:p>
        </w:tc>
        <w:tc>
          <w:tcPr>
            <w:tcW w:w="1216" w:type="dxa"/>
            <w:shd w:val="clear" w:color="auto" w:fill="auto"/>
            <w:vAlign w:val="center"/>
          </w:tcPr>
          <w:p w:rsidR="006C3986" w:rsidRPr="00690A00" w:rsidRDefault="00FB638B" w:rsidP="007B68D3">
            <w:pPr>
              <w:pStyle w:val="NormalTNR"/>
              <w:spacing w:after="0"/>
              <w:rPr>
                <w:lang w:eastAsia="ja-JP"/>
              </w:rPr>
            </w:pPr>
            <w:r>
              <w:rPr>
                <w:lang w:eastAsia="ja-JP"/>
              </w:rPr>
              <w:t>65.02</w:t>
            </w:r>
          </w:p>
        </w:tc>
        <w:tc>
          <w:tcPr>
            <w:tcW w:w="1860" w:type="dxa"/>
            <w:shd w:val="clear" w:color="auto" w:fill="auto"/>
            <w:vAlign w:val="center"/>
          </w:tcPr>
          <w:p w:rsidR="006C3986" w:rsidRPr="00690A00" w:rsidRDefault="00FB638B" w:rsidP="007B68D3">
            <w:pPr>
              <w:pStyle w:val="NormalTNR"/>
              <w:spacing w:after="0"/>
              <w:rPr>
                <w:lang w:eastAsia="ja-JP"/>
              </w:rPr>
            </w:pPr>
            <w:r>
              <w:rPr>
                <w:lang w:eastAsia="ja-JP"/>
              </w:rPr>
              <w:t>67,992.56</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721114" w:rsidP="007B68D3">
            <w:pPr>
              <w:pStyle w:val="NormalTNR"/>
              <w:spacing w:after="0"/>
              <w:rPr>
                <w:lang w:eastAsia="ja-JP"/>
              </w:rPr>
            </w:pPr>
            <w:r>
              <w:rPr>
                <w:lang w:eastAsia="ja-JP"/>
              </w:rPr>
              <w:t xml:space="preserve">  252</w:t>
            </w:r>
          </w:p>
        </w:tc>
        <w:tc>
          <w:tcPr>
            <w:tcW w:w="1563" w:type="dxa"/>
            <w:shd w:val="clear" w:color="auto" w:fill="auto"/>
            <w:vAlign w:val="center"/>
          </w:tcPr>
          <w:p w:rsidR="006C3986" w:rsidRPr="00690A00" w:rsidRDefault="00466A48" w:rsidP="007B68D3">
            <w:pPr>
              <w:pStyle w:val="NormalTNR"/>
              <w:spacing w:after="0"/>
              <w:rPr>
                <w:lang w:eastAsia="ja-JP"/>
              </w:rPr>
            </w:pPr>
            <w:r>
              <w:rPr>
                <w:lang w:eastAsia="ja-JP"/>
              </w:rPr>
              <w:t>133</w:t>
            </w:r>
          </w:p>
        </w:tc>
        <w:tc>
          <w:tcPr>
            <w:tcW w:w="1027" w:type="dxa"/>
            <w:shd w:val="clear" w:color="auto" w:fill="auto"/>
            <w:vAlign w:val="center"/>
          </w:tcPr>
          <w:p w:rsidR="006C3986" w:rsidRPr="00690A00" w:rsidRDefault="00FB638B" w:rsidP="007B68D3">
            <w:pPr>
              <w:pStyle w:val="NormalTNR"/>
              <w:spacing w:after="0"/>
              <w:rPr>
                <w:lang w:eastAsia="ja-JP"/>
              </w:rPr>
            </w:pPr>
            <w:r>
              <w:rPr>
                <w:lang w:eastAsia="ja-JP"/>
              </w:rPr>
              <w:t>10.44</w:t>
            </w:r>
          </w:p>
        </w:tc>
        <w:tc>
          <w:tcPr>
            <w:tcW w:w="1249" w:type="dxa"/>
            <w:shd w:val="clear" w:color="auto" w:fill="auto"/>
            <w:vAlign w:val="center"/>
          </w:tcPr>
          <w:p w:rsidR="006C3986" w:rsidRPr="00690A00" w:rsidRDefault="00466A48" w:rsidP="007B68D3">
            <w:pPr>
              <w:pStyle w:val="NormalTNR"/>
              <w:spacing w:after="0"/>
              <w:rPr>
                <w:lang w:eastAsia="ja-JP"/>
              </w:rPr>
            </w:pPr>
            <w:r>
              <w:rPr>
                <w:lang w:eastAsia="ja-JP"/>
              </w:rPr>
              <w:t xml:space="preserve">  72</w:t>
            </w:r>
          </w:p>
        </w:tc>
        <w:tc>
          <w:tcPr>
            <w:tcW w:w="1216" w:type="dxa"/>
            <w:shd w:val="clear" w:color="auto" w:fill="auto"/>
            <w:vAlign w:val="center"/>
          </w:tcPr>
          <w:p w:rsidR="006C3986" w:rsidRPr="00690A00" w:rsidRDefault="00FB638B" w:rsidP="007B68D3">
            <w:pPr>
              <w:pStyle w:val="NormalTNR"/>
              <w:spacing w:after="0"/>
              <w:rPr>
                <w:lang w:eastAsia="ja-JP"/>
              </w:rPr>
            </w:pPr>
            <w:r>
              <w:rPr>
                <w:lang w:eastAsia="ja-JP"/>
              </w:rPr>
              <w:t xml:space="preserve">  9.61</w:t>
            </w:r>
          </w:p>
        </w:tc>
        <w:tc>
          <w:tcPr>
            <w:tcW w:w="1860" w:type="dxa"/>
            <w:shd w:val="clear" w:color="auto" w:fill="auto"/>
            <w:vAlign w:val="center"/>
          </w:tcPr>
          <w:p w:rsidR="006C3986" w:rsidRPr="00690A00" w:rsidRDefault="008322AF" w:rsidP="007B68D3">
            <w:pPr>
              <w:pStyle w:val="NormalTNR"/>
              <w:spacing w:after="0"/>
              <w:rPr>
                <w:lang w:eastAsia="ja-JP"/>
              </w:rPr>
            </w:pPr>
            <w:r>
              <w:rPr>
                <w:lang w:eastAsia="ja-JP"/>
              </w:rPr>
              <w:t xml:space="preserve">  9,574.44</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721114" w:rsidP="007B68D3">
            <w:pPr>
              <w:pStyle w:val="NormalTNR"/>
              <w:spacing w:after="0"/>
              <w:rPr>
                <w:lang w:eastAsia="ja-JP"/>
              </w:rPr>
            </w:pPr>
            <w:r>
              <w:rPr>
                <w:lang w:eastAsia="ja-JP"/>
              </w:rPr>
              <w:t>1</w:t>
            </w:r>
            <w:r w:rsidR="00FB638B">
              <w:rPr>
                <w:lang w:eastAsia="ja-JP"/>
              </w:rPr>
              <w:t>,</w:t>
            </w:r>
            <w:r>
              <w:rPr>
                <w:lang w:eastAsia="ja-JP"/>
              </w:rPr>
              <w:t>120</w:t>
            </w:r>
          </w:p>
        </w:tc>
        <w:tc>
          <w:tcPr>
            <w:tcW w:w="1563" w:type="dxa"/>
            <w:shd w:val="clear" w:color="auto" w:fill="auto"/>
            <w:vAlign w:val="center"/>
          </w:tcPr>
          <w:p w:rsidR="006C3986" w:rsidRPr="00690A00" w:rsidRDefault="00466A48" w:rsidP="007B68D3">
            <w:pPr>
              <w:pStyle w:val="NormalTNR"/>
              <w:spacing w:after="0"/>
              <w:rPr>
                <w:lang w:eastAsia="ja-JP"/>
              </w:rPr>
            </w:pPr>
            <w:r>
              <w:rPr>
                <w:lang w:eastAsia="ja-JP"/>
              </w:rPr>
              <w:t>412</w:t>
            </w:r>
          </w:p>
        </w:tc>
        <w:tc>
          <w:tcPr>
            <w:tcW w:w="1027" w:type="dxa"/>
            <w:shd w:val="clear" w:color="auto" w:fill="auto"/>
            <w:vAlign w:val="center"/>
          </w:tcPr>
          <w:p w:rsidR="006C3986" w:rsidRPr="00690A00" w:rsidRDefault="00466A48" w:rsidP="007B68D3">
            <w:pPr>
              <w:pStyle w:val="NormalTNR"/>
              <w:spacing w:after="0"/>
              <w:rPr>
                <w:lang w:eastAsia="ja-JP"/>
              </w:rPr>
            </w:pPr>
            <w:r>
              <w:rPr>
                <w:lang w:eastAsia="ja-JP"/>
              </w:rPr>
              <w:t>32.34%</w:t>
            </w:r>
          </w:p>
        </w:tc>
        <w:tc>
          <w:tcPr>
            <w:tcW w:w="1249" w:type="dxa"/>
            <w:shd w:val="clear" w:color="auto" w:fill="auto"/>
            <w:vAlign w:val="center"/>
          </w:tcPr>
          <w:p w:rsidR="006C3986" w:rsidRPr="00690A00" w:rsidRDefault="00466A48" w:rsidP="007B68D3">
            <w:pPr>
              <w:pStyle w:val="NormalTNR"/>
              <w:spacing w:after="0"/>
              <w:rPr>
                <w:lang w:eastAsia="ja-JP"/>
              </w:rPr>
            </w:pPr>
            <w:r>
              <w:rPr>
                <w:lang w:eastAsia="ja-JP"/>
              </w:rPr>
              <w:t>190</w:t>
            </w:r>
          </w:p>
        </w:tc>
        <w:tc>
          <w:tcPr>
            <w:tcW w:w="1216" w:type="dxa"/>
            <w:shd w:val="clear" w:color="auto" w:fill="auto"/>
            <w:vAlign w:val="center"/>
          </w:tcPr>
          <w:p w:rsidR="006C3986" w:rsidRPr="00690A00" w:rsidRDefault="00FB638B" w:rsidP="007B68D3">
            <w:pPr>
              <w:pStyle w:val="NormalTNR"/>
              <w:spacing w:after="0"/>
              <w:rPr>
                <w:lang w:eastAsia="ja-JP"/>
              </w:rPr>
            </w:pPr>
            <w:r>
              <w:rPr>
                <w:lang w:eastAsia="ja-JP"/>
              </w:rPr>
              <w:t>25.37</w:t>
            </w:r>
          </w:p>
        </w:tc>
        <w:tc>
          <w:tcPr>
            <w:tcW w:w="1860" w:type="dxa"/>
            <w:shd w:val="clear" w:color="auto" w:fill="auto"/>
            <w:vAlign w:val="center"/>
          </w:tcPr>
          <w:p w:rsidR="006C3986" w:rsidRPr="00690A00" w:rsidRDefault="008322AF" w:rsidP="007B68D3">
            <w:pPr>
              <w:pStyle w:val="NormalTNR"/>
              <w:spacing w:after="0"/>
              <w:rPr>
                <w:lang w:eastAsia="ja-JP"/>
              </w:rPr>
            </w:pPr>
            <w:r>
              <w:rPr>
                <w:lang w:eastAsia="ja-JP"/>
              </w:rPr>
              <w:t xml:space="preserve">  3,957.79</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721114" w:rsidP="007B68D3">
            <w:pPr>
              <w:pStyle w:val="NormalTNR"/>
              <w:spacing w:after="0"/>
              <w:rPr>
                <w:b/>
                <w:lang w:eastAsia="ja-JP"/>
              </w:rPr>
            </w:pPr>
            <w:r>
              <w:rPr>
                <w:b/>
                <w:lang w:eastAsia="ja-JP"/>
              </w:rPr>
              <w:t>2</w:t>
            </w:r>
            <w:r w:rsidR="00FB638B">
              <w:rPr>
                <w:b/>
                <w:lang w:eastAsia="ja-JP"/>
              </w:rPr>
              <w:t>,</w:t>
            </w:r>
            <w:r>
              <w:rPr>
                <w:b/>
                <w:lang w:eastAsia="ja-JP"/>
              </w:rPr>
              <w:t>435</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FB638B" w:rsidP="007B68D3">
            <w:pPr>
              <w:pStyle w:val="NormalTNR"/>
              <w:spacing w:after="0"/>
              <w:rPr>
                <w:b/>
                <w:lang w:eastAsia="ja-JP"/>
              </w:rPr>
            </w:pPr>
            <w:r>
              <w:rPr>
                <w:b/>
                <w:lang w:eastAsia="ja-JP"/>
              </w:rPr>
              <w:t>81,524.79</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Pr>
      <w:tblGrid>
        <w:gridCol w:w="4675"/>
        <w:gridCol w:w="4677"/>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FB638B"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FB638B"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FB638B"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F64C00" w:rsidRDefault="00F64C00" w:rsidP="00A61E27">
      <w:pPr>
        <w:pStyle w:val="Heading3"/>
        <w:spacing w:before="360" w:after="240"/>
        <w:rPr>
          <w:rFonts w:ascii="Times New Roman" w:hAnsi="Times New Roman" w:cs="Times New Roman"/>
          <w:b/>
          <w:color w:val="auto"/>
        </w:rPr>
      </w:pPr>
    </w:p>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FB638B"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FB638B"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FB638B"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F64C00" w:rsidRDefault="00F64C00" w:rsidP="00A61E27">
      <w:pPr>
        <w:pStyle w:val="Heading3"/>
        <w:spacing w:before="360" w:after="240"/>
        <w:rPr>
          <w:rFonts w:ascii="Times New Roman" w:hAnsi="Times New Roman" w:cs="Times New Roman"/>
          <w:b/>
          <w:color w:val="auto"/>
        </w:rPr>
      </w:pPr>
    </w:p>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FB638B" w:rsidRDefault="004673E9" w:rsidP="00BC0516">
            <w:pPr>
              <w:rPr>
                <w:rFonts w:ascii="Times New Roman" w:eastAsia="Times New Roman" w:hAnsi="Times New Roman"/>
                <w:b/>
                <w:color w:val="005E20"/>
                <w:szCs w:val="16"/>
                <w:lang w:eastAsia="ja-JP"/>
              </w:rPr>
            </w:pPr>
            <w:r>
              <w:rPr>
                <w:noProof/>
              </w:rPr>
              <w:drawing>
                <wp:inline distT="0" distB="0" distL="0" distR="0">
                  <wp:extent cx="190500" cy="190500"/>
                  <wp:effectExtent l="0" t="0" r="0" b="0"/>
                  <wp:docPr id="8" name="Picture 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notes no findin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lastRenderedPageBreak/>
              <w:t>Local School Wellness Policy</w:t>
            </w:r>
          </w:p>
        </w:tc>
        <w:tc>
          <w:tcPr>
            <w:tcW w:w="4669" w:type="dxa"/>
            <w:vAlign w:val="center"/>
          </w:tcPr>
          <w:p w:rsidR="006475A6" w:rsidRPr="00FB638B"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FB638B"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FB638B"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21.75pt;height:21.75pt;visibility:visible;mso-wrap-style:square" o:bullet="t">
        <v:imagedata r:id="rId1" o:title=""/>
      </v:shape>
    </w:pict>
  </w:numPicBullet>
  <w:numPicBullet w:numPicBulletId="1">
    <w:pict>
      <v:shape id="_x0000_i1167" type="#_x0000_t75" alt="Denotes no findings" style="width:15pt;height:15pt;visibility:visible;mso-wrap-style:square" o:bullet="t">
        <v:imagedata r:id="rId2" o:title="Denotes no findings"/>
      </v:shape>
    </w:pict>
  </w:numPicBullet>
  <w:numPicBullet w:numPicBulletId="2">
    <w:pict>
      <v:shape id="_x0000_i1168" type="#_x0000_t75" alt="Denotes findings identified" style="width:21.75pt;height:21.75pt;visibility:visible;mso-wrap-style:square" o:bullet="t">
        <v:imagedata r:id="rId3" o:title="Denotes findings identified"/>
      </v:shape>
    </w:pict>
  </w:numPicBullet>
  <w:numPicBullet w:numPicBulletId="3">
    <w:pict>
      <v:shape id="_x0000_i1169" type="#_x0000_t75" style="width:15.75pt;height:15.75pt;visibility:visible;mso-wrap-style:square" o:bullet="t">
        <v:imagedata r:id="rId4" o:title=""/>
      </v:shape>
    </w:pict>
  </w:numPicBullet>
  <w:numPicBullet w:numPicBulletId="4">
    <w:pict>
      <v:shape id="_x0000_i1170" type="#_x0000_t75" style="width:15pt;height:15pt;visibility:visible;mso-wrap-style:square" o:bullet="t">
        <v:imagedata r:id="rId5" o:title=""/>
      </v:shape>
    </w:pict>
  </w:numPicBullet>
  <w:numPicBullet w:numPicBulletId="5">
    <w:pict>
      <v:shape id="_x0000_i1171" type="#_x0000_t75" alt="Denotes no findings" style="width:15pt;height:15pt;visibility:visible;mso-wrap-style:square" o:bullet="t">
        <v:imagedata r:id="rId6" o:title="Denotes no findings"/>
      </v:shape>
    </w:pict>
  </w:numPicBullet>
  <w:numPicBullet w:numPicBulletId="6">
    <w:pict>
      <v:shape id="_x0000_i1172" type="#_x0000_t75" style="width:15pt;height:15pt;visibility:visible;mso-wrap-style:square" o:bullet="t">
        <v:imagedata r:id="rId7" o:title=""/>
      </v:shape>
    </w:pict>
  </w:numPicBullet>
  <w:abstractNum w:abstractNumId="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70"/>
    <w:rsid w:val="00044384"/>
    <w:rsid w:val="00097AFF"/>
    <w:rsid w:val="000B155A"/>
    <w:rsid w:val="000C309B"/>
    <w:rsid w:val="000C4495"/>
    <w:rsid w:val="0011718C"/>
    <w:rsid w:val="001B0603"/>
    <w:rsid w:val="001F75BE"/>
    <w:rsid w:val="002032A0"/>
    <w:rsid w:val="00217886"/>
    <w:rsid w:val="00260CA2"/>
    <w:rsid w:val="00265D36"/>
    <w:rsid w:val="00274A66"/>
    <w:rsid w:val="002D2FED"/>
    <w:rsid w:val="002D4167"/>
    <w:rsid w:val="0031611E"/>
    <w:rsid w:val="0032739D"/>
    <w:rsid w:val="00332FD0"/>
    <w:rsid w:val="003507AB"/>
    <w:rsid w:val="003B0C78"/>
    <w:rsid w:val="003C5AEE"/>
    <w:rsid w:val="00464DF8"/>
    <w:rsid w:val="00466A48"/>
    <w:rsid w:val="004673E9"/>
    <w:rsid w:val="004A5012"/>
    <w:rsid w:val="004C04E4"/>
    <w:rsid w:val="004C0806"/>
    <w:rsid w:val="004C18F7"/>
    <w:rsid w:val="004D45AD"/>
    <w:rsid w:val="005174CB"/>
    <w:rsid w:val="00527106"/>
    <w:rsid w:val="00576EFE"/>
    <w:rsid w:val="00593DA0"/>
    <w:rsid w:val="005C2719"/>
    <w:rsid w:val="005E617A"/>
    <w:rsid w:val="005E72E8"/>
    <w:rsid w:val="006070B4"/>
    <w:rsid w:val="00620948"/>
    <w:rsid w:val="006475A6"/>
    <w:rsid w:val="006555AF"/>
    <w:rsid w:val="00690A00"/>
    <w:rsid w:val="00694D91"/>
    <w:rsid w:val="006C3986"/>
    <w:rsid w:val="006D0B91"/>
    <w:rsid w:val="006E68D8"/>
    <w:rsid w:val="00705097"/>
    <w:rsid w:val="00721114"/>
    <w:rsid w:val="0073582B"/>
    <w:rsid w:val="00767813"/>
    <w:rsid w:val="007B68D3"/>
    <w:rsid w:val="007D26AA"/>
    <w:rsid w:val="007D3AFD"/>
    <w:rsid w:val="007F1384"/>
    <w:rsid w:val="00806AE0"/>
    <w:rsid w:val="008322AF"/>
    <w:rsid w:val="00846C3D"/>
    <w:rsid w:val="0086296C"/>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62C03"/>
    <w:rsid w:val="00BC0516"/>
    <w:rsid w:val="00C450BF"/>
    <w:rsid w:val="00C55670"/>
    <w:rsid w:val="00C75889"/>
    <w:rsid w:val="00CC5420"/>
    <w:rsid w:val="00D8766D"/>
    <w:rsid w:val="00DA58C7"/>
    <w:rsid w:val="00DB68F3"/>
    <w:rsid w:val="00DD07D9"/>
    <w:rsid w:val="00DE1159"/>
    <w:rsid w:val="00DF70F6"/>
    <w:rsid w:val="00E63DC5"/>
    <w:rsid w:val="00E71C1B"/>
    <w:rsid w:val="00E74FFA"/>
    <w:rsid w:val="00EA0AD0"/>
    <w:rsid w:val="00EB6A3E"/>
    <w:rsid w:val="00EC4887"/>
    <w:rsid w:val="00EC4C76"/>
    <w:rsid w:val="00EF1C86"/>
    <w:rsid w:val="00EF640A"/>
    <w:rsid w:val="00F04C94"/>
    <w:rsid w:val="00F15193"/>
    <w:rsid w:val="00F205EF"/>
    <w:rsid w:val="00F32B5F"/>
    <w:rsid w:val="00F570B2"/>
    <w:rsid w:val="00F60239"/>
    <w:rsid w:val="00F64C00"/>
    <w:rsid w:val="00F70D82"/>
    <w:rsid w:val="00F93689"/>
    <w:rsid w:val="00FB055E"/>
    <w:rsid w:val="00FB638B"/>
    <w:rsid w:val="00FC03D3"/>
    <w:rsid w:val="00FE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1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8.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3706-6317-428D-A7F7-A787A284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giles-co-fpar-summary-2018</vt:lpstr>
    </vt:vector>
  </TitlesOfParts>
  <Company>Virginia IT Infrastructure Partnership</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giles-county-fpar-summary-2018</dc:title>
  <dc:creator>DOE - NUTRITION (DOE)</dc:creator>
  <cp:lastModifiedBy>Judkins, LaDonna (DOE)</cp:lastModifiedBy>
  <cp:revision>8</cp:revision>
  <cp:lastPrinted>2018-03-27T12:01:00Z</cp:lastPrinted>
  <dcterms:created xsi:type="dcterms:W3CDTF">2019-02-14T14:20:00Z</dcterms:created>
  <dcterms:modified xsi:type="dcterms:W3CDTF">2019-02-21T17:00:00Z</dcterms:modified>
</cp:coreProperties>
</file>