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bookmarkStart w:id="0" w:name="_GoBack"/>
      <w:bookmarkEnd w:id="0"/>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8A64B9">
        <w:t xml:space="preserve"> Elijah House Academy </w:t>
      </w:r>
    </w:p>
    <w:p w:rsidR="00E63DC5" w:rsidRDefault="00E63DC5" w:rsidP="00E63DC5">
      <w:pPr>
        <w:pStyle w:val="NormalTNR"/>
      </w:pPr>
      <w:r w:rsidRPr="008B62AA">
        <w:rPr>
          <w:b/>
        </w:rPr>
        <w:t>Report Publication Date:</w:t>
      </w:r>
      <w:r>
        <w:t xml:space="preserve"> </w:t>
      </w:r>
      <w:r w:rsidR="00A547A6">
        <w:t>March 5</w:t>
      </w:r>
      <w:r w:rsidR="001B39A1">
        <w:t>, 2019</w:t>
      </w:r>
    </w:p>
    <w:p w:rsidR="00E63DC5" w:rsidRDefault="00E63DC5" w:rsidP="00E63DC5">
      <w:pPr>
        <w:pStyle w:val="NormalTNR"/>
      </w:pPr>
      <w:r w:rsidRPr="008B62AA">
        <w:rPr>
          <w:b/>
        </w:rPr>
        <w:t>Administrative Review Dates:</w:t>
      </w:r>
      <w:r>
        <w:t xml:space="preserve"> </w:t>
      </w:r>
      <w:r w:rsidR="008A64B9">
        <w:t>October 30 – November 1, 2018</w:t>
      </w:r>
    </w:p>
    <w:p w:rsidR="00E63DC5" w:rsidRDefault="00E63DC5" w:rsidP="00E63DC5">
      <w:pPr>
        <w:pStyle w:val="NormalTNR"/>
      </w:pPr>
      <w:r w:rsidRPr="008B62AA">
        <w:rPr>
          <w:b/>
        </w:rPr>
        <w:t>Review Month and Year:</w:t>
      </w:r>
      <w:r>
        <w:t xml:space="preserve"> </w:t>
      </w:r>
      <w:r w:rsidR="008A64B9">
        <w:t>September 2018</w:t>
      </w:r>
    </w:p>
    <w:p w:rsidR="00E63DC5" w:rsidRDefault="00E63DC5" w:rsidP="00E63DC5">
      <w:pPr>
        <w:pStyle w:val="NormalTNR"/>
      </w:pPr>
      <w:r w:rsidRPr="008B62AA">
        <w:rPr>
          <w:b/>
        </w:rPr>
        <w:t>Participating Programs:</w:t>
      </w:r>
      <w:r>
        <w:t xml:space="preserve"> </w:t>
      </w:r>
      <w:r w:rsidR="008A64B9">
        <w:t>NSLP, SBP</w:t>
      </w:r>
    </w:p>
    <w:p w:rsidR="00E63DC5" w:rsidRPr="00E63DC5" w:rsidRDefault="00E63DC5" w:rsidP="00F70D82">
      <w:pPr>
        <w:pStyle w:val="NormalTNR"/>
        <w:spacing w:after="600"/>
      </w:pPr>
      <w:r w:rsidRPr="008B62AA">
        <w:rPr>
          <w:b/>
        </w:rPr>
        <w:t>Participates in Special Provisions?</w:t>
      </w:r>
      <w:r w:rsidR="00A547A6">
        <w:t xml:space="preserve"> No </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1B39A1">
        <w:rPr>
          <w:sz w:val="28"/>
        </w:rPr>
        <w:t>September 2018</w:t>
      </w:r>
      <w:r w:rsidRPr="00A61E27">
        <w:rPr>
          <w:sz w:val="28"/>
        </w:rPr>
        <w:t>:</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8A64B9" w:rsidP="008A64B9">
            <w:pPr>
              <w:pStyle w:val="NormalTNR"/>
              <w:spacing w:after="0"/>
              <w:rPr>
                <w:lang w:eastAsia="ja-JP"/>
              </w:rPr>
            </w:pPr>
            <w:r>
              <w:rPr>
                <w:lang w:eastAsia="ja-JP"/>
              </w:rPr>
              <w:t>100</w:t>
            </w:r>
          </w:p>
        </w:tc>
        <w:tc>
          <w:tcPr>
            <w:tcW w:w="1563" w:type="dxa"/>
            <w:shd w:val="clear" w:color="auto" w:fill="auto"/>
            <w:vAlign w:val="center"/>
          </w:tcPr>
          <w:p w:rsidR="006C3986" w:rsidRPr="00690A00" w:rsidRDefault="008A64B9" w:rsidP="007B68D3">
            <w:pPr>
              <w:pStyle w:val="NormalTNR"/>
              <w:spacing w:after="0"/>
              <w:rPr>
                <w:lang w:eastAsia="ja-JP"/>
              </w:rPr>
            </w:pPr>
            <w:r>
              <w:rPr>
                <w:lang w:eastAsia="ja-JP"/>
              </w:rPr>
              <w:t>57</w:t>
            </w:r>
          </w:p>
        </w:tc>
        <w:tc>
          <w:tcPr>
            <w:tcW w:w="1027" w:type="dxa"/>
            <w:shd w:val="clear" w:color="auto" w:fill="auto"/>
            <w:vAlign w:val="center"/>
          </w:tcPr>
          <w:p w:rsidR="006C3986" w:rsidRPr="00690A00" w:rsidRDefault="008A64B9" w:rsidP="007B68D3">
            <w:pPr>
              <w:pStyle w:val="NormalTNR"/>
              <w:spacing w:after="0"/>
              <w:rPr>
                <w:lang w:eastAsia="ja-JP"/>
              </w:rPr>
            </w:pPr>
            <w:r>
              <w:rPr>
                <w:lang w:eastAsia="ja-JP"/>
              </w:rPr>
              <w:t>82.61</w:t>
            </w:r>
          </w:p>
        </w:tc>
        <w:tc>
          <w:tcPr>
            <w:tcW w:w="1249" w:type="dxa"/>
            <w:shd w:val="clear" w:color="auto" w:fill="auto"/>
            <w:vAlign w:val="center"/>
          </w:tcPr>
          <w:p w:rsidR="006C3986" w:rsidRPr="00690A00" w:rsidRDefault="008A64B9" w:rsidP="008A64B9">
            <w:pPr>
              <w:pStyle w:val="NormalTNR"/>
              <w:spacing w:after="0"/>
              <w:rPr>
                <w:lang w:eastAsia="ja-JP"/>
              </w:rPr>
            </w:pPr>
            <w:r>
              <w:rPr>
                <w:lang w:eastAsia="ja-JP"/>
              </w:rPr>
              <w:t>34</w:t>
            </w:r>
          </w:p>
        </w:tc>
        <w:tc>
          <w:tcPr>
            <w:tcW w:w="1216" w:type="dxa"/>
            <w:shd w:val="clear" w:color="auto" w:fill="auto"/>
            <w:vAlign w:val="center"/>
          </w:tcPr>
          <w:p w:rsidR="006C3986" w:rsidRPr="00690A00" w:rsidRDefault="008A64B9" w:rsidP="007B68D3">
            <w:pPr>
              <w:pStyle w:val="NormalTNR"/>
              <w:spacing w:after="0"/>
              <w:rPr>
                <w:lang w:eastAsia="ja-JP"/>
              </w:rPr>
            </w:pPr>
            <w:r>
              <w:rPr>
                <w:lang w:eastAsia="ja-JP"/>
              </w:rPr>
              <w:t>85.00</w:t>
            </w:r>
          </w:p>
        </w:tc>
        <w:tc>
          <w:tcPr>
            <w:tcW w:w="1860" w:type="dxa"/>
            <w:shd w:val="clear" w:color="auto" w:fill="auto"/>
            <w:vAlign w:val="center"/>
          </w:tcPr>
          <w:p w:rsidR="006C3986" w:rsidRPr="00690A00" w:rsidRDefault="008A64B9" w:rsidP="008A64B9">
            <w:pPr>
              <w:pStyle w:val="NormalTNR"/>
              <w:spacing w:after="0"/>
              <w:rPr>
                <w:lang w:eastAsia="ja-JP"/>
              </w:rPr>
            </w:pPr>
            <w:r>
              <w:rPr>
                <w:lang w:eastAsia="ja-JP"/>
              </w:rPr>
              <w:t>4,812.44</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8A64B9" w:rsidP="007B68D3">
            <w:pPr>
              <w:pStyle w:val="NormalTNR"/>
              <w:spacing w:after="0"/>
              <w:rPr>
                <w:lang w:eastAsia="ja-JP"/>
              </w:rPr>
            </w:pPr>
            <w:r>
              <w:rPr>
                <w:lang w:eastAsia="ja-JP"/>
              </w:rPr>
              <w:t>5</w:t>
            </w:r>
          </w:p>
        </w:tc>
        <w:tc>
          <w:tcPr>
            <w:tcW w:w="1563" w:type="dxa"/>
            <w:shd w:val="clear" w:color="auto" w:fill="auto"/>
            <w:vAlign w:val="center"/>
          </w:tcPr>
          <w:p w:rsidR="006C3986" w:rsidRPr="00690A00" w:rsidRDefault="008A64B9" w:rsidP="007B68D3">
            <w:pPr>
              <w:pStyle w:val="NormalTNR"/>
              <w:spacing w:after="0"/>
              <w:rPr>
                <w:lang w:eastAsia="ja-JP"/>
              </w:rPr>
            </w:pPr>
            <w:r>
              <w:rPr>
                <w:lang w:eastAsia="ja-JP"/>
              </w:rPr>
              <w:t>4</w:t>
            </w:r>
          </w:p>
        </w:tc>
        <w:tc>
          <w:tcPr>
            <w:tcW w:w="1027" w:type="dxa"/>
            <w:shd w:val="clear" w:color="auto" w:fill="auto"/>
            <w:vAlign w:val="center"/>
          </w:tcPr>
          <w:p w:rsidR="006C3986" w:rsidRPr="00690A00" w:rsidRDefault="008A64B9" w:rsidP="007B68D3">
            <w:pPr>
              <w:pStyle w:val="NormalTNR"/>
              <w:spacing w:after="0"/>
              <w:rPr>
                <w:lang w:eastAsia="ja-JP"/>
              </w:rPr>
            </w:pPr>
            <w:r>
              <w:rPr>
                <w:lang w:eastAsia="ja-JP"/>
              </w:rPr>
              <w:t>5.80</w:t>
            </w:r>
          </w:p>
        </w:tc>
        <w:tc>
          <w:tcPr>
            <w:tcW w:w="1249" w:type="dxa"/>
            <w:shd w:val="clear" w:color="auto" w:fill="auto"/>
            <w:vAlign w:val="center"/>
          </w:tcPr>
          <w:p w:rsidR="006C3986" w:rsidRPr="00690A00" w:rsidRDefault="008A64B9" w:rsidP="007B68D3">
            <w:pPr>
              <w:pStyle w:val="NormalTNR"/>
              <w:spacing w:after="0"/>
              <w:rPr>
                <w:lang w:eastAsia="ja-JP"/>
              </w:rPr>
            </w:pPr>
            <w:r>
              <w:rPr>
                <w:lang w:eastAsia="ja-JP"/>
              </w:rPr>
              <w:t>2</w:t>
            </w:r>
          </w:p>
        </w:tc>
        <w:tc>
          <w:tcPr>
            <w:tcW w:w="1216" w:type="dxa"/>
            <w:shd w:val="clear" w:color="auto" w:fill="auto"/>
            <w:vAlign w:val="center"/>
          </w:tcPr>
          <w:p w:rsidR="006C3986" w:rsidRPr="00690A00" w:rsidRDefault="008A64B9" w:rsidP="007B68D3">
            <w:pPr>
              <w:pStyle w:val="NormalTNR"/>
              <w:spacing w:after="0"/>
              <w:rPr>
                <w:lang w:eastAsia="ja-JP"/>
              </w:rPr>
            </w:pPr>
            <w:r>
              <w:rPr>
                <w:lang w:eastAsia="ja-JP"/>
              </w:rPr>
              <w:t>5.00</w:t>
            </w:r>
          </w:p>
        </w:tc>
        <w:tc>
          <w:tcPr>
            <w:tcW w:w="1860" w:type="dxa"/>
            <w:shd w:val="clear" w:color="auto" w:fill="auto"/>
            <w:vAlign w:val="center"/>
          </w:tcPr>
          <w:p w:rsidR="006C3986" w:rsidRPr="00690A00" w:rsidRDefault="0063352C" w:rsidP="007B68D3">
            <w:pPr>
              <w:pStyle w:val="NormalTNR"/>
              <w:spacing w:after="0"/>
              <w:rPr>
                <w:lang w:eastAsia="ja-JP"/>
              </w:rPr>
            </w:pPr>
            <w:r>
              <w:rPr>
                <w:lang w:eastAsia="ja-JP"/>
              </w:rPr>
              <w:t>302.22</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8A64B9" w:rsidP="007B68D3">
            <w:pPr>
              <w:pStyle w:val="NormalTNR"/>
              <w:spacing w:after="0"/>
              <w:rPr>
                <w:lang w:eastAsia="ja-JP"/>
              </w:rPr>
            </w:pPr>
            <w:r>
              <w:rPr>
                <w:lang w:eastAsia="ja-JP"/>
              </w:rPr>
              <w:t>22</w:t>
            </w:r>
          </w:p>
        </w:tc>
        <w:tc>
          <w:tcPr>
            <w:tcW w:w="1563" w:type="dxa"/>
            <w:shd w:val="clear" w:color="auto" w:fill="auto"/>
            <w:vAlign w:val="center"/>
          </w:tcPr>
          <w:p w:rsidR="006C3986" w:rsidRPr="00690A00" w:rsidRDefault="008A64B9" w:rsidP="007B68D3">
            <w:pPr>
              <w:pStyle w:val="NormalTNR"/>
              <w:spacing w:after="0"/>
              <w:rPr>
                <w:lang w:eastAsia="ja-JP"/>
              </w:rPr>
            </w:pPr>
            <w:r>
              <w:rPr>
                <w:lang w:eastAsia="ja-JP"/>
              </w:rPr>
              <w:t>8</w:t>
            </w:r>
          </w:p>
        </w:tc>
        <w:tc>
          <w:tcPr>
            <w:tcW w:w="1027" w:type="dxa"/>
            <w:shd w:val="clear" w:color="auto" w:fill="auto"/>
            <w:vAlign w:val="center"/>
          </w:tcPr>
          <w:p w:rsidR="006C3986" w:rsidRPr="00690A00" w:rsidRDefault="008A64B9" w:rsidP="007B68D3">
            <w:pPr>
              <w:pStyle w:val="NormalTNR"/>
              <w:spacing w:after="0"/>
              <w:rPr>
                <w:lang w:eastAsia="ja-JP"/>
              </w:rPr>
            </w:pPr>
            <w:r>
              <w:rPr>
                <w:lang w:eastAsia="ja-JP"/>
              </w:rPr>
              <w:t>11.59</w:t>
            </w:r>
          </w:p>
        </w:tc>
        <w:tc>
          <w:tcPr>
            <w:tcW w:w="1249" w:type="dxa"/>
            <w:shd w:val="clear" w:color="auto" w:fill="auto"/>
            <w:vAlign w:val="center"/>
          </w:tcPr>
          <w:p w:rsidR="006C3986" w:rsidRPr="00690A00" w:rsidRDefault="008A64B9" w:rsidP="007B68D3">
            <w:pPr>
              <w:pStyle w:val="NormalTNR"/>
              <w:spacing w:after="0"/>
              <w:rPr>
                <w:lang w:eastAsia="ja-JP"/>
              </w:rPr>
            </w:pPr>
            <w:r>
              <w:rPr>
                <w:lang w:eastAsia="ja-JP"/>
              </w:rPr>
              <w:t>4</w:t>
            </w:r>
          </w:p>
        </w:tc>
        <w:tc>
          <w:tcPr>
            <w:tcW w:w="1216" w:type="dxa"/>
            <w:shd w:val="clear" w:color="auto" w:fill="auto"/>
            <w:vAlign w:val="center"/>
          </w:tcPr>
          <w:p w:rsidR="006C3986" w:rsidRPr="00690A00" w:rsidRDefault="008A64B9" w:rsidP="008A64B9">
            <w:pPr>
              <w:pStyle w:val="NormalTNR"/>
              <w:spacing w:after="0"/>
              <w:rPr>
                <w:lang w:eastAsia="ja-JP"/>
              </w:rPr>
            </w:pPr>
            <w:r>
              <w:rPr>
                <w:lang w:eastAsia="ja-JP"/>
              </w:rPr>
              <w:t>10.00</w:t>
            </w:r>
          </w:p>
        </w:tc>
        <w:tc>
          <w:tcPr>
            <w:tcW w:w="1860" w:type="dxa"/>
            <w:shd w:val="clear" w:color="auto" w:fill="auto"/>
            <w:vAlign w:val="center"/>
          </w:tcPr>
          <w:p w:rsidR="006C3986" w:rsidRPr="00690A00" w:rsidRDefault="008A64B9" w:rsidP="007B68D3">
            <w:pPr>
              <w:pStyle w:val="NormalTNR"/>
              <w:spacing w:after="0"/>
              <w:rPr>
                <w:lang w:eastAsia="ja-JP"/>
              </w:rPr>
            </w:pPr>
            <w:r>
              <w:rPr>
                <w:lang w:eastAsia="ja-JP"/>
              </w:rPr>
              <w:t>87.43</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8A64B9" w:rsidP="007B68D3">
            <w:pPr>
              <w:pStyle w:val="NormalTNR"/>
              <w:spacing w:after="0"/>
              <w:rPr>
                <w:b/>
                <w:lang w:eastAsia="ja-JP"/>
              </w:rPr>
            </w:pPr>
            <w:r>
              <w:rPr>
                <w:b/>
                <w:lang w:eastAsia="ja-JP"/>
              </w:rPr>
              <w:t>127</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63352C" w:rsidP="007B68D3">
            <w:pPr>
              <w:pStyle w:val="NormalTNR"/>
              <w:spacing w:after="0"/>
              <w:rPr>
                <w:b/>
                <w:lang w:eastAsia="ja-JP"/>
              </w:rPr>
            </w:pPr>
            <w:r>
              <w:rPr>
                <w:b/>
                <w:lang w:eastAsia="ja-JP"/>
              </w:rPr>
              <w:t>5,202.09</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1B39A1" w:rsidRDefault="002032A0" w:rsidP="008A64B9">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1B39A1" w:rsidRDefault="002032A0" w:rsidP="008A64B9">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7D3AFD" w:rsidRDefault="002032A0" w:rsidP="008A64B9">
            <w:pPr>
              <w:spacing w:before="0"/>
              <w:rPr>
                <w:rFonts w:ascii="Times New Roman" w:hAnsi="Times New Roman"/>
                <w:szCs w:val="16"/>
              </w:rPr>
            </w:pPr>
            <w:r>
              <w:rPr>
                <w:rFonts w:ascii="Times New Roman" w:eastAsia="Times New Roman" w:hAnsi="Times New Roman"/>
                <w:b/>
                <w:color w:val="005E20"/>
                <w:szCs w:val="16"/>
                <w:lang w:eastAsia="ja-JP"/>
              </w:rPr>
              <w:t xml:space="preserve"> </w:t>
            </w:r>
            <w:r w:rsidR="00EF1C86">
              <w:rPr>
                <w:rFonts w:ascii="Times New Roman" w:hAnsi="Times New Roman"/>
                <w:noProof/>
                <w:szCs w:val="16"/>
              </w:rPr>
              <w:drawing>
                <wp:inline distT="0" distB="0" distL="0" distR="0" wp14:anchorId="4D5C05D5">
                  <wp:extent cx="207010" cy="207010"/>
                  <wp:effectExtent l="0" t="0" r="2540" b="2540"/>
                  <wp:docPr id="30" name="Picture 3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00EF1C86">
              <w:rPr>
                <w:rFonts w:ascii="Times New Roman" w:hAnsi="Times New Roman"/>
                <w:szCs w:val="16"/>
              </w:rPr>
              <w:t xml:space="preserve"> </w:t>
            </w:r>
            <w:r w:rsidR="00EF1C86"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1B39A1">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8A64B9">
              <w:rPr>
                <w:rFonts w:ascii="Times New Roman" w:eastAsia="Times New Roman" w:hAnsi="Times New Roman"/>
                <w:b/>
                <w:color w:val="000000"/>
                <w:szCs w:val="16"/>
                <w:lang w:eastAsia="ja-JP"/>
              </w:rPr>
              <w:t xml:space="preserve"> </w:t>
            </w:r>
          </w:p>
        </w:tc>
        <w:tc>
          <w:tcPr>
            <w:tcW w:w="4677" w:type="dxa"/>
            <w:vAlign w:val="center"/>
          </w:tcPr>
          <w:p w:rsidR="004E38E0" w:rsidRPr="001B39A1" w:rsidRDefault="004E38E0" w:rsidP="00FC03D3">
            <w:pPr>
              <w:spacing w:before="0"/>
              <w:rPr>
                <w:rFonts w:ascii="Times New Roman" w:eastAsia="Times New Roman" w:hAnsi="Times New Roman"/>
                <w:color w:val="auto"/>
                <w:szCs w:val="16"/>
                <w:lang w:eastAsia="ja-JP"/>
              </w:rPr>
            </w:pPr>
            <w:r>
              <w:rPr>
                <w:rFonts w:ascii="Times New Roman" w:eastAsia="Times New Roman" w:hAnsi="Times New Roman"/>
                <w:color w:val="000000"/>
                <w:szCs w:val="16"/>
                <w:lang w:eastAsia="ja-JP"/>
              </w:rPr>
              <w:t>The School Food Authority was not following the meal counting procedure outlined in their Annual Agreement with the State Agency.</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1B39A1" w:rsidRDefault="002032A0" w:rsidP="008A64B9">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1B39A1"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1B39A1"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1B39A1" w:rsidRDefault="00582D4C" w:rsidP="008A64B9">
            <w:pPr>
              <w:rPr>
                <w:rFonts w:ascii="Times New Roman" w:eastAsia="Times New Roman" w:hAnsi="Times New Roman"/>
                <w:b/>
                <w:color w:val="005E20"/>
                <w:szCs w:val="16"/>
                <w:lang w:eastAsia="ja-JP"/>
              </w:rPr>
            </w:pPr>
            <w:r>
              <w:rPr>
                <w:noProof/>
              </w:rPr>
              <w:drawing>
                <wp:inline distT="0" distB="0" distL="0" distR="0">
                  <wp:extent cx="190500" cy="190500"/>
                  <wp:effectExtent l="0" t="0" r="0" b="0"/>
                  <wp:docPr id="8" name="Picture 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notes no findin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1B39A1"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lastRenderedPageBreak/>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1B39A1"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1B39A1"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94" w:rsidRDefault="004D2194" w:rsidP="00EA0AD0">
      <w:pPr>
        <w:spacing w:before="0" w:after="0"/>
      </w:pPr>
      <w:r>
        <w:separator/>
      </w:r>
    </w:p>
  </w:endnote>
  <w:endnote w:type="continuationSeparator" w:id="0">
    <w:p w:rsidR="004D2194" w:rsidRDefault="004D2194"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94" w:rsidRDefault="004D2194" w:rsidP="00EA0AD0">
      <w:pPr>
        <w:spacing w:before="0" w:after="0"/>
      </w:pPr>
      <w:r>
        <w:separator/>
      </w:r>
    </w:p>
  </w:footnote>
  <w:footnote w:type="continuationSeparator" w:id="0">
    <w:p w:rsidR="004D2194" w:rsidRDefault="004D2194"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75pt;height:21.75pt;visibility:visible;mso-wrap-style:square" o:bullet="t">
        <v:imagedata r:id="rId1" o:title=""/>
      </v:shape>
    </w:pict>
  </w:numPicBullet>
  <w:numPicBullet w:numPicBulletId="1">
    <w:pict>
      <v:shape id="_x0000_i1034" type="#_x0000_t75" alt="Denotes no findings" style="width:15pt;height:15pt;visibility:visible;mso-wrap-style:square" o:bullet="t">
        <v:imagedata r:id="rId2" o:title="Denotes no findings"/>
      </v:shape>
    </w:pict>
  </w:numPicBullet>
  <w:numPicBullet w:numPicBulletId="2">
    <w:pict>
      <v:shape id="_x0000_i1035" type="#_x0000_t75" alt="Denotes findings identified" style="width:21.75pt;height:21.75pt;visibility:visible;mso-wrap-style:square" o:bullet="t">
        <v:imagedata r:id="rId3" o:title="Denotes findings identified"/>
      </v:shape>
    </w:pict>
  </w:numPicBullet>
  <w:numPicBullet w:numPicBulletId="3">
    <w:pict>
      <v:shape id="_x0000_i1036" type="#_x0000_t75" style="width:15.75pt;height:15.75pt;visibility:visible;mso-wrap-style:square" o:bullet="t">
        <v:imagedata r:id="rId4" o:title=""/>
      </v:shape>
    </w:pict>
  </w:numPicBullet>
  <w:numPicBullet w:numPicBulletId="4">
    <w:pict>
      <v:shape id="_x0000_i1037" type="#_x0000_t75" style="width:15pt;height:15pt;visibility:visible;mso-wrap-style:square" o:bullet="t">
        <v:imagedata r:id="rId5" o:title=""/>
      </v:shape>
    </w:pict>
  </w:numPicBullet>
  <w:numPicBullet w:numPicBulletId="5">
    <w:pict>
      <v:shape id="_x0000_i1038" type="#_x0000_t75" alt="Denotes no findings" style="width:15pt;height:15pt;visibility:visible;mso-wrap-style:square" o:bullet="t">
        <v:imagedata r:id="rId6" o:title="Denotes no findings"/>
      </v:shape>
    </w:pict>
  </w:numPicBullet>
  <w:numPicBullet w:numPicBulletId="6">
    <w:pict>
      <v:shape id="_x0000_i1039"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B39A1"/>
    <w:rsid w:val="001F75BE"/>
    <w:rsid w:val="002032A0"/>
    <w:rsid w:val="00217886"/>
    <w:rsid w:val="00260CA2"/>
    <w:rsid w:val="00265D36"/>
    <w:rsid w:val="00274A66"/>
    <w:rsid w:val="002D2FED"/>
    <w:rsid w:val="002D4167"/>
    <w:rsid w:val="0031611E"/>
    <w:rsid w:val="0032739D"/>
    <w:rsid w:val="003507AB"/>
    <w:rsid w:val="003C5AEE"/>
    <w:rsid w:val="00464DF8"/>
    <w:rsid w:val="004A5012"/>
    <w:rsid w:val="004C04E4"/>
    <w:rsid w:val="004C18F7"/>
    <w:rsid w:val="004C2545"/>
    <w:rsid w:val="004D2194"/>
    <w:rsid w:val="004D45AD"/>
    <w:rsid w:val="004E38E0"/>
    <w:rsid w:val="00527106"/>
    <w:rsid w:val="00576EFE"/>
    <w:rsid w:val="00582D4C"/>
    <w:rsid w:val="00593DA0"/>
    <w:rsid w:val="005C2719"/>
    <w:rsid w:val="005E617A"/>
    <w:rsid w:val="005E72E8"/>
    <w:rsid w:val="006070B4"/>
    <w:rsid w:val="00620948"/>
    <w:rsid w:val="0063352C"/>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8A64B9"/>
    <w:rsid w:val="00906D57"/>
    <w:rsid w:val="00914162"/>
    <w:rsid w:val="00926804"/>
    <w:rsid w:val="00937A7F"/>
    <w:rsid w:val="00964666"/>
    <w:rsid w:val="00973D56"/>
    <w:rsid w:val="00994F2F"/>
    <w:rsid w:val="00997295"/>
    <w:rsid w:val="009A1995"/>
    <w:rsid w:val="00A011BB"/>
    <w:rsid w:val="00A03102"/>
    <w:rsid w:val="00A22EC3"/>
    <w:rsid w:val="00A51528"/>
    <w:rsid w:val="00A547A6"/>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D8766D"/>
    <w:rsid w:val="00DB68F3"/>
    <w:rsid w:val="00DD07D9"/>
    <w:rsid w:val="00DE1159"/>
    <w:rsid w:val="00DF70F6"/>
    <w:rsid w:val="00E63DC5"/>
    <w:rsid w:val="00E71C1B"/>
    <w:rsid w:val="00E74FFA"/>
    <w:rsid w:val="00EA0AD0"/>
    <w:rsid w:val="00EB6A3E"/>
    <w:rsid w:val="00EC4887"/>
    <w:rsid w:val="00EC4C76"/>
    <w:rsid w:val="00EF1C86"/>
    <w:rsid w:val="00EF640A"/>
    <w:rsid w:val="00F04C94"/>
    <w:rsid w:val="00F205EF"/>
    <w:rsid w:val="00F32B5F"/>
    <w:rsid w:val="00F570B2"/>
    <w:rsid w:val="00F60239"/>
    <w:rsid w:val="00F70D82"/>
    <w:rsid w:val="00F93689"/>
    <w:rsid w:val="00FB055E"/>
    <w:rsid w:val="00FC03D3"/>
    <w:rsid w:val="00FF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A00D15-53E5-4DAE-BE6D-7273530A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00942-C6B8-4CFB-8F62-A835C84A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DOE - NUTRITION (DOE)</dc:creator>
  <cp:keywords>elijah-house-fpar-summary</cp:keywords>
  <cp:lastModifiedBy>Bowman, Kelly (DOE)</cp:lastModifiedBy>
  <cp:revision>2</cp:revision>
  <cp:lastPrinted>2018-03-27T12:01:00Z</cp:lastPrinted>
  <dcterms:created xsi:type="dcterms:W3CDTF">2019-03-21T12:56:00Z</dcterms:created>
  <dcterms:modified xsi:type="dcterms:W3CDTF">2019-03-21T12:56:00Z</dcterms:modified>
</cp:coreProperties>
</file>