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75CD" w14:textId="4A22E5D5" w:rsidR="0041058B" w:rsidRDefault="002E006F" w:rsidP="007A52A1">
      <w:pPr>
        <w:pStyle w:val="Heading1"/>
        <w:rPr>
          <w:sz w:val="88"/>
          <w:szCs w:val="88"/>
        </w:rPr>
      </w:pPr>
      <w:r>
        <w:rPr>
          <w:noProof/>
        </w:rPr>
        <mc:AlternateContent>
          <mc:Choice Requires="wps">
            <w:drawing>
              <wp:anchor distT="0" distB="0" distL="114300" distR="114300" simplePos="0" relativeHeight="251659264" behindDoc="0" locked="0" layoutInCell="1" allowOverlap="1" wp14:anchorId="28A73815" wp14:editId="172146D9">
                <wp:simplePos x="0" y="0"/>
                <wp:positionH relativeFrom="column">
                  <wp:posOffset>1189408</wp:posOffset>
                </wp:positionH>
                <wp:positionV relativeFrom="paragraph">
                  <wp:posOffset>180130</wp:posOffset>
                </wp:positionV>
                <wp:extent cx="0" cy="472010"/>
                <wp:effectExtent l="0" t="0" r="12700" b="1079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472010"/>
                        </a:xfrm>
                        <a:prstGeom prst="line">
                          <a:avLst/>
                        </a:prstGeom>
                        <a:ln w="12700">
                          <a:solidFill>
                            <a:srgbClr val="003B7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3C3FFC2" id="Straight Connector 3" o:spid="_x0000_s1026" alt="&quot;&quo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65pt,14.2pt" to="93.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ZQxAEAANwDAAAOAAAAZHJzL2Uyb0RvYy54bWysU02P0zAQvSPxHyzfadKCKIqarsSulguC&#10;FSzcXXvcWPhLtmnSf8/YTrPLx2G14mI545n35r2Z7K4mo8kJQlTO9nS9aikBy51Q9tjTb/e3r95R&#10;EhOzgmlnoadniPRq//LFbvQdbNzgtIBAEMTGbvQ9HVLyXdNEPoBhceU8WHyULhiW8DMcGxHYiOhG&#10;N5u2fduMLggfHIcYMXpTH+m+4EsJPH2WMkIiuqfYWypnKOchn81+x7pjYH5QfG6DPaMLw5RF0gXq&#10;hiVGfgb1F5RRPLjoZFpxZxonpeJQNKCadfuHmq8D81C0oDnRLzbF/wfLP52u7V1AG0Yfu+jvQlYx&#10;yWCI1Mp/x5kWXdgpmYpt58U2mBLhNcgx+mabJWRHm4qQkXyI6QM4Q/Klp1rZLIh17PQxppp6Sclh&#10;bcmIlJtt25a06LQSt0rr/BjD8XCtAzmxPMz29fvtemZ7lIbc2mILD3LKLZ01VIIvIIkS2HYVVjYN&#10;Fljx44KpLWbmEon0S9HcVl7PfxXNubkMyvY9tXDJLozOpqXQKOtCNeN31jRdWpU1/6K6as2yD06c&#10;y3CLHbhCZTbzuucdffxdyh9+yv0vAAAA//8DAFBLAwQUAAYACAAAACEA75wn2eMAAAAPAQAADwAA&#10;AGRycy9kb3ducmV2LnhtbExPTU/DMAy9I/EfIiNxY2nLx6qu6TQNxoEDEmVC2i1tTFvROF2TbeXf&#10;43GBi+VnPz+/ly8n24sjjr5zpCCeRSCQamc6ahRs3zc3KQgfNBndO0IF3+hhWVxe5Doz7kRveCxD&#10;I1iEfKYVtCEMmZS+btFqP3MDEu8+3Wh1YDg20oz6xOK2l0kUPUirO+IPrR5w3WL9VR6sgur+ab+P&#10;n3H6iMut2yUv8etu2ih1fTU9LrisFiACTuHvAs4Z2D8UbKxyBzJe9IzT+S1TFSTpHYgz4XdQcRMl&#10;c5BFLv/nKH4AAAD//wMAUEsBAi0AFAAGAAgAAAAhALaDOJL+AAAA4QEAABMAAAAAAAAAAAAAAAAA&#10;AAAAAFtDb250ZW50X1R5cGVzXS54bWxQSwECLQAUAAYACAAAACEAOP0h/9YAAACUAQAACwAAAAAA&#10;AAAAAAAAAAAvAQAAX3JlbHMvLnJlbHNQSwECLQAUAAYACAAAACEAMcfGUMQBAADcAwAADgAAAAAA&#10;AAAAAAAAAAAuAgAAZHJzL2Uyb0RvYy54bWxQSwECLQAUAAYACAAAACEA75wn2eMAAAAPAQAADwAA&#10;AAAAAAAAAAAAAAAeBAAAZHJzL2Rvd25yZXYueG1sUEsFBgAAAAAEAAQA8wAAAC4FAAAAAA==&#10;" strokecolor="#003b71" strokeweight="1pt">
                <v:stroke joinstyle="miter"/>
              </v:line>
            </w:pict>
          </mc:Fallback>
        </mc:AlternateContent>
      </w:r>
      <w:r w:rsidR="00642E03">
        <w:rPr>
          <w:noProof/>
        </w:rPr>
        <w:drawing>
          <wp:inline distT="0" distB="0" distL="0" distR="0" wp14:anchorId="10685BEE" wp14:editId="4E526614">
            <wp:extent cx="975995" cy="670331"/>
            <wp:effectExtent l="0" t="0" r="0" b="3175"/>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DOE Logo"/>
                    <pic:cNvPicPr/>
                  </pic:nvPicPr>
                  <pic:blipFill rotWithShape="1">
                    <a:blip r:embed="rId8" cstate="print">
                      <a:extLst>
                        <a:ext uri="{28A0092B-C50C-407E-A947-70E740481C1C}">
                          <a14:useLocalDpi xmlns:a14="http://schemas.microsoft.com/office/drawing/2010/main" val="0"/>
                        </a:ext>
                      </a:extLst>
                    </a:blip>
                    <a:srcRect t="327" b="10790"/>
                    <a:stretch/>
                  </pic:blipFill>
                  <pic:spPr bwMode="auto">
                    <a:xfrm>
                      <a:off x="0" y="0"/>
                      <a:ext cx="977157" cy="671129"/>
                    </a:xfrm>
                    <a:prstGeom prst="rect">
                      <a:avLst/>
                    </a:prstGeom>
                    <a:ln>
                      <a:noFill/>
                    </a:ln>
                    <a:extLst>
                      <a:ext uri="{53640926-AAD7-44D8-BBD7-CCE9431645EC}">
                        <a14:shadowObscured xmlns:a14="http://schemas.microsoft.com/office/drawing/2010/main"/>
                      </a:ext>
                    </a:extLst>
                  </pic:spPr>
                </pic:pic>
              </a:graphicData>
            </a:graphic>
          </wp:inline>
        </w:drawing>
      </w:r>
      <w:r w:rsidRPr="00CD62E1">
        <w:t xml:space="preserve"> </w:t>
      </w:r>
      <w:r w:rsidR="005C4053" w:rsidRPr="00CD62E1">
        <w:t xml:space="preserve"> </w:t>
      </w:r>
      <w:r w:rsidR="007A52A1" w:rsidRPr="007A52A1">
        <w:softHyphen/>
      </w:r>
      <w:r w:rsidR="004F3E81" w:rsidRPr="007A52A1">
        <w:t>NEWS RELEASE</w:t>
      </w:r>
    </w:p>
    <w:p w14:paraId="0148F80B" w14:textId="163506F0" w:rsidR="0041058B" w:rsidRPr="00690DC1" w:rsidRDefault="008766D7">
      <w:pPr>
        <w:jc w:val="center"/>
        <w:rPr>
          <w:rFonts w:ascii="Trebuchet MS" w:eastAsia="Trebuchet MS" w:hAnsi="Trebuchet MS" w:cs="Trebuchet MS"/>
          <w:b/>
          <w:color w:val="003B71"/>
          <w:sz w:val="24"/>
          <w:szCs w:val="24"/>
        </w:rPr>
      </w:pPr>
      <w:r w:rsidRPr="00690DC1">
        <w:rPr>
          <w:rFonts w:ascii="Trebuchet MS" w:eastAsia="Trebuchet MS" w:hAnsi="Trebuchet MS" w:cs="Trebuchet MS"/>
          <w:b/>
          <w:color w:val="003B71"/>
          <w:sz w:val="24"/>
          <w:szCs w:val="24"/>
        </w:rPr>
        <w:t>Jillian Balow</w:t>
      </w:r>
      <w:r w:rsidR="004F3E81" w:rsidRPr="00690DC1">
        <w:rPr>
          <w:rFonts w:ascii="Trebuchet MS" w:eastAsia="Trebuchet MS" w:hAnsi="Trebuchet MS" w:cs="Trebuchet MS"/>
          <w:b/>
          <w:color w:val="003B71"/>
          <w:sz w:val="24"/>
          <w:szCs w:val="24"/>
        </w:rPr>
        <w:t xml:space="preserve"> | Superintendent of Public Instruction</w:t>
      </w:r>
    </w:p>
    <w:p w14:paraId="676064CF" w14:textId="7E6A3FD9" w:rsidR="0041058B" w:rsidRPr="005C4053" w:rsidRDefault="004F3E81" w:rsidP="0031195E">
      <w:pPr>
        <w:tabs>
          <w:tab w:val="right" w:pos="9360"/>
        </w:tabs>
        <w:spacing w:before="240"/>
        <w:rPr>
          <w:color w:val="222222"/>
          <w:sz w:val="20"/>
          <w:szCs w:val="20"/>
          <w:highlight w:val="white"/>
        </w:rPr>
      </w:pPr>
      <w:r>
        <w:rPr>
          <w:sz w:val="20"/>
          <w:szCs w:val="20"/>
        </w:rPr>
        <w:t>Fo</w:t>
      </w:r>
      <w:r w:rsidR="0049268B">
        <w:rPr>
          <w:sz w:val="20"/>
          <w:szCs w:val="20"/>
        </w:rPr>
        <w:t xml:space="preserve">r Immediate Release: </w:t>
      </w:r>
      <w:r w:rsidR="008D572A">
        <w:rPr>
          <w:sz w:val="20"/>
          <w:szCs w:val="20"/>
        </w:rPr>
        <w:t xml:space="preserve">September </w:t>
      </w:r>
      <w:r w:rsidR="00A97D80">
        <w:rPr>
          <w:sz w:val="20"/>
          <w:szCs w:val="20"/>
        </w:rPr>
        <w:t>22</w:t>
      </w:r>
      <w:r w:rsidR="0031195E">
        <w:rPr>
          <w:sz w:val="20"/>
          <w:szCs w:val="20"/>
        </w:rPr>
        <w:t>, 2</w:t>
      </w:r>
      <w:r>
        <w:rPr>
          <w:sz w:val="20"/>
          <w:szCs w:val="20"/>
        </w:rPr>
        <w:t>02</w:t>
      </w:r>
      <w:r w:rsidR="0031195E">
        <w:rPr>
          <w:sz w:val="20"/>
          <w:szCs w:val="20"/>
        </w:rPr>
        <w:t>2</w:t>
      </w:r>
      <w:r w:rsidR="0031195E">
        <w:rPr>
          <w:sz w:val="20"/>
          <w:szCs w:val="20"/>
        </w:rPr>
        <w:tab/>
      </w:r>
      <w:r>
        <w:rPr>
          <w:sz w:val="20"/>
          <w:szCs w:val="20"/>
        </w:rPr>
        <w:t xml:space="preserve">Contact: </w:t>
      </w:r>
      <w:hyperlink r:id="rId9" w:history="1">
        <w:r w:rsidR="00642E03">
          <w:rPr>
            <w:rStyle w:val="Hyperlink"/>
            <w:sz w:val="20"/>
            <w:szCs w:val="20"/>
          </w:rPr>
          <w:t>Charles</w:t>
        </w:r>
      </w:hyperlink>
      <w:r w:rsidR="005C4053">
        <w:rPr>
          <w:rStyle w:val="Hyperlink"/>
          <w:sz w:val="20"/>
          <w:szCs w:val="20"/>
        </w:rPr>
        <w:t xml:space="preserve"> Pyle</w:t>
      </w:r>
      <w:r>
        <w:rPr>
          <w:sz w:val="20"/>
          <w:szCs w:val="20"/>
        </w:rPr>
        <w:t xml:space="preserve"> </w:t>
      </w:r>
      <w:r w:rsidR="005C4053" w:rsidRPr="005C4053">
        <w:rPr>
          <w:color w:val="222222"/>
          <w:sz w:val="20"/>
          <w:szCs w:val="20"/>
          <w:highlight w:val="white"/>
        </w:rPr>
        <w:t>(804)</w:t>
      </w:r>
      <w:r w:rsidR="005C4053">
        <w:rPr>
          <w:color w:val="222222"/>
          <w:sz w:val="20"/>
          <w:szCs w:val="20"/>
          <w:highlight w:val="white"/>
        </w:rPr>
        <w:t xml:space="preserve"> </w:t>
      </w:r>
      <w:r w:rsidR="005C4053" w:rsidRPr="005C4053">
        <w:rPr>
          <w:color w:val="222222"/>
          <w:sz w:val="20"/>
          <w:szCs w:val="20"/>
          <w:highlight w:val="white"/>
        </w:rPr>
        <w:t>371-2420</w:t>
      </w:r>
    </w:p>
    <w:p w14:paraId="544874CE" w14:textId="77777777" w:rsidR="00702B21" w:rsidRPr="00702B21" w:rsidRDefault="00702B21" w:rsidP="00702B21">
      <w:pPr>
        <w:rPr>
          <w:rFonts w:ascii="Times New Roman" w:eastAsia="Times New Roman" w:hAnsi="Times New Roman" w:cs="Times New Roman"/>
          <w:sz w:val="24"/>
          <w:szCs w:val="24"/>
        </w:rPr>
      </w:pPr>
    </w:p>
    <w:p w14:paraId="1C982AAD" w14:textId="03116AB0" w:rsidR="00EA68DE" w:rsidRDefault="00EF5A8D" w:rsidP="00EA68DE">
      <w:pPr>
        <w:pStyle w:val="Heading2"/>
        <w:rPr>
          <w:sz w:val="36"/>
          <w:szCs w:val="36"/>
        </w:rPr>
      </w:pPr>
      <w:r>
        <w:rPr>
          <w:sz w:val="36"/>
          <w:szCs w:val="36"/>
        </w:rPr>
        <w:t>State Superintendent: 2022-2023 Ratings Show Current Accreditation Standards Unreliable</w:t>
      </w:r>
    </w:p>
    <w:p w14:paraId="29319C36" w14:textId="487610C9" w:rsidR="00A97D80" w:rsidRPr="005E7D47" w:rsidRDefault="00EF5A8D" w:rsidP="00EA68DE">
      <w:pPr>
        <w:pStyle w:val="Heading2"/>
        <w:rPr>
          <w:sz w:val="36"/>
          <w:szCs w:val="36"/>
        </w:rPr>
      </w:pPr>
      <w:r>
        <w:rPr>
          <w:sz w:val="36"/>
          <w:szCs w:val="36"/>
        </w:rPr>
        <w:t>Measure of Scho</w:t>
      </w:r>
      <w:r w:rsidR="00EA68DE">
        <w:rPr>
          <w:sz w:val="36"/>
          <w:szCs w:val="36"/>
        </w:rPr>
        <w:t>ol Performance</w:t>
      </w:r>
    </w:p>
    <w:p w14:paraId="6F427EBC" w14:textId="77777777" w:rsidR="00A97D80" w:rsidRPr="00A97D80" w:rsidRDefault="00A97D80" w:rsidP="00A97D80"/>
    <w:p w14:paraId="1D7EB1B6" w14:textId="2AEBF129" w:rsidR="0001619C" w:rsidRDefault="00DC6F02" w:rsidP="00886E8F">
      <w:r w:rsidRPr="00DC6F02">
        <w:t xml:space="preserve">RICHMOND — Superintendent of Public Instruction Jillian Balow announced today that </w:t>
      </w:r>
      <w:r w:rsidR="00A032FD" w:rsidRPr="00DC6F02">
        <w:t>despite</w:t>
      </w:r>
      <w:r w:rsidR="00EF5A8D">
        <w:t xml:space="preserve"> deep</w:t>
      </w:r>
      <w:r w:rsidR="0001619C">
        <w:t xml:space="preserve"> learning losses caused by</w:t>
      </w:r>
      <w:r w:rsidR="004022B9">
        <w:t xml:space="preserve"> the</w:t>
      </w:r>
      <w:r w:rsidR="0001619C">
        <w:t xml:space="preserve"> </w:t>
      </w:r>
      <w:r w:rsidR="00A032FD" w:rsidRPr="00DC6F02">
        <w:t xml:space="preserve">closure of most schools to in-person instruction </w:t>
      </w:r>
      <w:r w:rsidR="00A032FD">
        <w:t>from March 2020 to August 2021,</w:t>
      </w:r>
      <w:r w:rsidR="00A032FD" w:rsidRPr="00DC6F02">
        <w:t> </w:t>
      </w:r>
      <w:r w:rsidR="00A032FD">
        <w:t xml:space="preserve">the percentage of </w:t>
      </w:r>
      <w:r w:rsidRPr="00DC6F02">
        <w:t>Virginia’</w:t>
      </w:r>
      <w:r w:rsidR="00A032FD">
        <w:t xml:space="preserve">s public schools </w:t>
      </w:r>
      <w:r w:rsidR="005E7D47">
        <w:t xml:space="preserve">meeting the state Board of Education’s </w:t>
      </w:r>
      <w:r w:rsidR="00317AE7">
        <w:t xml:space="preserve">accreditation standards </w:t>
      </w:r>
      <w:r w:rsidR="00886E8F">
        <w:t>dropped by only three points</w:t>
      </w:r>
      <w:r w:rsidR="005E7D47">
        <w:t xml:space="preserve"> compared with pre-pandemic performance</w:t>
      </w:r>
      <w:r w:rsidR="00886E8F">
        <w:t>.</w:t>
      </w:r>
      <w:r w:rsidR="00317AE7">
        <w:t xml:space="preserve"> </w:t>
      </w:r>
    </w:p>
    <w:p w14:paraId="294075D2" w14:textId="77777777" w:rsidR="0001619C" w:rsidRDefault="0001619C" w:rsidP="00886E8F"/>
    <w:p w14:paraId="55590D87" w14:textId="2074507C" w:rsidR="00886E8F" w:rsidRPr="00DC6F02" w:rsidRDefault="00886E8F" w:rsidP="00886E8F">
      <w:r>
        <w:t xml:space="preserve">Eighty-nine percent of schools </w:t>
      </w:r>
      <w:r w:rsidRPr="00DC6F02">
        <w:t>earned full</w:t>
      </w:r>
      <w:r w:rsidR="00317AE7">
        <w:t xml:space="preserve"> accreditation </w:t>
      </w:r>
      <w:r>
        <w:t xml:space="preserve">for 2022-2023, compared with 92% in </w:t>
      </w:r>
      <w:r w:rsidRPr="00DC6F02">
        <w:t xml:space="preserve">2019-2020, the last year for which the Virginia Department of Education calculated school ratings before the coronavirus pandemic. </w:t>
      </w:r>
    </w:p>
    <w:p w14:paraId="06A611CE" w14:textId="77777777" w:rsidR="002351B9" w:rsidRPr="00DC6F02" w:rsidRDefault="002351B9" w:rsidP="00DC6F02"/>
    <w:p w14:paraId="2AF9D78A" w14:textId="6C7125DF" w:rsidR="002351B9" w:rsidRDefault="002351B9" w:rsidP="002351B9">
      <w:pPr>
        <w:tabs>
          <w:tab w:val="left" w:pos="630"/>
        </w:tabs>
        <w:rPr>
          <w:shd w:val="clear" w:color="auto" w:fill="FFFFFF"/>
        </w:rPr>
      </w:pPr>
      <w:r w:rsidRPr="00DC6F02">
        <w:t xml:space="preserve">“These ratings call into question the effectiveness of our accreditation standards in identifying schools where </w:t>
      </w:r>
      <w:r>
        <w:t xml:space="preserve">students are </w:t>
      </w:r>
      <w:r w:rsidRPr="00DC6F02">
        <w:t>struggling to ach</w:t>
      </w:r>
      <w:r>
        <w:t xml:space="preserve">ieve grade-level proficiency,” Balow said. </w:t>
      </w:r>
      <w:r w:rsidR="00A032FD" w:rsidRPr="00DC6F02">
        <w:t xml:space="preserve">“The </w:t>
      </w:r>
      <w:r w:rsidR="00A032FD">
        <w:t xml:space="preserve">number and </w:t>
      </w:r>
      <w:r w:rsidR="00A032FD" w:rsidRPr="00DC6F02">
        <w:t xml:space="preserve">percentage of schools earning accreditation is almost as high as three years ago, </w:t>
      </w:r>
      <w:r w:rsidR="00A032FD" w:rsidRPr="004022B9">
        <w:t>des</w:t>
      </w:r>
      <w:r w:rsidR="006813E1" w:rsidRPr="004022B9">
        <w:t>pite significant declines in achievement on Standards of Learning tests in reading, math and science — especially among minority and economically disadvantaged students</w:t>
      </w:r>
      <w:r w:rsidR="00A032FD" w:rsidRPr="004022B9">
        <w:t>.</w:t>
      </w:r>
      <w:r w:rsidR="00A032FD">
        <w:t xml:space="preserve"> </w:t>
      </w:r>
      <w:r w:rsidRPr="00DC6F02">
        <w:rPr>
          <w:shd w:val="clear" w:color="auto" w:fill="FFFFFF"/>
        </w:rPr>
        <w:t xml:space="preserve">Accreditation is one of the primary drivers of state interventions and local efforts to improve outcomes for students, and frankly, the school ratings we are releasing today fail to capture the extent of the crisis </w:t>
      </w:r>
      <w:r>
        <w:rPr>
          <w:shd w:val="clear" w:color="auto" w:fill="FFFFFF"/>
        </w:rPr>
        <w:t>facing our schools and students.”</w:t>
      </w:r>
    </w:p>
    <w:p w14:paraId="1545E613" w14:textId="77777777" w:rsidR="00886E8F" w:rsidRDefault="00886E8F" w:rsidP="002351B9">
      <w:pPr>
        <w:tabs>
          <w:tab w:val="left" w:pos="630"/>
        </w:tabs>
      </w:pPr>
    </w:p>
    <w:p w14:paraId="49634088" w14:textId="77777777" w:rsidR="00A97D80" w:rsidRPr="004F1EB1" w:rsidRDefault="00A97D80" w:rsidP="004F1EB1">
      <w:pPr>
        <w:pStyle w:val="Heading3"/>
      </w:pPr>
      <w:r w:rsidRPr="004F1EB1">
        <w:t>State School Accreditation Summary</w:t>
      </w:r>
    </w:p>
    <w:tbl>
      <w:tblPr>
        <w:tblW w:w="5000" w:type="pct"/>
        <w:tblLook w:val="04A0" w:firstRow="1" w:lastRow="0" w:firstColumn="1" w:lastColumn="0" w:noHBand="0" w:noVBand="1"/>
        <w:tblCaption w:val="State school accreditation summary"/>
        <w:tblDescription w:val="Table displays the number and percentage of schools rated as Accredited, Accredited Pending Review of Alternative Plan, Accreditation with Conditions, and New School."/>
      </w:tblPr>
      <w:tblGrid>
        <w:gridCol w:w="4454"/>
        <w:gridCol w:w="1225"/>
        <w:gridCol w:w="1225"/>
        <w:gridCol w:w="1225"/>
        <w:gridCol w:w="1221"/>
      </w:tblGrid>
      <w:tr w:rsidR="001D7A0C" w:rsidRPr="00A97D80" w14:paraId="3A73382E" w14:textId="7E91C544" w:rsidTr="008B6DE5">
        <w:trPr>
          <w:tblHeader/>
        </w:trPr>
        <w:tc>
          <w:tcPr>
            <w:tcW w:w="2382" w:type="pct"/>
            <w:vMerge w:val="restart"/>
            <w:tcBorders>
              <w:top w:val="single" w:sz="4" w:space="0" w:color="auto"/>
              <w:left w:val="single" w:sz="4" w:space="0" w:color="auto"/>
              <w:right w:val="single" w:sz="4" w:space="0" w:color="auto"/>
            </w:tcBorders>
            <w:vAlign w:val="center"/>
            <w:hideMark/>
          </w:tcPr>
          <w:p w14:paraId="7FAF79E5" w14:textId="77777777" w:rsidR="00A97D80" w:rsidRPr="00A97D80" w:rsidRDefault="00A97D80" w:rsidP="00A97D80">
            <w:pPr>
              <w:rPr>
                <w:sz w:val="20"/>
                <w:szCs w:val="20"/>
              </w:rPr>
            </w:pPr>
            <w:r w:rsidRPr="00A97D80">
              <w:rPr>
                <w:sz w:val="20"/>
                <w:szCs w:val="20"/>
              </w:rPr>
              <w:t>Accreditation Rating</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14:paraId="71AA4067" w14:textId="7CADFE13" w:rsidR="001D7A0C" w:rsidRPr="008B6DE5" w:rsidRDefault="00A97D80" w:rsidP="008B6DE5">
            <w:pPr>
              <w:jc w:val="center"/>
              <w:rPr>
                <w:sz w:val="20"/>
                <w:szCs w:val="20"/>
              </w:rPr>
            </w:pPr>
            <w:r w:rsidRPr="00A97D80">
              <w:rPr>
                <w:sz w:val="20"/>
                <w:szCs w:val="20"/>
              </w:rPr>
              <w:t>Number of Schools</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14:paraId="3949B757" w14:textId="11D7D5DB" w:rsidR="001D7A0C" w:rsidRPr="008B6DE5" w:rsidRDefault="00A97D80" w:rsidP="008B6DE5">
            <w:pPr>
              <w:jc w:val="center"/>
              <w:rPr>
                <w:sz w:val="20"/>
                <w:szCs w:val="20"/>
              </w:rPr>
            </w:pPr>
            <w:r w:rsidRPr="00A97D80">
              <w:rPr>
                <w:sz w:val="20"/>
                <w:szCs w:val="20"/>
              </w:rPr>
              <w:t>Percentage of Schools</w:t>
            </w:r>
          </w:p>
        </w:tc>
      </w:tr>
      <w:tr w:rsidR="001D7A0C" w:rsidRPr="00A97D80" w14:paraId="7C65C836" w14:textId="77777777" w:rsidTr="008B6DE5">
        <w:tc>
          <w:tcPr>
            <w:tcW w:w="2382" w:type="pct"/>
            <w:vMerge/>
            <w:tcBorders>
              <w:left w:val="single" w:sz="4" w:space="0" w:color="auto"/>
              <w:bottom w:val="single" w:sz="4" w:space="0" w:color="auto"/>
              <w:right w:val="single" w:sz="4" w:space="0" w:color="auto"/>
            </w:tcBorders>
            <w:vAlign w:val="center"/>
          </w:tcPr>
          <w:p w14:paraId="72378D94" w14:textId="77777777" w:rsidR="001D7A0C" w:rsidRPr="008B6DE5" w:rsidRDefault="001D7A0C" w:rsidP="00A97D80">
            <w:pPr>
              <w:rPr>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14:paraId="583F5D60" w14:textId="647FE037" w:rsidR="001D7A0C" w:rsidRPr="008B6DE5" w:rsidRDefault="001D7A0C" w:rsidP="008B6DE5">
            <w:pPr>
              <w:jc w:val="center"/>
              <w:rPr>
                <w:sz w:val="20"/>
                <w:szCs w:val="20"/>
              </w:rPr>
            </w:pPr>
            <w:r w:rsidRPr="008B6DE5">
              <w:rPr>
                <w:sz w:val="20"/>
                <w:szCs w:val="20"/>
              </w:rPr>
              <w:t>2022</w:t>
            </w:r>
            <w:r w:rsidR="008B6DE5" w:rsidRPr="008B6DE5">
              <w:rPr>
                <w:sz w:val="20"/>
                <w:szCs w:val="20"/>
              </w:rPr>
              <w:t>-2023</w:t>
            </w:r>
          </w:p>
        </w:tc>
        <w:tc>
          <w:tcPr>
            <w:tcW w:w="655" w:type="pct"/>
            <w:tcBorders>
              <w:top w:val="single" w:sz="4" w:space="0" w:color="auto"/>
              <w:left w:val="single" w:sz="4" w:space="0" w:color="auto"/>
              <w:bottom w:val="single" w:sz="4" w:space="0" w:color="auto"/>
              <w:right w:val="single" w:sz="4" w:space="0" w:color="auto"/>
            </w:tcBorders>
            <w:vAlign w:val="center"/>
          </w:tcPr>
          <w:p w14:paraId="11EE1A66" w14:textId="3AC7B7D5" w:rsidR="001D7A0C" w:rsidRPr="008B6DE5" w:rsidRDefault="001D7A0C" w:rsidP="008B6DE5">
            <w:pPr>
              <w:jc w:val="center"/>
              <w:rPr>
                <w:sz w:val="20"/>
                <w:szCs w:val="20"/>
              </w:rPr>
            </w:pPr>
            <w:r w:rsidRPr="008B6DE5">
              <w:rPr>
                <w:sz w:val="20"/>
                <w:szCs w:val="20"/>
              </w:rPr>
              <w:t>2019</w:t>
            </w:r>
            <w:r w:rsidR="008B6DE5" w:rsidRPr="008B6DE5">
              <w:rPr>
                <w:sz w:val="20"/>
                <w:szCs w:val="20"/>
              </w:rPr>
              <w:t>-2020</w:t>
            </w:r>
          </w:p>
        </w:tc>
        <w:tc>
          <w:tcPr>
            <w:tcW w:w="655" w:type="pct"/>
            <w:tcBorders>
              <w:top w:val="single" w:sz="4" w:space="0" w:color="auto"/>
              <w:left w:val="single" w:sz="4" w:space="0" w:color="auto"/>
              <w:bottom w:val="single" w:sz="4" w:space="0" w:color="auto"/>
              <w:right w:val="single" w:sz="4" w:space="0" w:color="auto"/>
            </w:tcBorders>
            <w:vAlign w:val="center"/>
          </w:tcPr>
          <w:p w14:paraId="76776B75" w14:textId="325FE6C1" w:rsidR="001D7A0C" w:rsidRPr="008B6DE5" w:rsidRDefault="001D7A0C" w:rsidP="008B6DE5">
            <w:pPr>
              <w:jc w:val="center"/>
              <w:rPr>
                <w:sz w:val="20"/>
                <w:szCs w:val="20"/>
              </w:rPr>
            </w:pPr>
            <w:r w:rsidRPr="008B6DE5">
              <w:rPr>
                <w:sz w:val="20"/>
                <w:szCs w:val="20"/>
              </w:rPr>
              <w:t>2022</w:t>
            </w:r>
            <w:r w:rsidR="008B6DE5" w:rsidRPr="008B6DE5">
              <w:rPr>
                <w:sz w:val="20"/>
                <w:szCs w:val="20"/>
              </w:rPr>
              <w:t>-2023</w:t>
            </w:r>
          </w:p>
        </w:tc>
        <w:tc>
          <w:tcPr>
            <w:tcW w:w="655" w:type="pct"/>
            <w:tcBorders>
              <w:top w:val="single" w:sz="4" w:space="0" w:color="auto"/>
              <w:left w:val="single" w:sz="4" w:space="0" w:color="auto"/>
              <w:bottom w:val="single" w:sz="4" w:space="0" w:color="auto"/>
              <w:right w:val="single" w:sz="4" w:space="0" w:color="auto"/>
            </w:tcBorders>
            <w:vAlign w:val="center"/>
          </w:tcPr>
          <w:p w14:paraId="5E624E61" w14:textId="3F77540D" w:rsidR="001D7A0C" w:rsidRPr="008B6DE5" w:rsidRDefault="001D7A0C" w:rsidP="008B6DE5">
            <w:pPr>
              <w:jc w:val="center"/>
              <w:rPr>
                <w:sz w:val="20"/>
                <w:szCs w:val="20"/>
              </w:rPr>
            </w:pPr>
            <w:r w:rsidRPr="008B6DE5">
              <w:rPr>
                <w:sz w:val="20"/>
                <w:szCs w:val="20"/>
              </w:rPr>
              <w:t>2019</w:t>
            </w:r>
            <w:r w:rsidR="008B6DE5" w:rsidRPr="008B6DE5">
              <w:rPr>
                <w:sz w:val="20"/>
                <w:szCs w:val="20"/>
              </w:rPr>
              <w:t>-2020</w:t>
            </w:r>
          </w:p>
        </w:tc>
      </w:tr>
      <w:tr w:rsidR="001D7A0C" w:rsidRPr="00A97D80" w14:paraId="69C391F5" w14:textId="5C0B6556" w:rsidTr="008B6DE5">
        <w:tc>
          <w:tcPr>
            <w:tcW w:w="2382" w:type="pct"/>
            <w:tcBorders>
              <w:top w:val="single" w:sz="4" w:space="0" w:color="auto"/>
              <w:left w:val="single" w:sz="4" w:space="0" w:color="auto"/>
              <w:bottom w:val="single" w:sz="4" w:space="0" w:color="auto"/>
              <w:right w:val="single" w:sz="4" w:space="0" w:color="auto"/>
            </w:tcBorders>
            <w:vAlign w:val="center"/>
            <w:hideMark/>
          </w:tcPr>
          <w:p w14:paraId="713F217D" w14:textId="77777777" w:rsidR="00A97D80" w:rsidRPr="00A97D80" w:rsidRDefault="00A97D80" w:rsidP="00A97D80">
            <w:pPr>
              <w:rPr>
                <w:sz w:val="20"/>
                <w:szCs w:val="20"/>
              </w:rPr>
            </w:pPr>
            <w:r w:rsidRPr="00A97D80">
              <w:rPr>
                <w:sz w:val="20"/>
                <w:szCs w:val="20"/>
              </w:rPr>
              <w:t>Accredited</w:t>
            </w:r>
          </w:p>
        </w:tc>
        <w:tc>
          <w:tcPr>
            <w:tcW w:w="655" w:type="pct"/>
            <w:tcBorders>
              <w:top w:val="single" w:sz="4" w:space="0" w:color="auto"/>
              <w:left w:val="single" w:sz="4" w:space="0" w:color="auto"/>
              <w:bottom w:val="single" w:sz="4" w:space="0" w:color="auto"/>
              <w:right w:val="single" w:sz="4" w:space="0" w:color="auto"/>
            </w:tcBorders>
            <w:vAlign w:val="center"/>
            <w:hideMark/>
          </w:tcPr>
          <w:p w14:paraId="1DF49E04" w14:textId="77777777" w:rsidR="00A97D80" w:rsidRPr="00A97D80" w:rsidRDefault="00A97D80" w:rsidP="008B6DE5">
            <w:pPr>
              <w:jc w:val="center"/>
              <w:rPr>
                <w:sz w:val="20"/>
                <w:szCs w:val="20"/>
              </w:rPr>
            </w:pPr>
            <w:r w:rsidRPr="00A97D80">
              <w:rPr>
                <w:sz w:val="20"/>
                <w:szCs w:val="20"/>
              </w:rPr>
              <w:t>1,628</w:t>
            </w:r>
          </w:p>
        </w:tc>
        <w:tc>
          <w:tcPr>
            <w:tcW w:w="655" w:type="pct"/>
            <w:tcBorders>
              <w:top w:val="single" w:sz="4" w:space="0" w:color="auto"/>
              <w:left w:val="single" w:sz="4" w:space="0" w:color="auto"/>
              <w:bottom w:val="single" w:sz="4" w:space="0" w:color="auto"/>
              <w:right w:val="single" w:sz="4" w:space="0" w:color="auto"/>
            </w:tcBorders>
            <w:vAlign w:val="center"/>
          </w:tcPr>
          <w:p w14:paraId="5BBCE5A5" w14:textId="0BE24364" w:rsidR="001D7A0C" w:rsidRPr="008B6DE5" w:rsidRDefault="008B6DE5" w:rsidP="008B6DE5">
            <w:pPr>
              <w:jc w:val="center"/>
              <w:rPr>
                <w:sz w:val="20"/>
                <w:szCs w:val="20"/>
              </w:rPr>
            </w:pPr>
            <w:r w:rsidRPr="008B6DE5">
              <w:rPr>
                <w:sz w:val="20"/>
                <w:szCs w:val="20"/>
              </w:rPr>
              <w:t>1,682</w:t>
            </w:r>
          </w:p>
        </w:tc>
        <w:tc>
          <w:tcPr>
            <w:tcW w:w="655" w:type="pct"/>
            <w:tcBorders>
              <w:top w:val="single" w:sz="4" w:space="0" w:color="auto"/>
              <w:left w:val="single" w:sz="4" w:space="0" w:color="auto"/>
              <w:bottom w:val="single" w:sz="4" w:space="0" w:color="auto"/>
              <w:right w:val="single" w:sz="4" w:space="0" w:color="auto"/>
            </w:tcBorders>
            <w:vAlign w:val="center"/>
            <w:hideMark/>
          </w:tcPr>
          <w:p w14:paraId="4C5EBE9E" w14:textId="2B75A80E" w:rsidR="00A97D80" w:rsidRPr="00A97D80" w:rsidRDefault="00A97D80" w:rsidP="008B6DE5">
            <w:pPr>
              <w:jc w:val="center"/>
              <w:rPr>
                <w:sz w:val="20"/>
                <w:szCs w:val="20"/>
              </w:rPr>
            </w:pPr>
            <w:r w:rsidRPr="00A97D80">
              <w:rPr>
                <w:sz w:val="20"/>
                <w:szCs w:val="20"/>
              </w:rPr>
              <w:t>89%</w:t>
            </w:r>
          </w:p>
        </w:tc>
        <w:tc>
          <w:tcPr>
            <w:tcW w:w="655" w:type="pct"/>
            <w:tcBorders>
              <w:top w:val="single" w:sz="4" w:space="0" w:color="auto"/>
              <w:left w:val="single" w:sz="4" w:space="0" w:color="auto"/>
              <w:bottom w:val="single" w:sz="4" w:space="0" w:color="auto"/>
              <w:right w:val="single" w:sz="4" w:space="0" w:color="auto"/>
            </w:tcBorders>
            <w:vAlign w:val="center"/>
          </w:tcPr>
          <w:p w14:paraId="3C3B8130" w14:textId="08EA4CC4" w:rsidR="001D7A0C" w:rsidRPr="008B6DE5" w:rsidRDefault="008B6DE5" w:rsidP="008B6DE5">
            <w:pPr>
              <w:jc w:val="center"/>
              <w:rPr>
                <w:sz w:val="20"/>
                <w:szCs w:val="20"/>
              </w:rPr>
            </w:pPr>
            <w:r w:rsidRPr="008B6DE5">
              <w:rPr>
                <w:sz w:val="20"/>
                <w:szCs w:val="20"/>
              </w:rPr>
              <w:t>92%</w:t>
            </w:r>
          </w:p>
        </w:tc>
      </w:tr>
      <w:tr w:rsidR="001D7A0C" w:rsidRPr="00A97D80" w14:paraId="468328D2" w14:textId="51D7EC52" w:rsidTr="008B6DE5">
        <w:tc>
          <w:tcPr>
            <w:tcW w:w="2382" w:type="pct"/>
            <w:tcBorders>
              <w:top w:val="single" w:sz="4" w:space="0" w:color="auto"/>
              <w:left w:val="single" w:sz="4" w:space="0" w:color="auto"/>
              <w:bottom w:val="single" w:sz="4" w:space="0" w:color="auto"/>
              <w:right w:val="single" w:sz="4" w:space="0" w:color="auto"/>
            </w:tcBorders>
            <w:vAlign w:val="center"/>
            <w:hideMark/>
          </w:tcPr>
          <w:p w14:paraId="0EC346B0" w14:textId="0CBEE4E2" w:rsidR="00A97D80" w:rsidRPr="00A97D80" w:rsidRDefault="00A97D80" w:rsidP="00A97D80">
            <w:pPr>
              <w:rPr>
                <w:sz w:val="20"/>
                <w:szCs w:val="20"/>
              </w:rPr>
            </w:pPr>
            <w:r w:rsidRPr="00A97D80">
              <w:rPr>
                <w:sz w:val="20"/>
                <w:szCs w:val="20"/>
              </w:rPr>
              <w:t xml:space="preserve">Alternative </w:t>
            </w:r>
            <w:r w:rsidR="008B6DE5" w:rsidRPr="008B6DE5">
              <w:rPr>
                <w:sz w:val="20"/>
                <w:szCs w:val="20"/>
              </w:rPr>
              <w:t xml:space="preserve">Accreditation </w:t>
            </w:r>
            <w:r w:rsidRPr="00A97D80">
              <w:rPr>
                <w:sz w:val="20"/>
                <w:szCs w:val="20"/>
              </w:rPr>
              <w:t>Plan</w:t>
            </w:r>
          </w:p>
        </w:tc>
        <w:tc>
          <w:tcPr>
            <w:tcW w:w="655" w:type="pct"/>
            <w:tcBorders>
              <w:top w:val="single" w:sz="4" w:space="0" w:color="auto"/>
              <w:left w:val="single" w:sz="4" w:space="0" w:color="auto"/>
              <w:bottom w:val="single" w:sz="4" w:space="0" w:color="auto"/>
              <w:right w:val="single" w:sz="4" w:space="0" w:color="auto"/>
            </w:tcBorders>
            <w:vAlign w:val="center"/>
            <w:hideMark/>
          </w:tcPr>
          <w:p w14:paraId="747B89E1" w14:textId="77777777" w:rsidR="00A97D80" w:rsidRPr="00A97D80" w:rsidRDefault="00A97D80" w:rsidP="008B6DE5">
            <w:pPr>
              <w:jc w:val="center"/>
              <w:rPr>
                <w:sz w:val="20"/>
                <w:szCs w:val="20"/>
              </w:rPr>
            </w:pPr>
            <w:r w:rsidRPr="00A97D80">
              <w:rPr>
                <w:sz w:val="20"/>
                <w:szCs w:val="20"/>
              </w:rPr>
              <w:t>3</w:t>
            </w:r>
          </w:p>
        </w:tc>
        <w:tc>
          <w:tcPr>
            <w:tcW w:w="655" w:type="pct"/>
            <w:tcBorders>
              <w:top w:val="single" w:sz="4" w:space="0" w:color="auto"/>
              <w:left w:val="single" w:sz="4" w:space="0" w:color="auto"/>
              <w:bottom w:val="single" w:sz="4" w:space="0" w:color="auto"/>
              <w:right w:val="single" w:sz="4" w:space="0" w:color="auto"/>
            </w:tcBorders>
            <w:vAlign w:val="center"/>
          </w:tcPr>
          <w:p w14:paraId="642C1101" w14:textId="4DFB3377" w:rsidR="001D7A0C" w:rsidRPr="008B6DE5" w:rsidRDefault="00FC29B7" w:rsidP="008B6DE5">
            <w:pPr>
              <w:jc w:val="center"/>
              <w:rPr>
                <w:sz w:val="20"/>
                <w:szCs w:val="20"/>
              </w:rPr>
            </w:pPr>
            <w:r>
              <w:rPr>
                <w:sz w:val="20"/>
                <w:szCs w:val="20"/>
              </w:rPr>
              <w:t>5</w:t>
            </w:r>
          </w:p>
        </w:tc>
        <w:tc>
          <w:tcPr>
            <w:tcW w:w="655" w:type="pct"/>
            <w:tcBorders>
              <w:top w:val="single" w:sz="4" w:space="0" w:color="auto"/>
              <w:left w:val="single" w:sz="4" w:space="0" w:color="auto"/>
              <w:bottom w:val="single" w:sz="4" w:space="0" w:color="auto"/>
              <w:right w:val="single" w:sz="4" w:space="0" w:color="auto"/>
            </w:tcBorders>
            <w:vAlign w:val="center"/>
            <w:hideMark/>
          </w:tcPr>
          <w:p w14:paraId="42656291" w14:textId="78C2CC7F" w:rsidR="00A97D80" w:rsidRPr="00A97D80" w:rsidRDefault="00A97D80" w:rsidP="008B6DE5">
            <w:pPr>
              <w:jc w:val="center"/>
              <w:rPr>
                <w:sz w:val="20"/>
                <w:szCs w:val="20"/>
              </w:rPr>
            </w:pPr>
            <w:r w:rsidRPr="00A97D80">
              <w:rPr>
                <w:sz w:val="20"/>
                <w:szCs w:val="20"/>
              </w:rPr>
              <w:t>&lt;1%</w:t>
            </w:r>
          </w:p>
        </w:tc>
        <w:tc>
          <w:tcPr>
            <w:tcW w:w="655" w:type="pct"/>
            <w:tcBorders>
              <w:top w:val="single" w:sz="4" w:space="0" w:color="auto"/>
              <w:left w:val="single" w:sz="4" w:space="0" w:color="auto"/>
              <w:bottom w:val="single" w:sz="4" w:space="0" w:color="auto"/>
              <w:right w:val="single" w:sz="4" w:space="0" w:color="auto"/>
            </w:tcBorders>
            <w:vAlign w:val="center"/>
          </w:tcPr>
          <w:p w14:paraId="6391F67B" w14:textId="45AE40B0" w:rsidR="001D7A0C" w:rsidRPr="008B6DE5" w:rsidRDefault="008B6DE5" w:rsidP="008B6DE5">
            <w:pPr>
              <w:jc w:val="center"/>
              <w:rPr>
                <w:sz w:val="20"/>
                <w:szCs w:val="20"/>
              </w:rPr>
            </w:pPr>
            <w:r w:rsidRPr="008B6DE5">
              <w:rPr>
                <w:sz w:val="20"/>
                <w:szCs w:val="20"/>
              </w:rPr>
              <w:t>&lt;1%</w:t>
            </w:r>
          </w:p>
        </w:tc>
      </w:tr>
      <w:tr w:rsidR="001D7A0C" w:rsidRPr="00A97D80" w14:paraId="73E4746B" w14:textId="71A9ADB7" w:rsidTr="008B6DE5">
        <w:tc>
          <w:tcPr>
            <w:tcW w:w="2382" w:type="pct"/>
            <w:tcBorders>
              <w:top w:val="single" w:sz="4" w:space="0" w:color="auto"/>
              <w:left w:val="single" w:sz="4" w:space="0" w:color="auto"/>
              <w:bottom w:val="single" w:sz="4" w:space="0" w:color="auto"/>
              <w:right w:val="single" w:sz="4" w:space="0" w:color="auto"/>
            </w:tcBorders>
            <w:vAlign w:val="center"/>
            <w:hideMark/>
          </w:tcPr>
          <w:p w14:paraId="30C1D974" w14:textId="77777777" w:rsidR="00A97D80" w:rsidRPr="00A97D80" w:rsidRDefault="00A97D80" w:rsidP="00A97D80">
            <w:pPr>
              <w:rPr>
                <w:sz w:val="20"/>
                <w:szCs w:val="20"/>
              </w:rPr>
            </w:pPr>
            <w:r w:rsidRPr="00A97D80">
              <w:rPr>
                <w:sz w:val="20"/>
                <w:szCs w:val="20"/>
              </w:rPr>
              <w:t>Accredited With Conditions</w:t>
            </w:r>
          </w:p>
        </w:tc>
        <w:tc>
          <w:tcPr>
            <w:tcW w:w="655" w:type="pct"/>
            <w:tcBorders>
              <w:top w:val="single" w:sz="4" w:space="0" w:color="auto"/>
              <w:left w:val="single" w:sz="4" w:space="0" w:color="auto"/>
              <w:bottom w:val="single" w:sz="4" w:space="0" w:color="auto"/>
              <w:right w:val="single" w:sz="4" w:space="0" w:color="auto"/>
            </w:tcBorders>
            <w:vAlign w:val="center"/>
            <w:hideMark/>
          </w:tcPr>
          <w:p w14:paraId="17C016D4" w14:textId="77777777" w:rsidR="00A97D80" w:rsidRPr="00A97D80" w:rsidRDefault="00A97D80" w:rsidP="008B6DE5">
            <w:pPr>
              <w:jc w:val="center"/>
              <w:rPr>
                <w:sz w:val="20"/>
                <w:szCs w:val="20"/>
              </w:rPr>
            </w:pPr>
            <w:r w:rsidRPr="00A97D80">
              <w:rPr>
                <w:sz w:val="20"/>
                <w:szCs w:val="20"/>
              </w:rPr>
              <w:t>190</w:t>
            </w:r>
          </w:p>
        </w:tc>
        <w:tc>
          <w:tcPr>
            <w:tcW w:w="655" w:type="pct"/>
            <w:tcBorders>
              <w:top w:val="single" w:sz="4" w:space="0" w:color="auto"/>
              <w:left w:val="single" w:sz="4" w:space="0" w:color="auto"/>
              <w:bottom w:val="single" w:sz="4" w:space="0" w:color="auto"/>
              <w:right w:val="single" w:sz="4" w:space="0" w:color="auto"/>
            </w:tcBorders>
            <w:vAlign w:val="center"/>
          </w:tcPr>
          <w:p w14:paraId="40467843" w14:textId="4A2B2558" w:rsidR="001D7A0C" w:rsidRPr="008B6DE5" w:rsidRDefault="00FC29B7" w:rsidP="008B6DE5">
            <w:pPr>
              <w:jc w:val="center"/>
              <w:rPr>
                <w:sz w:val="20"/>
                <w:szCs w:val="20"/>
              </w:rPr>
            </w:pPr>
            <w:r>
              <w:rPr>
                <w:sz w:val="20"/>
                <w:szCs w:val="20"/>
              </w:rPr>
              <w:t>132</w:t>
            </w:r>
          </w:p>
        </w:tc>
        <w:tc>
          <w:tcPr>
            <w:tcW w:w="655" w:type="pct"/>
            <w:tcBorders>
              <w:top w:val="single" w:sz="4" w:space="0" w:color="auto"/>
              <w:left w:val="single" w:sz="4" w:space="0" w:color="auto"/>
              <w:bottom w:val="single" w:sz="4" w:space="0" w:color="auto"/>
              <w:right w:val="single" w:sz="4" w:space="0" w:color="auto"/>
            </w:tcBorders>
            <w:vAlign w:val="center"/>
            <w:hideMark/>
          </w:tcPr>
          <w:p w14:paraId="3F3874C5" w14:textId="099550B9" w:rsidR="00A97D80" w:rsidRPr="00A97D80" w:rsidRDefault="00A97D80" w:rsidP="008B6DE5">
            <w:pPr>
              <w:jc w:val="center"/>
              <w:rPr>
                <w:sz w:val="20"/>
                <w:szCs w:val="20"/>
              </w:rPr>
            </w:pPr>
            <w:r w:rsidRPr="00A97D80">
              <w:rPr>
                <w:sz w:val="20"/>
                <w:szCs w:val="20"/>
              </w:rPr>
              <w:t>10%</w:t>
            </w:r>
          </w:p>
        </w:tc>
        <w:tc>
          <w:tcPr>
            <w:tcW w:w="655" w:type="pct"/>
            <w:tcBorders>
              <w:top w:val="single" w:sz="4" w:space="0" w:color="auto"/>
              <w:left w:val="single" w:sz="4" w:space="0" w:color="auto"/>
              <w:bottom w:val="single" w:sz="4" w:space="0" w:color="auto"/>
              <w:right w:val="single" w:sz="4" w:space="0" w:color="auto"/>
            </w:tcBorders>
            <w:vAlign w:val="center"/>
          </w:tcPr>
          <w:p w14:paraId="157A27F0" w14:textId="6B6B5E3F" w:rsidR="001D7A0C" w:rsidRPr="008B6DE5" w:rsidRDefault="008B6DE5" w:rsidP="008B6DE5">
            <w:pPr>
              <w:jc w:val="center"/>
              <w:rPr>
                <w:sz w:val="20"/>
                <w:szCs w:val="20"/>
              </w:rPr>
            </w:pPr>
            <w:r w:rsidRPr="008B6DE5">
              <w:rPr>
                <w:sz w:val="20"/>
                <w:szCs w:val="20"/>
              </w:rPr>
              <w:t>7%</w:t>
            </w:r>
          </w:p>
        </w:tc>
      </w:tr>
      <w:tr w:rsidR="001D7A0C" w:rsidRPr="00A97D80" w14:paraId="3EA700BD" w14:textId="0A5AEFBE" w:rsidTr="008B6DE5">
        <w:tc>
          <w:tcPr>
            <w:tcW w:w="2382" w:type="pct"/>
            <w:tcBorders>
              <w:top w:val="single" w:sz="4" w:space="0" w:color="auto"/>
              <w:left w:val="single" w:sz="4" w:space="0" w:color="auto"/>
              <w:bottom w:val="single" w:sz="4" w:space="0" w:color="auto"/>
              <w:right w:val="single" w:sz="4" w:space="0" w:color="auto"/>
            </w:tcBorders>
            <w:vAlign w:val="center"/>
            <w:hideMark/>
          </w:tcPr>
          <w:p w14:paraId="1E531852" w14:textId="77777777" w:rsidR="00A97D80" w:rsidRPr="00A97D80" w:rsidRDefault="00A97D80" w:rsidP="00A97D80">
            <w:pPr>
              <w:rPr>
                <w:sz w:val="20"/>
                <w:szCs w:val="20"/>
              </w:rPr>
            </w:pPr>
            <w:r w:rsidRPr="00A97D80">
              <w:rPr>
                <w:sz w:val="20"/>
                <w:szCs w:val="20"/>
              </w:rPr>
              <w:t>New School</w:t>
            </w:r>
          </w:p>
        </w:tc>
        <w:tc>
          <w:tcPr>
            <w:tcW w:w="655" w:type="pct"/>
            <w:tcBorders>
              <w:top w:val="single" w:sz="4" w:space="0" w:color="auto"/>
              <w:left w:val="single" w:sz="4" w:space="0" w:color="auto"/>
              <w:bottom w:val="single" w:sz="4" w:space="0" w:color="auto"/>
              <w:right w:val="single" w:sz="4" w:space="0" w:color="auto"/>
            </w:tcBorders>
            <w:vAlign w:val="center"/>
            <w:hideMark/>
          </w:tcPr>
          <w:p w14:paraId="74D8C78B" w14:textId="77777777" w:rsidR="00A97D80" w:rsidRPr="00A97D80" w:rsidRDefault="00A97D80" w:rsidP="008B6DE5">
            <w:pPr>
              <w:jc w:val="center"/>
              <w:rPr>
                <w:sz w:val="20"/>
                <w:szCs w:val="20"/>
              </w:rPr>
            </w:pPr>
            <w:r w:rsidRPr="00A97D80">
              <w:rPr>
                <w:sz w:val="20"/>
                <w:szCs w:val="20"/>
              </w:rPr>
              <w:t>9</w:t>
            </w:r>
          </w:p>
        </w:tc>
        <w:tc>
          <w:tcPr>
            <w:tcW w:w="655" w:type="pct"/>
            <w:tcBorders>
              <w:top w:val="single" w:sz="4" w:space="0" w:color="auto"/>
              <w:left w:val="single" w:sz="4" w:space="0" w:color="auto"/>
              <w:bottom w:val="single" w:sz="4" w:space="0" w:color="auto"/>
              <w:right w:val="single" w:sz="4" w:space="0" w:color="auto"/>
            </w:tcBorders>
            <w:vAlign w:val="center"/>
          </w:tcPr>
          <w:p w14:paraId="5E903DBA" w14:textId="2E81E9A6" w:rsidR="001D7A0C" w:rsidRPr="008B6DE5" w:rsidRDefault="008B6DE5" w:rsidP="008B6DE5">
            <w:pPr>
              <w:jc w:val="center"/>
              <w:rPr>
                <w:sz w:val="20"/>
                <w:szCs w:val="20"/>
              </w:rPr>
            </w:pPr>
            <w:r w:rsidRPr="008B6DE5">
              <w:rPr>
                <w:sz w:val="20"/>
                <w:szCs w:val="20"/>
              </w:rPr>
              <w:t>6</w:t>
            </w:r>
          </w:p>
        </w:tc>
        <w:tc>
          <w:tcPr>
            <w:tcW w:w="655" w:type="pct"/>
            <w:tcBorders>
              <w:top w:val="single" w:sz="4" w:space="0" w:color="auto"/>
              <w:left w:val="single" w:sz="4" w:space="0" w:color="auto"/>
              <w:bottom w:val="single" w:sz="4" w:space="0" w:color="auto"/>
              <w:right w:val="single" w:sz="4" w:space="0" w:color="auto"/>
            </w:tcBorders>
            <w:vAlign w:val="center"/>
            <w:hideMark/>
          </w:tcPr>
          <w:p w14:paraId="3B6C23D2" w14:textId="6A807EE0" w:rsidR="00A97D80" w:rsidRPr="00A97D80" w:rsidRDefault="00A97D80" w:rsidP="008B6DE5">
            <w:pPr>
              <w:jc w:val="center"/>
              <w:rPr>
                <w:sz w:val="20"/>
                <w:szCs w:val="20"/>
              </w:rPr>
            </w:pPr>
            <w:r w:rsidRPr="00A97D80">
              <w:rPr>
                <w:sz w:val="20"/>
                <w:szCs w:val="20"/>
              </w:rPr>
              <w:t>&lt;1%</w:t>
            </w:r>
          </w:p>
        </w:tc>
        <w:tc>
          <w:tcPr>
            <w:tcW w:w="655" w:type="pct"/>
            <w:tcBorders>
              <w:top w:val="single" w:sz="4" w:space="0" w:color="auto"/>
              <w:left w:val="single" w:sz="4" w:space="0" w:color="auto"/>
              <w:bottom w:val="single" w:sz="4" w:space="0" w:color="auto"/>
              <w:right w:val="single" w:sz="4" w:space="0" w:color="auto"/>
            </w:tcBorders>
            <w:vAlign w:val="center"/>
          </w:tcPr>
          <w:p w14:paraId="5DABFF6C" w14:textId="39E9A6E1" w:rsidR="001D7A0C" w:rsidRPr="008B6DE5" w:rsidRDefault="008B6DE5" w:rsidP="008B6DE5">
            <w:pPr>
              <w:jc w:val="center"/>
              <w:rPr>
                <w:sz w:val="20"/>
                <w:szCs w:val="20"/>
              </w:rPr>
            </w:pPr>
            <w:r w:rsidRPr="008B6DE5">
              <w:rPr>
                <w:sz w:val="20"/>
                <w:szCs w:val="20"/>
              </w:rPr>
              <w:t>&lt;1%</w:t>
            </w:r>
          </w:p>
        </w:tc>
      </w:tr>
      <w:tr w:rsidR="001D7A0C" w:rsidRPr="00A97D80" w14:paraId="61A0D04F" w14:textId="2A72C34E" w:rsidTr="008B6DE5">
        <w:tc>
          <w:tcPr>
            <w:tcW w:w="2382" w:type="pct"/>
            <w:tcBorders>
              <w:top w:val="single" w:sz="4" w:space="0" w:color="auto"/>
              <w:left w:val="single" w:sz="4" w:space="0" w:color="auto"/>
              <w:bottom w:val="single" w:sz="4" w:space="0" w:color="auto"/>
              <w:right w:val="single" w:sz="4" w:space="0" w:color="auto"/>
            </w:tcBorders>
            <w:vAlign w:val="center"/>
            <w:hideMark/>
          </w:tcPr>
          <w:p w14:paraId="27D41725" w14:textId="77777777" w:rsidR="00A97D80" w:rsidRPr="00A97D80" w:rsidRDefault="00A97D80" w:rsidP="00A97D80">
            <w:pPr>
              <w:rPr>
                <w:sz w:val="20"/>
                <w:szCs w:val="20"/>
              </w:rPr>
            </w:pPr>
            <w:r w:rsidRPr="00A97D80">
              <w:rPr>
                <w:sz w:val="20"/>
                <w:szCs w:val="20"/>
              </w:rPr>
              <w:t>Total</w:t>
            </w:r>
          </w:p>
        </w:tc>
        <w:tc>
          <w:tcPr>
            <w:tcW w:w="655" w:type="pct"/>
            <w:tcBorders>
              <w:top w:val="single" w:sz="4" w:space="0" w:color="auto"/>
              <w:left w:val="single" w:sz="4" w:space="0" w:color="auto"/>
              <w:bottom w:val="single" w:sz="4" w:space="0" w:color="auto"/>
              <w:right w:val="single" w:sz="4" w:space="0" w:color="auto"/>
            </w:tcBorders>
            <w:vAlign w:val="center"/>
            <w:hideMark/>
          </w:tcPr>
          <w:p w14:paraId="0E88C108" w14:textId="77777777" w:rsidR="00A97D80" w:rsidRPr="00A97D80" w:rsidRDefault="00A97D80" w:rsidP="008B6DE5">
            <w:pPr>
              <w:jc w:val="center"/>
              <w:rPr>
                <w:sz w:val="20"/>
                <w:szCs w:val="20"/>
              </w:rPr>
            </w:pPr>
            <w:r w:rsidRPr="00A97D80">
              <w:rPr>
                <w:sz w:val="20"/>
                <w:szCs w:val="20"/>
              </w:rPr>
              <w:t>1,830</w:t>
            </w:r>
          </w:p>
        </w:tc>
        <w:tc>
          <w:tcPr>
            <w:tcW w:w="655" w:type="pct"/>
            <w:tcBorders>
              <w:top w:val="single" w:sz="4" w:space="0" w:color="auto"/>
              <w:left w:val="single" w:sz="4" w:space="0" w:color="auto"/>
              <w:bottom w:val="single" w:sz="4" w:space="0" w:color="auto"/>
              <w:right w:val="single" w:sz="4" w:space="0" w:color="auto"/>
            </w:tcBorders>
            <w:vAlign w:val="center"/>
          </w:tcPr>
          <w:p w14:paraId="4458DFCC" w14:textId="6F900FEF" w:rsidR="001D7A0C" w:rsidRPr="008B6DE5" w:rsidRDefault="008B6DE5" w:rsidP="008B6DE5">
            <w:pPr>
              <w:jc w:val="center"/>
              <w:rPr>
                <w:sz w:val="20"/>
                <w:szCs w:val="20"/>
              </w:rPr>
            </w:pPr>
            <w:r w:rsidRPr="008B6DE5">
              <w:rPr>
                <w:sz w:val="20"/>
                <w:szCs w:val="20"/>
              </w:rPr>
              <w:t>1,825</w:t>
            </w:r>
          </w:p>
        </w:tc>
        <w:tc>
          <w:tcPr>
            <w:tcW w:w="655" w:type="pct"/>
            <w:tcBorders>
              <w:top w:val="single" w:sz="4" w:space="0" w:color="auto"/>
              <w:left w:val="single" w:sz="4" w:space="0" w:color="auto"/>
              <w:bottom w:val="single" w:sz="4" w:space="0" w:color="auto"/>
              <w:right w:val="single" w:sz="4" w:space="0" w:color="auto"/>
            </w:tcBorders>
            <w:vAlign w:val="center"/>
            <w:hideMark/>
          </w:tcPr>
          <w:p w14:paraId="2F621A89" w14:textId="5E9CE70E" w:rsidR="00A97D80" w:rsidRPr="00A97D80" w:rsidRDefault="00A97D80" w:rsidP="008B6DE5">
            <w:pPr>
              <w:jc w:val="center"/>
              <w:rPr>
                <w:sz w:val="20"/>
                <w:szCs w:val="20"/>
              </w:rPr>
            </w:pPr>
            <w:r w:rsidRPr="00A97D80">
              <w:rPr>
                <w:sz w:val="20"/>
                <w:szCs w:val="20"/>
              </w:rPr>
              <w:t>100%</w:t>
            </w:r>
          </w:p>
        </w:tc>
        <w:tc>
          <w:tcPr>
            <w:tcW w:w="655" w:type="pct"/>
            <w:tcBorders>
              <w:top w:val="single" w:sz="4" w:space="0" w:color="auto"/>
              <w:left w:val="single" w:sz="4" w:space="0" w:color="auto"/>
              <w:bottom w:val="single" w:sz="4" w:space="0" w:color="auto"/>
              <w:right w:val="single" w:sz="4" w:space="0" w:color="auto"/>
            </w:tcBorders>
            <w:vAlign w:val="center"/>
          </w:tcPr>
          <w:p w14:paraId="0FBB3E7D" w14:textId="5D323EB6" w:rsidR="001D7A0C" w:rsidRPr="008B6DE5" w:rsidRDefault="008B6DE5" w:rsidP="008B6DE5">
            <w:pPr>
              <w:jc w:val="center"/>
              <w:rPr>
                <w:sz w:val="20"/>
                <w:szCs w:val="20"/>
              </w:rPr>
            </w:pPr>
            <w:r w:rsidRPr="008B6DE5">
              <w:rPr>
                <w:sz w:val="20"/>
                <w:szCs w:val="20"/>
              </w:rPr>
              <w:t>100%</w:t>
            </w:r>
          </w:p>
        </w:tc>
      </w:tr>
    </w:tbl>
    <w:p w14:paraId="71645F08" w14:textId="64422F42" w:rsidR="00A97D80" w:rsidRDefault="00A97D80" w:rsidP="00A97D80"/>
    <w:p w14:paraId="329EAB2C" w14:textId="275137D9" w:rsidR="00A97D80" w:rsidRPr="00A97D80" w:rsidRDefault="00A97D80" w:rsidP="00A97D80">
      <w:r w:rsidRPr="00A97D80">
        <w:t>Under the accreditation system adopted by the state Board of Education in 2017 and implemented the following year, schools are evaluated on school quality indicators grouped in three categories: academic achievement, achievement gaps, and student engagement and outcomes.  Performance on each indicator is rated at one of the following levels:</w:t>
      </w:r>
    </w:p>
    <w:p w14:paraId="0C1974CE" w14:textId="3454B99D" w:rsidR="00A97D80" w:rsidRPr="00A97D80" w:rsidRDefault="00B176F2" w:rsidP="005C4A0A">
      <w:pPr>
        <w:pStyle w:val="ListParagraph"/>
        <w:numPr>
          <w:ilvl w:val="0"/>
          <w:numId w:val="14"/>
        </w:numPr>
      </w:pPr>
      <w:r>
        <w:t>Level 1</w:t>
      </w:r>
      <w:r w:rsidR="00A97D80" w:rsidRPr="00A97D80">
        <w:t>: Meets or exceeds state standard or sufficient improvement</w:t>
      </w:r>
      <w:r w:rsidR="001D7A0C">
        <w:t>.</w:t>
      </w:r>
    </w:p>
    <w:p w14:paraId="47A2B0B1" w14:textId="673A7852" w:rsidR="00A97D80" w:rsidRPr="00A97D80" w:rsidRDefault="00B176F2" w:rsidP="005C4A0A">
      <w:pPr>
        <w:pStyle w:val="ListParagraph"/>
        <w:numPr>
          <w:ilvl w:val="0"/>
          <w:numId w:val="14"/>
        </w:numPr>
      </w:pPr>
      <w:r>
        <w:t>Level 2</w:t>
      </w:r>
      <w:r w:rsidR="00A97D80" w:rsidRPr="00A97D80">
        <w:t>: Near state standard or sufficient improvement</w:t>
      </w:r>
      <w:r w:rsidR="001D7A0C">
        <w:t>.</w:t>
      </w:r>
    </w:p>
    <w:p w14:paraId="4761566F" w14:textId="78F66B6E" w:rsidR="00A97D80" w:rsidRPr="00A97D80" w:rsidRDefault="00B176F2" w:rsidP="005C4A0A">
      <w:pPr>
        <w:pStyle w:val="ListParagraph"/>
        <w:numPr>
          <w:ilvl w:val="0"/>
          <w:numId w:val="14"/>
        </w:numPr>
      </w:pPr>
      <w:r>
        <w:t>Level 3</w:t>
      </w:r>
      <w:r w:rsidR="00A97D80" w:rsidRPr="00A97D80">
        <w:t>: Below state standard</w:t>
      </w:r>
      <w:r w:rsidR="001D7A0C">
        <w:t>.</w:t>
      </w:r>
    </w:p>
    <w:p w14:paraId="7C3DBBE2" w14:textId="77777777" w:rsidR="00A97D80" w:rsidRPr="00A97D80" w:rsidRDefault="00A97D80" w:rsidP="00A97D80"/>
    <w:p w14:paraId="675DCBF4" w14:textId="0D036344" w:rsidR="00A97D80" w:rsidRDefault="00A97D80" w:rsidP="00A97D80">
      <w:r w:rsidRPr="00A97D80">
        <w:t>The following tables summarize how Virginia schools performed on each applicable indicator.</w:t>
      </w:r>
    </w:p>
    <w:p w14:paraId="5603D1A9" w14:textId="338AA9E6" w:rsidR="00315F1D" w:rsidRDefault="00315F1D" w:rsidP="00A97D80"/>
    <w:p w14:paraId="69A4A934" w14:textId="749C1D20" w:rsidR="00315F1D" w:rsidRPr="00315F1D" w:rsidRDefault="00315F1D" w:rsidP="00315F1D">
      <w:pPr>
        <w:jc w:val="center"/>
        <w:rPr>
          <w:i/>
        </w:rPr>
      </w:pPr>
      <w:r w:rsidRPr="00315F1D">
        <w:rPr>
          <w:i/>
        </w:rPr>
        <w:t>(more)</w:t>
      </w:r>
    </w:p>
    <w:p w14:paraId="70EF84BF" w14:textId="77777777" w:rsidR="00315F1D" w:rsidRDefault="00315F1D" w:rsidP="004F1EB1">
      <w:pPr>
        <w:pStyle w:val="Heading3"/>
      </w:pPr>
    </w:p>
    <w:p w14:paraId="314EC2F5" w14:textId="369799AE" w:rsidR="00A97D80" w:rsidRPr="00A97D80" w:rsidRDefault="00A97D80" w:rsidP="004F1EB1">
      <w:pPr>
        <w:pStyle w:val="Heading3"/>
      </w:pPr>
      <w:r w:rsidRPr="00A97D80">
        <w:t>Academic Achievement Summary</w:t>
      </w:r>
    </w:p>
    <w:tbl>
      <w:tblPr>
        <w:tblStyle w:val="TableGrid6"/>
        <w:tblW w:w="0" w:type="auto"/>
        <w:tblInd w:w="0" w:type="dxa"/>
        <w:tblLook w:val="04A0" w:firstRow="1" w:lastRow="0" w:firstColumn="1" w:lastColumn="0" w:noHBand="0" w:noVBand="1"/>
        <w:tblCaption w:val="Academic Achievement Summary"/>
        <w:tblDescription w:val="Table displays data on number of schools rated at levels one, two and three in English, mathematics and science."/>
      </w:tblPr>
      <w:tblGrid>
        <w:gridCol w:w="1350"/>
        <w:gridCol w:w="1173"/>
        <w:gridCol w:w="1173"/>
        <w:gridCol w:w="1173"/>
        <w:gridCol w:w="1173"/>
        <w:gridCol w:w="1173"/>
        <w:gridCol w:w="1173"/>
      </w:tblGrid>
      <w:tr w:rsidR="006944B9" w:rsidRPr="00A97D80" w14:paraId="1FFA8E37" w14:textId="7078BAA7" w:rsidTr="00D74929">
        <w:trPr>
          <w:tblHeader/>
        </w:trPr>
        <w:tc>
          <w:tcPr>
            <w:tcW w:w="0" w:type="auto"/>
            <w:vMerge w:val="restart"/>
            <w:tcBorders>
              <w:top w:val="single" w:sz="4" w:space="0" w:color="auto"/>
              <w:left w:val="single" w:sz="4" w:space="0" w:color="auto"/>
              <w:right w:val="single" w:sz="4" w:space="0" w:color="auto"/>
            </w:tcBorders>
            <w:vAlign w:val="center"/>
            <w:hideMark/>
          </w:tcPr>
          <w:p w14:paraId="3599F45E" w14:textId="77777777" w:rsidR="006944B9" w:rsidRPr="00CE653D" w:rsidRDefault="006944B9" w:rsidP="00A97D80">
            <w:pPr>
              <w:rPr>
                <w:rFonts w:ascii="Arial" w:hAnsi="Arial" w:cs="Arial"/>
                <w:sz w:val="20"/>
                <w:szCs w:val="20"/>
              </w:rPr>
            </w:pPr>
            <w:r w:rsidRPr="00CE653D">
              <w:rPr>
                <w:rFonts w:ascii="Arial" w:hAnsi="Arial" w:cs="Arial"/>
                <w:sz w:val="20"/>
                <w:szCs w:val="20"/>
              </w:rPr>
              <w:t>Indicator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B237C2" w14:textId="5AE5287F" w:rsidR="006944B9" w:rsidRPr="00CE653D" w:rsidRDefault="00B176F2" w:rsidP="00CE653D">
            <w:pPr>
              <w:jc w:val="center"/>
              <w:rPr>
                <w:rFonts w:ascii="Arial" w:hAnsi="Arial" w:cs="Arial"/>
                <w:sz w:val="20"/>
                <w:szCs w:val="20"/>
              </w:rPr>
            </w:pPr>
            <w:r>
              <w:rPr>
                <w:rFonts w:ascii="Arial" w:hAnsi="Arial" w:cs="Arial"/>
                <w:sz w:val="20"/>
                <w:szCs w:val="20"/>
              </w:rPr>
              <w:t>Schools at Level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BA622F" w14:textId="7F39490E" w:rsidR="006944B9" w:rsidRPr="00CE653D" w:rsidRDefault="00B176F2" w:rsidP="00CE653D">
            <w:pPr>
              <w:jc w:val="center"/>
              <w:rPr>
                <w:rFonts w:ascii="Arial" w:hAnsi="Arial" w:cs="Arial"/>
                <w:sz w:val="20"/>
                <w:szCs w:val="20"/>
              </w:rPr>
            </w:pPr>
            <w:r>
              <w:rPr>
                <w:rFonts w:ascii="Arial" w:hAnsi="Arial" w:cs="Arial"/>
                <w:sz w:val="20"/>
                <w:szCs w:val="20"/>
              </w:rPr>
              <w:t>Schools at Level 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9D9C17" w14:textId="145E8021" w:rsidR="006944B9" w:rsidRPr="00CE653D" w:rsidRDefault="00B176F2" w:rsidP="00CE653D">
            <w:pPr>
              <w:jc w:val="center"/>
              <w:rPr>
                <w:rFonts w:ascii="Arial" w:hAnsi="Arial" w:cs="Arial"/>
                <w:sz w:val="20"/>
                <w:szCs w:val="20"/>
              </w:rPr>
            </w:pPr>
            <w:r>
              <w:rPr>
                <w:rFonts w:ascii="Arial" w:hAnsi="Arial" w:cs="Arial"/>
                <w:sz w:val="20"/>
                <w:szCs w:val="20"/>
              </w:rPr>
              <w:t>Schools at Level 3</w:t>
            </w:r>
          </w:p>
        </w:tc>
      </w:tr>
      <w:tr w:rsidR="006944B9" w:rsidRPr="00A97D80" w14:paraId="0BB70E3E" w14:textId="77777777" w:rsidTr="00D74929">
        <w:tc>
          <w:tcPr>
            <w:tcW w:w="0" w:type="auto"/>
            <w:vMerge/>
            <w:tcBorders>
              <w:left w:val="single" w:sz="4" w:space="0" w:color="auto"/>
              <w:bottom w:val="single" w:sz="4" w:space="0" w:color="auto"/>
              <w:right w:val="single" w:sz="4" w:space="0" w:color="auto"/>
            </w:tcBorders>
            <w:vAlign w:val="center"/>
          </w:tcPr>
          <w:p w14:paraId="016CE405" w14:textId="77777777" w:rsidR="006944B9" w:rsidRPr="00CE653D" w:rsidRDefault="006944B9" w:rsidP="00A97D80">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9743BC1" w14:textId="64610213" w:rsidR="006944B9" w:rsidRPr="00CE653D" w:rsidRDefault="006944B9" w:rsidP="00CE653D">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0B252DD7" w14:textId="41A25F71" w:rsidR="006944B9" w:rsidRPr="00CE653D" w:rsidRDefault="006944B9" w:rsidP="00CE653D">
            <w:pPr>
              <w:jc w:val="center"/>
              <w:rPr>
                <w:rFonts w:ascii="Arial" w:hAnsi="Arial" w:cs="Arial"/>
                <w:sz w:val="20"/>
                <w:szCs w:val="20"/>
              </w:rPr>
            </w:pPr>
            <w:r w:rsidRPr="00CE653D">
              <w:rPr>
                <w:rFonts w:ascii="Arial" w:hAnsi="Arial" w:cs="Arial"/>
                <w:sz w:val="20"/>
                <w:szCs w:val="20"/>
              </w:rPr>
              <w:t>2019-2020</w:t>
            </w:r>
          </w:p>
        </w:tc>
        <w:tc>
          <w:tcPr>
            <w:tcW w:w="0" w:type="auto"/>
            <w:tcBorders>
              <w:top w:val="single" w:sz="4" w:space="0" w:color="auto"/>
              <w:left w:val="single" w:sz="4" w:space="0" w:color="auto"/>
              <w:bottom w:val="single" w:sz="4" w:space="0" w:color="auto"/>
              <w:right w:val="single" w:sz="4" w:space="0" w:color="auto"/>
            </w:tcBorders>
            <w:vAlign w:val="center"/>
          </w:tcPr>
          <w:p w14:paraId="2C5C3E10" w14:textId="405E6F03" w:rsidR="006944B9" w:rsidRPr="00CE653D" w:rsidRDefault="006944B9" w:rsidP="00CE653D">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69C5C50D" w14:textId="59B6E70C" w:rsidR="006944B9" w:rsidRPr="00CE653D" w:rsidRDefault="006944B9" w:rsidP="00CE653D">
            <w:pPr>
              <w:jc w:val="center"/>
              <w:rPr>
                <w:rFonts w:ascii="Arial" w:hAnsi="Arial" w:cs="Arial"/>
                <w:sz w:val="20"/>
                <w:szCs w:val="20"/>
              </w:rPr>
            </w:pPr>
            <w:r w:rsidRPr="00CE653D">
              <w:rPr>
                <w:rFonts w:ascii="Arial" w:hAnsi="Arial" w:cs="Arial"/>
                <w:sz w:val="20"/>
                <w:szCs w:val="20"/>
              </w:rPr>
              <w:t>2019-2020</w:t>
            </w:r>
          </w:p>
        </w:tc>
        <w:tc>
          <w:tcPr>
            <w:tcW w:w="0" w:type="auto"/>
            <w:tcBorders>
              <w:top w:val="single" w:sz="4" w:space="0" w:color="auto"/>
              <w:left w:val="single" w:sz="4" w:space="0" w:color="auto"/>
              <w:bottom w:val="single" w:sz="4" w:space="0" w:color="auto"/>
              <w:right w:val="single" w:sz="4" w:space="0" w:color="auto"/>
            </w:tcBorders>
            <w:vAlign w:val="center"/>
          </w:tcPr>
          <w:p w14:paraId="63256A5F" w14:textId="1EF70000" w:rsidR="006944B9" w:rsidRPr="00CE653D" w:rsidRDefault="006944B9" w:rsidP="00CE653D">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2D6EB8DF" w14:textId="61826F29" w:rsidR="006944B9" w:rsidRPr="00CE653D" w:rsidRDefault="006944B9" w:rsidP="00CE653D">
            <w:pPr>
              <w:jc w:val="center"/>
              <w:rPr>
                <w:rFonts w:ascii="Arial" w:hAnsi="Arial" w:cs="Arial"/>
                <w:sz w:val="20"/>
                <w:szCs w:val="20"/>
              </w:rPr>
            </w:pPr>
            <w:r w:rsidRPr="00CE653D">
              <w:rPr>
                <w:rFonts w:ascii="Arial" w:hAnsi="Arial" w:cs="Arial"/>
                <w:sz w:val="20"/>
                <w:szCs w:val="20"/>
              </w:rPr>
              <w:t>2019-2020</w:t>
            </w:r>
          </w:p>
        </w:tc>
      </w:tr>
      <w:tr w:rsidR="006944B9" w:rsidRPr="00A97D80" w14:paraId="778F01AC" w14:textId="537A0F46" w:rsidTr="006944B9">
        <w:tc>
          <w:tcPr>
            <w:tcW w:w="0" w:type="auto"/>
            <w:tcBorders>
              <w:top w:val="single" w:sz="4" w:space="0" w:color="auto"/>
              <w:left w:val="single" w:sz="4" w:space="0" w:color="auto"/>
              <w:bottom w:val="single" w:sz="4" w:space="0" w:color="auto"/>
              <w:right w:val="single" w:sz="4" w:space="0" w:color="auto"/>
            </w:tcBorders>
            <w:vAlign w:val="center"/>
            <w:hideMark/>
          </w:tcPr>
          <w:p w14:paraId="6A2EA0EE" w14:textId="77777777" w:rsidR="006944B9" w:rsidRPr="00CE653D" w:rsidRDefault="006944B9" w:rsidP="00A97D80">
            <w:pPr>
              <w:rPr>
                <w:rFonts w:ascii="Arial" w:hAnsi="Arial" w:cs="Arial"/>
                <w:sz w:val="20"/>
                <w:szCs w:val="20"/>
              </w:rPr>
            </w:pPr>
            <w:r w:rsidRPr="00CE653D">
              <w:rPr>
                <w:rFonts w:ascii="Arial" w:hAnsi="Arial" w:cs="Arial"/>
                <w:sz w:val="20"/>
                <w:szCs w:val="20"/>
              </w:rPr>
              <w:t>English</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0B935" w14:textId="6223A924" w:rsidR="006944B9" w:rsidRPr="00CE653D" w:rsidRDefault="00C20B90" w:rsidP="00CE653D">
            <w:pPr>
              <w:jc w:val="center"/>
              <w:rPr>
                <w:rFonts w:ascii="Arial" w:hAnsi="Arial" w:cs="Arial"/>
                <w:sz w:val="20"/>
                <w:szCs w:val="20"/>
              </w:rPr>
            </w:pPr>
            <w:r w:rsidRPr="00CE653D">
              <w:rPr>
                <w:rFonts w:ascii="Arial" w:hAnsi="Arial" w:cs="Arial"/>
                <w:sz w:val="20"/>
                <w:szCs w:val="20"/>
              </w:rPr>
              <w:t>1,705</w:t>
            </w:r>
          </w:p>
        </w:tc>
        <w:tc>
          <w:tcPr>
            <w:tcW w:w="0" w:type="auto"/>
            <w:tcBorders>
              <w:top w:val="single" w:sz="4" w:space="0" w:color="auto"/>
              <w:left w:val="single" w:sz="4" w:space="0" w:color="auto"/>
              <w:bottom w:val="single" w:sz="4" w:space="0" w:color="auto"/>
              <w:right w:val="single" w:sz="4" w:space="0" w:color="auto"/>
            </w:tcBorders>
          </w:tcPr>
          <w:p w14:paraId="1C3DD5A4" w14:textId="4041DBBC" w:rsidR="006944B9" w:rsidRPr="00CE653D" w:rsidRDefault="00C20B90" w:rsidP="00CE653D">
            <w:pPr>
              <w:jc w:val="center"/>
              <w:rPr>
                <w:rFonts w:ascii="Arial" w:hAnsi="Arial" w:cs="Arial"/>
                <w:sz w:val="20"/>
                <w:szCs w:val="20"/>
              </w:rPr>
            </w:pPr>
            <w:r w:rsidRPr="00CE653D">
              <w:rPr>
                <w:rFonts w:ascii="Arial" w:hAnsi="Arial" w:cs="Arial"/>
                <w:sz w:val="20"/>
                <w:szCs w:val="20"/>
              </w:rPr>
              <w:t>1,689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2DEB90" w14:textId="66CE7F5E" w:rsidR="006944B9" w:rsidRPr="00CE653D" w:rsidRDefault="00C20B90" w:rsidP="00CE653D">
            <w:pPr>
              <w:jc w:val="center"/>
              <w:rPr>
                <w:rFonts w:ascii="Arial" w:hAnsi="Arial" w:cs="Arial"/>
                <w:sz w:val="20"/>
                <w:szCs w:val="20"/>
              </w:rPr>
            </w:pPr>
            <w:r w:rsidRPr="00CE653D">
              <w:rPr>
                <w:rFonts w:ascii="Arial" w:hAnsi="Arial" w:cs="Arial"/>
                <w:sz w:val="20"/>
                <w:szCs w:val="20"/>
              </w:rPr>
              <w:t>63</w:t>
            </w:r>
          </w:p>
        </w:tc>
        <w:tc>
          <w:tcPr>
            <w:tcW w:w="0" w:type="auto"/>
            <w:tcBorders>
              <w:top w:val="single" w:sz="4" w:space="0" w:color="auto"/>
              <w:left w:val="single" w:sz="4" w:space="0" w:color="auto"/>
              <w:bottom w:val="single" w:sz="4" w:space="0" w:color="auto"/>
              <w:right w:val="single" w:sz="4" w:space="0" w:color="auto"/>
            </w:tcBorders>
          </w:tcPr>
          <w:p w14:paraId="13F81167" w14:textId="3B1F8266" w:rsidR="006944B9" w:rsidRPr="00CE653D" w:rsidRDefault="00C20B90" w:rsidP="00CE653D">
            <w:pPr>
              <w:jc w:val="center"/>
              <w:rPr>
                <w:rFonts w:ascii="Arial" w:hAnsi="Arial" w:cs="Arial"/>
                <w:sz w:val="20"/>
                <w:szCs w:val="20"/>
              </w:rPr>
            </w:pPr>
            <w:r w:rsidRPr="00CE653D">
              <w:rPr>
                <w:rFonts w:ascii="Arial" w:hAnsi="Arial"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2CDD3" w14:textId="6641E705" w:rsidR="006944B9" w:rsidRPr="00CE653D" w:rsidRDefault="00C20B90" w:rsidP="00CE653D">
            <w:pPr>
              <w:jc w:val="center"/>
              <w:rPr>
                <w:rFonts w:ascii="Arial" w:hAnsi="Arial" w:cs="Arial"/>
                <w:sz w:val="20"/>
                <w:szCs w:val="20"/>
              </w:rPr>
            </w:pPr>
            <w:r w:rsidRPr="00CE653D">
              <w:rPr>
                <w:rFonts w:ascii="Arial" w:hAnsi="Arial" w:cs="Arial"/>
                <w:sz w:val="20"/>
                <w:szCs w:val="20"/>
              </w:rPr>
              <w:t>52</w:t>
            </w:r>
          </w:p>
        </w:tc>
        <w:tc>
          <w:tcPr>
            <w:tcW w:w="0" w:type="auto"/>
            <w:tcBorders>
              <w:top w:val="single" w:sz="4" w:space="0" w:color="auto"/>
              <w:left w:val="single" w:sz="4" w:space="0" w:color="auto"/>
              <w:bottom w:val="single" w:sz="4" w:space="0" w:color="auto"/>
              <w:right w:val="single" w:sz="4" w:space="0" w:color="auto"/>
            </w:tcBorders>
          </w:tcPr>
          <w:p w14:paraId="0CA8C002" w14:textId="1AF6AA60" w:rsidR="006944B9" w:rsidRPr="00CE653D" w:rsidRDefault="00C20B90" w:rsidP="00CE653D">
            <w:pPr>
              <w:jc w:val="center"/>
              <w:rPr>
                <w:rFonts w:ascii="Arial" w:hAnsi="Arial" w:cs="Arial"/>
                <w:sz w:val="20"/>
                <w:szCs w:val="20"/>
              </w:rPr>
            </w:pPr>
            <w:r w:rsidRPr="00CE653D">
              <w:rPr>
                <w:rFonts w:ascii="Arial" w:hAnsi="Arial" w:cs="Arial"/>
                <w:sz w:val="20"/>
                <w:szCs w:val="20"/>
              </w:rPr>
              <w:t>49</w:t>
            </w:r>
          </w:p>
        </w:tc>
      </w:tr>
      <w:tr w:rsidR="006944B9" w:rsidRPr="00A97D80" w14:paraId="4494E297" w14:textId="40DABC75" w:rsidTr="006944B9">
        <w:tc>
          <w:tcPr>
            <w:tcW w:w="0" w:type="auto"/>
            <w:tcBorders>
              <w:top w:val="single" w:sz="4" w:space="0" w:color="auto"/>
              <w:left w:val="single" w:sz="4" w:space="0" w:color="auto"/>
              <w:bottom w:val="single" w:sz="4" w:space="0" w:color="auto"/>
              <w:right w:val="single" w:sz="4" w:space="0" w:color="auto"/>
            </w:tcBorders>
            <w:vAlign w:val="center"/>
            <w:hideMark/>
          </w:tcPr>
          <w:p w14:paraId="44402483" w14:textId="77777777" w:rsidR="006944B9" w:rsidRPr="00CE653D" w:rsidRDefault="006944B9" w:rsidP="00A97D80">
            <w:pPr>
              <w:rPr>
                <w:rFonts w:ascii="Arial" w:hAnsi="Arial" w:cs="Arial"/>
                <w:sz w:val="20"/>
                <w:szCs w:val="20"/>
              </w:rPr>
            </w:pPr>
            <w:r w:rsidRPr="00CE653D">
              <w:rPr>
                <w:rFonts w:ascii="Arial" w:hAnsi="Arial" w:cs="Arial"/>
                <w:sz w:val="20"/>
                <w:szCs w:val="20"/>
              </w:rPr>
              <w:t>Mathematics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58756" w14:textId="0076B3C2" w:rsidR="006944B9" w:rsidRPr="00CE653D" w:rsidRDefault="00C20B90" w:rsidP="00CE653D">
            <w:pPr>
              <w:jc w:val="center"/>
              <w:rPr>
                <w:rFonts w:ascii="Arial" w:hAnsi="Arial" w:cs="Arial"/>
                <w:sz w:val="20"/>
                <w:szCs w:val="20"/>
              </w:rPr>
            </w:pPr>
            <w:r w:rsidRPr="00CE653D">
              <w:rPr>
                <w:rFonts w:ascii="Arial" w:hAnsi="Arial" w:cs="Arial"/>
                <w:sz w:val="20"/>
                <w:szCs w:val="20"/>
              </w:rPr>
              <w:t>1,755</w:t>
            </w:r>
          </w:p>
        </w:tc>
        <w:tc>
          <w:tcPr>
            <w:tcW w:w="0" w:type="auto"/>
            <w:tcBorders>
              <w:top w:val="single" w:sz="4" w:space="0" w:color="auto"/>
              <w:left w:val="single" w:sz="4" w:space="0" w:color="auto"/>
              <w:bottom w:val="single" w:sz="4" w:space="0" w:color="auto"/>
              <w:right w:val="single" w:sz="4" w:space="0" w:color="auto"/>
            </w:tcBorders>
          </w:tcPr>
          <w:p w14:paraId="4097543D" w14:textId="3646C5F8" w:rsidR="006944B9" w:rsidRPr="00CE653D" w:rsidRDefault="00C20B90" w:rsidP="00CE653D">
            <w:pPr>
              <w:jc w:val="center"/>
              <w:rPr>
                <w:rFonts w:ascii="Arial" w:hAnsi="Arial" w:cs="Arial"/>
                <w:sz w:val="20"/>
                <w:szCs w:val="20"/>
              </w:rPr>
            </w:pPr>
            <w:r w:rsidRPr="00CE653D">
              <w:rPr>
                <w:rFonts w:ascii="Arial" w:hAnsi="Arial" w:cs="Arial"/>
                <w:sz w:val="20"/>
                <w:szCs w:val="20"/>
              </w:rPr>
              <w:t>1,769</w:t>
            </w:r>
          </w:p>
        </w:tc>
        <w:tc>
          <w:tcPr>
            <w:tcW w:w="0" w:type="auto"/>
            <w:tcBorders>
              <w:top w:val="single" w:sz="4" w:space="0" w:color="auto"/>
              <w:left w:val="single" w:sz="4" w:space="0" w:color="auto"/>
              <w:bottom w:val="single" w:sz="4" w:space="0" w:color="auto"/>
              <w:right w:val="single" w:sz="4" w:space="0" w:color="auto"/>
            </w:tcBorders>
            <w:vAlign w:val="center"/>
            <w:hideMark/>
          </w:tcPr>
          <w:p w14:paraId="13E5CE9A" w14:textId="0931D262" w:rsidR="006944B9" w:rsidRPr="00CE653D" w:rsidRDefault="00C20B90" w:rsidP="00CE653D">
            <w:pPr>
              <w:jc w:val="center"/>
              <w:rPr>
                <w:rFonts w:ascii="Arial" w:hAnsi="Arial" w:cs="Arial"/>
                <w:sz w:val="20"/>
                <w:szCs w:val="20"/>
              </w:rPr>
            </w:pPr>
            <w:r w:rsidRPr="00CE653D">
              <w:rPr>
                <w:rFonts w:ascii="Arial" w:hAnsi="Arial" w:cs="Arial"/>
                <w:sz w:val="20"/>
                <w:szCs w:val="20"/>
              </w:rPr>
              <w:t>28</w:t>
            </w:r>
          </w:p>
        </w:tc>
        <w:tc>
          <w:tcPr>
            <w:tcW w:w="0" w:type="auto"/>
            <w:tcBorders>
              <w:top w:val="single" w:sz="4" w:space="0" w:color="auto"/>
              <w:left w:val="single" w:sz="4" w:space="0" w:color="auto"/>
              <w:bottom w:val="single" w:sz="4" w:space="0" w:color="auto"/>
              <w:right w:val="single" w:sz="4" w:space="0" w:color="auto"/>
            </w:tcBorders>
          </w:tcPr>
          <w:p w14:paraId="2685EAAC" w14:textId="0DEC14A6" w:rsidR="006944B9" w:rsidRPr="00CE653D" w:rsidRDefault="00A40C28" w:rsidP="00CE653D">
            <w:pPr>
              <w:jc w:val="center"/>
              <w:rPr>
                <w:rFonts w:ascii="Arial" w:hAnsi="Arial" w:cs="Arial"/>
                <w:sz w:val="20"/>
                <w:szCs w:val="20"/>
              </w:rPr>
            </w:pPr>
            <w:r>
              <w:rPr>
                <w:rFonts w:ascii="Arial" w:hAnsi="Arial"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3B432" w14:textId="1228BAE3" w:rsidR="006944B9" w:rsidRPr="00CE653D" w:rsidRDefault="00C20B90" w:rsidP="00CE653D">
            <w:pPr>
              <w:jc w:val="center"/>
              <w:rPr>
                <w:rFonts w:ascii="Arial" w:hAnsi="Arial" w:cs="Arial"/>
                <w:sz w:val="20"/>
                <w:szCs w:val="20"/>
              </w:rPr>
            </w:pPr>
            <w:r w:rsidRPr="00CE653D">
              <w:rPr>
                <w:rFonts w:ascii="Arial" w:hAnsi="Arial" w:cs="Arial"/>
                <w:sz w:val="20"/>
                <w:szCs w:val="20"/>
              </w:rPr>
              <w:t>38</w:t>
            </w:r>
          </w:p>
        </w:tc>
        <w:tc>
          <w:tcPr>
            <w:tcW w:w="0" w:type="auto"/>
            <w:tcBorders>
              <w:top w:val="single" w:sz="4" w:space="0" w:color="auto"/>
              <w:left w:val="single" w:sz="4" w:space="0" w:color="auto"/>
              <w:bottom w:val="single" w:sz="4" w:space="0" w:color="auto"/>
              <w:right w:val="single" w:sz="4" w:space="0" w:color="auto"/>
            </w:tcBorders>
          </w:tcPr>
          <w:p w14:paraId="227CA308" w14:textId="70ECBE39" w:rsidR="006944B9" w:rsidRPr="00CE653D" w:rsidRDefault="00C20B90" w:rsidP="00CE653D">
            <w:pPr>
              <w:jc w:val="center"/>
              <w:rPr>
                <w:rFonts w:ascii="Arial" w:hAnsi="Arial" w:cs="Arial"/>
                <w:sz w:val="20"/>
                <w:szCs w:val="20"/>
              </w:rPr>
            </w:pPr>
            <w:r w:rsidRPr="00CE653D">
              <w:rPr>
                <w:rFonts w:ascii="Arial" w:hAnsi="Arial" w:cs="Arial"/>
                <w:sz w:val="20"/>
                <w:szCs w:val="20"/>
              </w:rPr>
              <w:t>27</w:t>
            </w:r>
          </w:p>
        </w:tc>
      </w:tr>
      <w:tr w:rsidR="006944B9" w:rsidRPr="00A97D80" w14:paraId="51C7057C" w14:textId="22872B2C" w:rsidTr="006944B9">
        <w:tc>
          <w:tcPr>
            <w:tcW w:w="0" w:type="auto"/>
            <w:tcBorders>
              <w:top w:val="single" w:sz="4" w:space="0" w:color="auto"/>
              <w:left w:val="single" w:sz="4" w:space="0" w:color="auto"/>
              <w:bottom w:val="single" w:sz="4" w:space="0" w:color="auto"/>
              <w:right w:val="single" w:sz="4" w:space="0" w:color="auto"/>
            </w:tcBorders>
            <w:vAlign w:val="center"/>
            <w:hideMark/>
          </w:tcPr>
          <w:p w14:paraId="1EC5A196" w14:textId="77777777" w:rsidR="006944B9" w:rsidRPr="00CE653D" w:rsidRDefault="006944B9" w:rsidP="00A97D80">
            <w:pPr>
              <w:rPr>
                <w:rFonts w:ascii="Arial" w:hAnsi="Arial" w:cs="Arial"/>
                <w:sz w:val="20"/>
                <w:szCs w:val="20"/>
              </w:rPr>
            </w:pPr>
            <w:r w:rsidRPr="00CE653D">
              <w:rPr>
                <w:rFonts w:ascii="Arial" w:hAnsi="Arial" w:cs="Arial"/>
                <w:sz w:val="20"/>
                <w:szCs w:val="20"/>
              </w:rPr>
              <w:t>Science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4AC18" w14:textId="35710E06" w:rsidR="006944B9" w:rsidRPr="00CE653D" w:rsidRDefault="00C20B90" w:rsidP="00CE653D">
            <w:pPr>
              <w:jc w:val="center"/>
              <w:rPr>
                <w:rFonts w:ascii="Arial" w:hAnsi="Arial" w:cs="Arial"/>
                <w:sz w:val="20"/>
                <w:szCs w:val="20"/>
              </w:rPr>
            </w:pPr>
            <w:r w:rsidRPr="00CE653D">
              <w:rPr>
                <w:rFonts w:ascii="Arial" w:hAnsi="Arial" w:cs="Arial"/>
                <w:sz w:val="20"/>
                <w:szCs w:val="20"/>
              </w:rPr>
              <w:t>1,381</w:t>
            </w:r>
          </w:p>
        </w:tc>
        <w:tc>
          <w:tcPr>
            <w:tcW w:w="0" w:type="auto"/>
            <w:tcBorders>
              <w:top w:val="single" w:sz="4" w:space="0" w:color="auto"/>
              <w:left w:val="single" w:sz="4" w:space="0" w:color="auto"/>
              <w:bottom w:val="single" w:sz="4" w:space="0" w:color="auto"/>
              <w:right w:val="single" w:sz="4" w:space="0" w:color="auto"/>
            </w:tcBorders>
          </w:tcPr>
          <w:p w14:paraId="4F7C63BA" w14:textId="138587C7" w:rsidR="006944B9" w:rsidRPr="00CE653D" w:rsidRDefault="00C20B90" w:rsidP="00CE653D">
            <w:pPr>
              <w:jc w:val="center"/>
              <w:rPr>
                <w:rFonts w:ascii="Arial" w:hAnsi="Arial" w:cs="Arial"/>
                <w:sz w:val="20"/>
                <w:szCs w:val="20"/>
              </w:rPr>
            </w:pPr>
            <w:r w:rsidRPr="00CE653D">
              <w:rPr>
                <w:rFonts w:ascii="Arial" w:hAnsi="Arial" w:cs="Arial"/>
                <w:sz w:val="20"/>
                <w:szCs w:val="20"/>
              </w:rPr>
              <w:t>1,649</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ADBD3" w14:textId="65A57711" w:rsidR="006944B9" w:rsidRPr="00CE653D" w:rsidRDefault="00C20B90" w:rsidP="00CE653D">
            <w:pPr>
              <w:jc w:val="center"/>
              <w:rPr>
                <w:rFonts w:ascii="Arial" w:hAnsi="Arial" w:cs="Arial"/>
                <w:sz w:val="20"/>
                <w:szCs w:val="20"/>
              </w:rPr>
            </w:pPr>
            <w:r w:rsidRPr="00CE653D">
              <w:rPr>
                <w:rFonts w:ascii="Arial" w:hAnsi="Arial" w:cs="Arial"/>
                <w:sz w:val="20"/>
                <w:szCs w:val="20"/>
              </w:rPr>
              <w:t>153</w:t>
            </w:r>
          </w:p>
        </w:tc>
        <w:tc>
          <w:tcPr>
            <w:tcW w:w="0" w:type="auto"/>
            <w:tcBorders>
              <w:top w:val="single" w:sz="4" w:space="0" w:color="auto"/>
              <w:left w:val="single" w:sz="4" w:space="0" w:color="auto"/>
              <w:bottom w:val="single" w:sz="4" w:space="0" w:color="auto"/>
              <w:right w:val="single" w:sz="4" w:space="0" w:color="auto"/>
            </w:tcBorders>
          </w:tcPr>
          <w:p w14:paraId="61A956CC" w14:textId="4E6447AF" w:rsidR="006944B9" w:rsidRPr="00CE653D" w:rsidRDefault="00C20B90" w:rsidP="00CE653D">
            <w:pPr>
              <w:jc w:val="center"/>
              <w:rPr>
                <w:rFonts w:ascii="Arial" w:hAnsi="Arial" w:cs="Arial"/>
                <w:sz w:val="20"/>
                <w:szCs w:val="20"/>
              </w:rPr>
            </w:pPr>
            <w:r w:rsidRPr="00CE653D">
              <w:rPr>
                <w:rFonts w:ascii="Arial" w:hAnsi="Arial"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015F3" w14:textId="69CE9AD4" w:rsidR="006944B9" w:rsidRPr="00CE653D" w:rsidRDefault="00C20B90" w:rsidP="00CE653D">
            <w:pPr>
              <w:jc w:val="center"/>
              <w:rPr>
                <w:rFonts w:ascii="Arial" w:hAnsi="Arial" w:cs="Arial"/>
                <w:sz w:val="20"/>
                <w:szCs w:val="20"/>
              </w:rPr>
            </w:pPr>
            <w:r w:rsidRPr="00CE653D">
              <w:rPr>
                <w:rFonts w:ascii="Arial" w:hAnsi="Arial" w:cs="Arial"/>
                <w:sz w:val="20"/>
                <w:szCs w:val="20"/>
              </w:rPr>
              <w:t>235</w:t>
            </w:r>
          </w:p>
        </w:tc>
        <w:tc>
          <w:tcPr>
            <w:tcW w:w="0" w:type="auto"/>
            <w:tcBorders>
              <w:top w:val="single" w:sz="4" w:space="0" w:color="auto"/>
              <w:left w:val="single" w:sz="4" w:space="0" w:color="auto"/>
              <w:bottom w:val="single" w:sz="4" w:space="0" w:color="auto"/>
              <w:right w:val="single" w:sz="4" w:space="0" w:color="auto"/>
            </w:tcBorders>
          </w:tcPr>
          <w:p w14:paraId="368FF27A" w14:textId="07465A2F" w:rsidR="006944B9" w:rsidRPr="00CE653D" w:rsidRDefault="00C20B90" w:rsidP="00CE653D">
            <w:pPr>
              <w:jc w:val="center"/>
              <w:rPr>
                <w:rFonts w:ascii="Arial" w:hAnsi="Arial" w:cs="Arial"/>
                <w:sz w:val="20"/>
                <w:szCs w:val="20"/>
              </w:rPr>
            </w:pPr>
            <w:r w:rsidRPr="00CE653D">
              <w:rPr>
                <w:rFonts w:ascii="Arial" w:hAnsi="Arial" w:cs="Arial"/>
                <w:sz w:val="20"/>
                <w:szCs w:val="20"/>
              </w:rPr>
              <w:t>60</w:t>
            </w:r>
          </w:p>
        </w:tc>
      </w:tr>
    </w:tbl>
    <w:p w14:paraId="5B2A49B3" w14:textId="77777777" w:rsidR="00A97D80" w:rsidRPr="00A97D80" w:rsidRDefault="00A97D80" w:rsidP="00A97D80"/>
    <w:p w14:paraId="005A4833" w14:textId="00064867" w:rsidR="00A97D80" w:rsidRDefault="00A97D80" w:rsidP="004F1EB1">
      <w:pPr>
        <w:pStyle w:val="Heading3"/>
      </w:pPr>
      <w:r w:rsidRPr="00A97D80">
        <w:t>Achievement Gaps Summary</w:t>
      </w:r>
    </w:p>
    <w:tbl>
      <w:tblPr>
        <w:tblStyle w:val="TableGrid6"/>
        <w:tblW w:w="0" w:type="auto"/>
        <w:tblInd w:w="0" w:type="dxa"/>
        <w:tblLook w:val="04A0" w:firstRow="1" w:lastRow="0" w:firstColumn="1" w:lastColumn="0" w:noHBand="0" w:noVBand="1"/>
        <w:tblCaption w:val="Academic Achievement Summary"/>
        <w:tblDescription w:val="Table displays data on number of schools rated at levels one, two and three in English, mathematics and science."/>
      </w:tblPr>
      <w:tblGrid>
        <w:gridCol w:w="1350"/>
        <w:gridCol w:w="1173"/>
        <w:gridCol w:w="1173"/>
        <w:gridCol w:w="1173"/>
        <w:gridCol w:w="1173"/>
        <w:gridCol w:w="1173"/>
        <w:gridCol w:w="1173"/>
      </w:tblGrid>
      <w:tr w:rsidR="006944B9" w:rsidRPr="00A97D80" w14:paraId="03CBDFCB" w14:textId="77777777" w:rsidTr="00AC5449">
        <w:trPr>
          <w:tblHeader/>
        </w:trPr>
        <w:tc>
          <w:tcPr>
            <w:tcW w:w="0" w:type="auto"/>
            <w:vMerge w:val="restart"/>
            <w:tcBorders>
              <w:top w:val="single" w:sz="4" w:space="0" w:color="auto"/>
              <w:left w:val="single" w:sz="4" w:space="0" w:color="auto"/>
              <w:right w:val="single" w:sz="4" w:space="0" w:color="auto"/>
            </w:tcBorders>
            <w:vAlign w:val="center"/>
            <w:hideMark/>
          </w:tcPr>
          <w:p w14:paraId="5B93BBA1" w14:textId="77777777" w:rsidR="006944B9" w:rsidRPr="00CE653D" w:rsidRDefault="006944B9" w:rsidP="00AC5449">
            <w:pPr>
              <w:rPr>
                <w:rFonts w:ascii="Arial" w:hAnsi="Arial" w:cs="Arial"/>
                <w:sz w:val="20"/>
                <w:szCs w:val="20"/>
              </w:rPr>
            </w:pPr>
            <w:r w:rsidRPr="00CE653D">
              <w:rPr>
                <w:rFonts w:ascii="Arial" w:hAnsi="Arial" w:cs="Arial"/>
                <w:sz w:val="20"/>
                <w:szCs w:val="20"/>
              </w:rPr>
              <w:t>Indicator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920307" w14:textId="758FE929" w:rsidR="006944B9" w:rsidRPr="00CE653D" w:rsidRDefault="00B176F2" w:rsidP="00C20B90">
            <w:pPr>
              <w:jc w:val="center"/>
              <w:rPr>
                <w:rFonts w:ascii="Arial" w:hAnsi="Arial" w:cs="Arial"/>
                <w:sz w:val="20"/>
                <w:szCs w:val="20"/>
              </w:rPr>
            </w:pPr>
            <w:r>
              <w:rPr>
                <w:rFonts w:ascii="Arial" w:hAnsi="Arial" w:cs="Arial"/>
                <w:sz w:val="20"/>
                <w:szCs w:val="20"/>
              </w:rPr>
              <w:t>Schools at Level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8B00D3" w14:textId="57937FD0" w:rsidR="006944B9" w:rsidRPr="00CE653D" w:rsidRDefault="00B176F2" w:rsidP="00C20B90">
            <w:pPr>
              <w:jc w:val="center"/>
              <w:rPr>
                <w:rFonts w:ascii="Arial" w:hAnsi="Arial" w:cs="Arial"/>
                <w:sz w:val="20"/>
                <w:szCs w:val="20"/>
              </w:rPr>
            </w:pPr>
            <w:r>
              <w:rPr>
                <w:rFonts w:ascii="Arial" w:hAnsi="Arial" w:cs="Arial"/>
                <w:sz w:val="20"/>
                <w:szCs w:val="20"/>
              </w:rPr>
              <w:t>Schools at Level 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ABA452" w14:textId="2A425D11" w:rsidR="006944B9" w:rsidRPr="00CE653D" w:rsidRDefault="00B176F2" w:rsidP="00C20B90">
            <w:pPr>
              <w:jc w:val="center"/>
              <w:rPr>
                <w:rFonts w:ascii="Arial" w:hAnsi="Arial" w:cs="Arial"/>
                <w:sz w:val="20"/>
                <w:szCs w:val="20"/>
              </w:rPr>
            </w:pPr>
            <w:r>
              <w:rPr>
                <w:rFonts w:ascii="Arial" w:hAnsi="Arial" w:cs="Arial"/>
                <w:sz w:val="20"/>
                <w:szCs w:val="20"/>
              </w:rPr>
              <w:t>Schools at Level 3</w:t>
            </w:r>
          </w:p>
        </w:tc>
      </w:tr>
      <w:tr w:rsidR="006944B9" w:rsidRPr="00A97D80" w14:paraId="45E95321" w14:textId="77777777" w:rsidTr="00AC5449">
        <w:tc>
          <w:tcPr>
            <w:tcW w:w="0" w:type="auto"/>
            <w:vMerge/>
            <w:tcBorders>
              <w:left w:val="single" w:sz="4" w:space="0" w:color="auto"/>
              <w:bottom w:val="single" w:sz="4" w:space="0" w:color="auto"/>
              <w:right w:val="single" w:sz="4" w:space="0" w:color="auto"/>
            </w:tcBorders>
            <w:vAlign w:val="center"/>
          </w:tcPr>
          <w:p w14:paraId="3F5527EB" w14:textId="77777777" w:rsidR="006944B9" w:rsidRPr="00CE653D" w:rsidRDefault="006944B9" w:rsidP="00AC544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E92C8D" w14:textId="77777777" w:rsidR="006944B9" w:rsidRPr="00CE653D" w:rsidRDefault="006944B9" w:rsidP="00C20B90">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4C5EF051" w14:textId="77777777" w:rsidR="006944B9" w:rsidRPr="00CE653D" w:rsidRDefault="006944B9" w:rsidP="00C20B90">
            <w:pPr>
              <w:jc w:val="center"/>
              <w:rPr>
                <w:rFonts w:ascii="Arial" w:hAnsi="Arial" w:cs="Arial"/>
                <w:sz w:val="20"/>
                <w:szCs w:val="20"/>
              </w:rPr>
            </w:pPr>
            <w:r w:rsidRPr="00CE653D">
              <w:rPr>
                <w:rFonts w:ascii="Arial" w:hAnsi="Arial" w:cs="Arial"/>
                <w:sz w:val="20"/>
                <w:szCs w:val="20"/>
              </w:rPr>
              <w:t>2019-2020</w:t>
            </w:r>
          </w:p>
        </w:tc>
        <w:tc>
          <w:tcPr>
            <w:tcW w:w="0" w:type="auto"/>
            <w:tcBorders>
              <w:top w:val="single" w:sz="4" w:space="0" w:color="auto"/>
              <w:left w:val="single" w:sz="4" w:space="0" w:color="auto"/>
              <w:bottom w:val="single" w:sz="4" w:space="0" w:color="auto"/>
              <w:right w:val="single" w:sz="4" w:space="0" w:color="auto"/>
            </w:tcBorders>
            <w:vAlign w:val="center"/>
          </w:tcPr>
          <w:p w14:paraId="71363E1F" w14:textId="77777777" w:rsidR="006944B9" w:rsidRPr="00CE653D" w:rsidRDefault="006944B9" w:rsidP="00C20B90">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48FA1E47" w14:textId="77777777" w:rsidR="006944B9" w:rsidRPr="00CE653D" w:rsidRDefault="006944B9" w:rsidP="00C20B90">
            <w:pPr>
              <w:jc w:val="center"/>
              <w:rPr>
                <w:rFonts w:ascii="Arial" w:hAnsi="Arial" w:cs="Arial"/>
                <w:sz w:val="20"/>
                <w:szCs w:val="20"/>
              </w:rPr>
            </w:pPr>
            <w:r w:rsidRPr="00CE653D">
              <w:rPr>
                <w:rFonts w:ascii="Arial" w:hAnsi="Arial" w:cs="Arial"/>
                <w:sz w:val="20"/>
                <w:szCs w:val="20"/>
              </w:rPr>
              <w:t>2019-2020</w:t>
            </w:r>
          </w:p>
        </w:tc>
        <w:tc>
          <w:tcPr>
            <w:tcW w:w="0" w:type="auto"/>
            <w:tcBorders>
              <w:top w:val="single" w:sz="4" w:space="0" w:color="auto"/>
              <w:left w:val="single" w:sz="4" w:space="0" w:color="auto"/>
              <w:bottom w:val="single" w:sz="4" w:space="0" w:color="auto"/>
              <w:right w:val="single" w:sz="4" w:space="0" w:color="auto"/>
            </w:tcBorders>
            <w:vAlign w:val="center"/>
          </w:tcPr>
          <w:p w14:paraId="3E685CBD" w14:textId="77777777" w:rsidR="006944B9" w:rsidRPr="00CE653D" w:rsidRDefault="006944B9" w:rsidP="00C20B90">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44BA9B6C" w14:textId="77777777" w:rsidR="006944B9" w:rsidRPr="00CE653D" w:rsidRDefault="006944B9" w:rsidP="00C20B90">
            <w:pPr>
              <w:jc w:val="center"/>
              <w:rPr>
                <w:rFonts w:ascii="Arial" w:hAnsi="Arial" w:cs="Arial"/>
                <w:sz w:val="20"/>
                <w:szCs w:val="20"/>
              </w:rPr>
            </w:pPr>
            <w:r w:rsidRPr="00CE653D">
              <w:rPr>
                <w:rFonts w:ascii="Arial" w:hAnsi="Arial" w:cs="Arial"/>
                <w:sz w:val="20"/>
                <w:szCs w:val="20"/>
              </w:rPr>
              <w:t>2019-2020</w:t>
            </w:r>
          </w:p>
        </w:tc>
      </w:tr>
      <w:tr w:rsidR="006944B9" w:rsidRPr="00A97D80" w14:paraId="6BC5D196" w14:textId="77777777" w:rsidTr="006944B9">
        <w:tc>
          <w:tcPr>
            <w:tcW w:w="0" w:type="auto"/>
            <w:tcBorders>
              <w:top w:val="single" w:sz="4" w:space="0" w:color="auto"/>
              <w:left w:val="single" w:sz="4" w:space="0" w:color="auto"/>
              <w:bottom w:val="single" w:sz="4" w:space="0" w:color="auto"/>
              <w:right w:val="single" w:sz="4" w:space="0" w:color="auto"/>
            </w:tcBorders>
            <w:vAlign w:val="center"/>
            <w:hideMark/>
          </w:tcPr>
          <w:p w14:paraId="2326EB1D" w14:textId="77777777" w:rsidR="006944B9" w:rsidRPr="00CE653D" w:rsidRDefault="006944B9" w:rsidP="00AC5449">
            <w:pPr>
              <w:rPr>
                <w:rFonts w:ascii="Arial" w:hAnsi="Arial" w:cs="Arial"/>
                <w:sz w:val="20"/>
                <w:szCs w:val="20"/>
              </w:rPr>
            </w:pPr>
            <w:r w:rsidRPr="00CE653D">
              <w:rPr>
                <w:rFonts w:ascii="Arial" w:hAnsi="Arial" w:cs="Arial"/>
                <w:sz w:val="20"/>
                <w:szCs w:val="20"/>
              </w:rPr>
              <w:t>English</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66E03" w14:textId="4B6A310E" w:rsidR="006944B9" w:rsidRPr="00CE653D" w:rsidRDefault="00C20B90" w:rsidP="00C20B90">
            <w:pPr>
              <w:jc w:val="center"/>
              <w:rPr>
                <w:rFonts w:ascii="Arial" w:hAnsi="Arial" w:cs="Arial"/>
                <w:sz w:val="20"/>
                <w:szCs w:val="20"/>
              </w:rPr>
            </w:pPr>
            <w:r w:rsidRPr="00CE653D">
              <w:rPr>
                <w:rFonts w:ascii="Arial" w:hAnsi="Arial" w:cs="Arial"/>
                <w:sz w:val="20"/>
                <w:szCs w:val="20"/>
              </w:rPr>
              <w:t>1,248</w:t>
            </w:r>
          </w:p>
        </w:tc>
        <w:tc>
          <w:tcPr>
            <w:tcW w:w="0" w:type="auto"/>
            <w:tcBorders>
              <w:top w:val="single" w:sz="4" w:space="0" w:color="auto"/>
              <w:left w:val="single" w:sz="4" w:space="0" w:color="auto"/>
              <w:bottom w:val="single" w:sz="4" w:space="0" w:color="auto"/>
              <w:right w:val="single" w:sz="4" w:space="0" w:color="auto"/>
            </w:tcBorders>
          </w:tcPr>
          <w:p w14:paraId="22871E97" w14:textId="43E8D3B5" w:rsidR="006944B9" w:rsidRPr="00CE653D" w:rsidRDefault="00C20B90" w:rsidP="00C20B90">
            <w:pPr>
              <w:jc w:val="center"/>
              <w:rPr>
                <w:rFonts w:ascii="Arial" w:hAnsi="Arial" w:cs="Arial"/>
                <w:sz w:val="20"/>
                <w:szCs w:val="20"/>
              </w:rPr>
            </w:pPr>
            <w:r w:rsidRPr="00CE653D">
              <w:rPr>
                <w:rFonts w:ascii="Arial" w:hAnsi="Arial" w:cs="Arial"/>
                <w:sz w:val="20"/>
                <w:szCs w:val="20"/>
              </w:rPr>
              <w:t>975</w:t>
            </w:r>
          </w:p>
        </w:tc>
        <w:tc>
          <w:tcPr>
            <w:tcW w:w="0" w:type="auto"/>
            <w:tcBorders>
              <w:top w:val="single" w:sz="4" w:space="0" w:color="auto"/>
              <w:left w:val="single" w:sz="4" w:space="0" w:color="auto"/>
              <w:bottom w:val="single" w:sz="4" w:space="0" w:color="auto"/>
              <w:right w:val="single" w:sz="4" w:space="0" w:color="auto"/>
            </w:tcBorders>
            <w:vAlign w:val="center"/>
          </w:tcPr>
          <w:p w14:paraId="34AD54DB" w14:textId="6489CB72" w:rsidR="006944B9" w:rsidRPr="00CE653D" w:rsidRDefault="00C20B90" w:rsidP="00C20B90">
            <w:pPr>
              <w:jc w:val="center"/>
              <w:rPr>
                <w:rFonts w:ascii="Arial" w:hAnsi="Arial" w:cs="Arial"/>
                <w:sz w:val="20"/>
                <w:szCs w:val="20"/>
              </w:rPr>
            </w:pPr>
            <w:r w:rsidRPr="00CE653D">
              <w:rPr>
                <w:rFonts w:ascii="Arial" w:hAnsi="Arial" w:cs="Arial"/>
                <w:sz w:val="20"/>
                <w:szCs w:val="20"/>
              </w:rPr>
              <w:t>477</w:t>
            </w:r>
          </w:p>
        </w:tc>
        <w:tc>
          <w:tcPr>
            <w:tcW w:w="0" w:type="auto"/>
            <w:tcBorders>
              <w:top w:val="single" w:sz="4" w:space="0" w:color="auto"/>
              <w:left w:val="single" w:sz="4" w:space="0" w:color="auto"/>
              <w:bottom w:val="single" w:sz="4" w:space="0" w:color="auto"/>
              <w:right w:val="single" w:sz="4" w:space="0" w:color="auto"/>
            </w:tcBorders>
          </w:tcPr>
          <w:p w14:paraId="789D32C4" w14:textId="154EC1E3" w:rsidR="006944B9" w:rsidRPr="00CE653D" w:rsidRDefault="00C20B90" w:rsidP="00C20B90">
            <w:pPr>
              <w:jc w:val="center"/>
              <w:rPr>
                <w:rFonts w:ascii="Arial" w:hAnsi="Arial" w:cs="Arial"/>
                <w:sz w:val="20"/>
                <w:szCs w:val="20"/>
              </w:rPr>
            </w:pPr>
            <w:r w:rsidRPr="00CE653D">
              <w:rPr>
                <w:rFonts w:ascii="Arial" w:hAnsi="Arial" w:cs="Arial"/>
                <w:sz w:val="20"/>
                <w:szCs w:val="20"/>
              </w:rPr>
              <w:t>719</w:t>
            </w:r>
          </w:p>
        </w:tc>
        <w:tc>
          <w:tcPr>
            <w:tcW w:w="0" w:type="auto"/>
            <w:tcBorders>
              <w:top w:val="single" w:sz="4" w:space="0" w:color="auto"/>
              <w:left w:val="single" w:sz="4" w:space="0" w:color="auto"/>
              <w:bottom w:val="single" w:sz="4" w:space="0" w:color="auto"/>
              <w:right w:val="single" w:sz="4" w:space="0" w:color="auto"/>
            </w:tcBorders>
            <w:vAlign w:val="center"/>
          </w:tcPr>
          <w:p w14:paraId="41B187E8" w14:textId="28DEDABC" w:rsidR="006944B9" w:rsidRPr="00CE653D" w:rsidRDefault="00C20B90" w:rsidP="00C20B90">
            <w:pPr>
              <w:jc w:val="center"/>
              <w:rPr>
                <w:rFonts w:ascii="Arial" w:hAnsi="Arial" w:cs="Arial"/>
                <w:sz w:val="20"/>
                <w:szCs w:val="20"/>
              </w:rPr>
            </w:pPr>
            <w:r w:rsidRPr="00CE653D">
              <w:rPr>
                <w:rFonts w:ascii="Arial" w:hAnsi="Arial" w:cs="Arial"/>
                <w:sz w:val="20"/>
                <w:szCs w:val="20"/>
              </w:rPr>
              <w:t>95</w:t>
            </w:r>
          </w:p>
        </w:tc>
        <w:tc>
          <w:tcPr>
            <w:tcW w:w="0" w:type="auto"/>
            <w:tcBorders>
              <w:top w:val="single" w:sz="4" w:space="0" w:color="auto"/>
              <w:left w:val="single" w:sz="4" w:space="0" w:color="auto"/>
              <w:bottom w:val="single" w:sz="4" w:space="0" w:color="auto"/>
              <w:right w:val="single" w:sz="4" w:space="0" w:color="auto"/>
            </w:tcBorders>
          </w:tcPr>
          <w:p w14:paraId="52B7AF1D" w14:textId="087A19A5" w:rsidR="006944B9" w:rsidRPr="00CE653D" w:rsidRDefault="00C20B90" w:rsidP="00C20B90">
            <w:pPr>
              <w:jc w:val="center"/>
              <w:rPr>
                <w:rFonts w:ascii="Arial" w:hAnsi="Arial" w:cs="Arial"/>
                <w:sz w:val="20"/>
                <w:szCs w:val="20"/>
              </w:rPr>
            </w:pPr>
            <w:r w:rsidRPr="00CE653D">
              <w:rPr>
                <w:rFonts w:ascii="Arial" w:hAnsi="Arial" w:cs="Arial"/>
                <w:sz w:val="20"/>
                <w:szCs w:val="20"/>
              </w:rPr>
              <w:t>125</w:t>
            </w:r>
          </w:p>
        </w:tc>
      </w:tr>
      <w:tr w:rsidR="006944B9" w:rsidRPr="00A97D80" w14:paraId="508FF700" w14:textId="77777777" w:rsidTr="006944B9">
        <w:tc>
          <w:tcPr>
            <w:tcW w:w="0" w:type="auto"/>
            <w:tcBorders>
              <w:top w:val="single" w:sz="4" w:space="0" w:color="auto"/>
              <w:left w:val="single" w:sz="4" w:space="0" w:color="auto"/>
              <w:bottom w:val="single" w:sz="4" w:space="0" w:color="auto"/>
              <w:right w:val="single" w:sz="4" w:space="0" w:color="auto"/>
            </w:tcBorders>
            <w:vAlign w:val="center"/>
            <w:hideMark/>
          </w:tcPr>
          <w:p w14:paraId="1F065078" w14:textId="77777777" w:rsidR="006944B9" w:rsidRPr="00CE653D" w:rsidRDefault="006944B9" w:rsidP="00AC5449">
            <w:pPr>
              <w:rPr>
                <w:rFonts w:ascii="Arial" w:hAnsi="Arial" w:cs="Arial"/>
                <w:sz w:val="20"/>
                <w:szCs w:val="20"/>
              </w:rPr>
            </w:pPr>
            <w:r w:rsidRPr="00CE653D">
              <w:rPr>
                <w:rFonts w:ascii="Arial" w:hAnsi="Arial" w:cs="Arial"/>
                <w:sz w:val="20"/>
                <w:szCs w:val="20"/>
              </w:rPr>
              <w:t>Mathematics</w:t>
            </w:r>
          </w:p>
        </w:tc>
        <w:tc>
          <w:tcPr>
            <w:tcW w:w="0" w:type="auto"/>
            <w:tcBorders>
              <w:top w:val="single" w:sz="4" w:space="0" w:color="auto"/>
              <w:left w:val="single" w:sz="4" w:space="0" w:color="auto"/>
              <w:bottom w:val="single" w:sz="4" w:space="0" w:color="auto"/>
              <w:right w:val="single" w:sz="4" w:space="0" w:color="auto"/>
            </w:tcBorders>
            <w:vAlign w:val="center"/>
          </w:tcPr>
          <w:p w14:paraId="5049D180" w14:textId="616EB21E" w:rsidR="006944B9" w:rsidRPr="00CE653D" w:rsidRDefault="00B67B8D" w:rsidP="00C20B90">
            <w:pPr>
              <w:jc w:val="center"/>
              <w:rPr>
                <w:rFonts w:ascii="Arial" w:hAnsi="Arial" w:cs="Arial"/>
                <w:sz w:val="20"/>
                <w:szCs w:val="20"/>
              </w:rPr>
            </w:pPr>
            <w:r>
              <w:rPr>
                <w:rFonts w:ascii="Arial" w:hAnsi="Arial" w:cs="Arial"/>
                <w:sz w:val="20"/>
                <w:szCs w:val="20"/>
              </w:rPr>
              <w:t>1,341</w:t>
            </w:r>
          </w:p>
        </w:tc>
        <w:tc>
          <w:tcPr>
            <w:tcW w:w="0" w:type="auto"/>
            <w:tcBorders>
              <w:top w:val="single" w:sz="4" w:space="0" w:color="auto"/>
              <w:left w:val="single" w:sz="4" w:space="0" w:color="auto"/>
              <w:bottom w:val="single" w:sz="4" w:space="0" w:color="auto"/>
              <w:right w:val="single" w:sz="4" w:space="0" w:color="auto"/>
            </w:tcBorders>
          </w:tcPr>
          <w:p w14:paraId="3AF70766" w14:textId="2F282DFB" w:rsidR="006944B9" w:rsidRPr="00CE653D" w:rsidRDefault="00C20B90" w:rsidP="00C20B90">
            <w:pPr>
              <w:jc w:val="center"/>
              <w:rPr>
                <w:rFonts w:ascii="Arial" w:hAnsi="Arial" w:cs="Arial"/>
                <w:sz w:val="20"/>
                <w:szCs w:val="20"/>
              </w:rPr>
            </w:pPr>
            <w:r w:rsidRPr="00CE653D">
              <w:rPr>
                <w:rFonts w:ascii="Arial" w:hAnsi="Arial" w:cs="Arial"/>
                <w:sz w:val="20"/>
                <w:szCs w:val="20"/>
              </w:rPr>
              <w:t>1,406</w:t>
            </w:r>
          </w:p>
        </w:tc>
        <w:tc>
          <w:tcPr>
            <w:tcW w:w="0" w:type="auto"/>
            <w:tcBorders>
              <w:top w:val="single" w:sz="4" w:space="0" w:color="auto"/>
              <w:left w:val="single" w:sz="4" w:space="0" w:color="auto"/>
              <w:bottom w:val="single" w:sz="4" w:space="0" w:color="auto"/>
              <w:right w:val="single" w:sz="4" w:space="0" w:color="auto"/>
            </w:tcBorders>
            <w:vAlign w:val="center"/>
          </w:tcPr>
          <w:p w14:paraId="31E39D1C" w14:textId="45E36199" w:rsidR="006944B9" w:rsidRPr="00CE653D" w:rsidRDefault="00FC29B7" w:rsidP="00C20B90">
            <w:pPr>
              <w:jc w:val="center"/>
              <w:rPr>
                <w:rFonts w:ascii="Arial" w:hAnsi="Arial" w:cs="Arial"/>
                <w:sz w:val="20"/>
                <w:szCs w:val="20"/>
              </w:rPr>
            </w:pPr>
            <w:r>
              <w:rPr>
                <w:rFonts w:ascii="Arial" w:hAnsi="Arial" w:cs="Arial"/>
                <w:sz w:val="20"/>
                <w:szCs w:val="20"/>
              </w:rPr>
              <w:t>375</w:t>
            </w:r>
          </w:p>
        </w:tc>
        <w:tc>
          <w:tcPr>
            <w:tcW w:w="0" w:type="auto"/>
            <w:tcBorders>
              <w:top w:val="single" w:sz="4" w:space="0" w:color="auto"/>
              <w:left w:val="single" w:sz="4" w:space="0" w:color="auto"/>
              <w:bottom w:val="single" w:sz="4" w:space="0" w:color="auto"/>
              <w:right w:val="single" w:sz="4" w:space="0" w:color="auto"/>
            </w:tcBorders>
          </w:tcPr>
          <w:p w14:paraId="040F18D6" w14:textId="36959775" w:rsidR="006944B9" w:rsidRPr="00CE653D" w:rsidRDefault="00C20B90" w:rsidP="00C20B90">
            <w:pPr>
              <w:jc w:val="center"/>
              <w:rPr>
                <w:rFonts w:ascii="Arial" w:hAnsi="Arial" w:cs="Arial"/>
                <w:sz w:val="20"/>
                <w:szCs w:val="20"/>
              </w:rPr>
            </w:pPr>
            <w:r w:rsidRPr="00CE653D">
              <w:rPr>
                <w:rFonts w:ascii="Arial" w:hAnsi="Arial" w:cs="Arial"/>
                <w:sz w:val="20"/>
                <w:szCs w:val="20"/>
              </w:rPr>
              <w:t>352</w:t>
            </w:r>
          </w:p>
        </w:tc>
        <w:tc>
          <w:tcPr>
            <w:tcW w:w="0" w:type="auto"/>
            <w:tcBorders>
              <w:top w:val="single" w:sz="4" w:space="0" w:color="auto"/>
              <w:left w:val="single" w:sz="4" w:space="0" w:color="auto"/>
              <w:bottom w:val="single" w:sz="4" w:space="0" w:color="auto"/>
              <w:right w:val="single" w:sz="4" w:space="0" w:color="auto"/>
            </w:tcBorders>
            <w:vAlign w:val="center"/>
          </w:tcPr>
          <w:p w14:paraId="52387F2A" w14:textId="6BE0FF84" w:rsidR="006944B9" w:rsidRPr="00CE653D" w:rsidRDefault="00FC29B7" w:rsidP="00C20B90">
            <w:pPr>
              <w:jc w:val="center"/>
              <w:rPr>
                <w:rFonts w:ascii="Arial" w:hAnsi="Arial" w:cs="Arial"/>
                <w:sz w:val="20"/>
                <w:szCs w:val="20"/>
              </w:rPr>
            </w:pPr>
            <w:r>
              <w:rPr>
                <w:rFonts w:ascii="Arial" w:hAnsi="Arial" w:cs="Arial"/>
                <w:sz w:val="20"/>
                <w:szCs w:val="20"/>
              </w:rPr>
              <w:t>105</w:t>
            </w:r>
          </w:p>
        </w:tc>
        <w:tc>
          <w:tcPr>
            <w:tcW w:w="0" w:type="auto"/>
            <w:tcBorders>
              <w:top w:val="single" w:sz="4" w:space="0" w:color="auto"/>
              <w:left w:val="single" w:sz="4" w:space="0" w:color="auto"/>
              <w:bottom w:val="single" w:sz="4" w:space="0" w:color="auto"/>
              <w:right w:val="single" w:sz="4" w:space="0" w:color="auto"/>
            </w:tcBorders>
          </w:tcPr>
          <w:p w14:paraId="5C735BA7" w14:textId="5CCE2009" w:rsidR="006944B9" w:rsidRPr="00CE653D" w:rsidRDefault="00C20B90" w:rsidP="00C20B90">
            <w:pPr>
              <w:jc w:val="center"/>
              <w:rPr>
                <w:rFonts w:ascii="Arial" w:hAnsi="Arial" w:cs="Arial"/>
                <w:sz w:val="20"/>
                <w:szCs w:val="20"/>
              </w:rPr>
            </w:pPr>
            <w:r w:rsidRPr="00CE653D">
              <w:rPr>
                <w:rFonts w:ascii="Arial" w:hAnsi="Arial" w:cs="Arial"/>
                <w:sz w:val="20"/>
                <w:szCs w:val="20"/>
              </w:rPr>
              <w:t>61</w:t>
            </w:r>
          </w:p>
        </w:tc>
      </w:tr>
    </w:tbl>
    <w:p w14:paraId="4E3D8C5C" w14:textId="77777777" w:rsidR="004F1EB1" w:rsidRDefault="004F1EB1" w:rsidP="004F1EB1">
      <w:pPr>
        <w:pStyle w:val="Heading3"/>
      </w:pPr>
    </w:p>
    <w:p w14:paraId="72F746FA" w14:textId="6747F2E1" w:rsidR="00A97D80" w:rsidRDefault="00A97D80" w:rsidP="004F1EB1">
      <w:pPr>
        <w:pStyle w:val="Heading3"/>
      </w:pPr>
      <w:r w:rsidRPr="00A97D80">
        <w:t>Student Engagement and Outcomes Summary</w:t>
      </w:r>
    </w:p>
    <w:tbl>
      <w:tblPr>
        <w:tblStyle w:val="TableGrid6"/>
        <w:tblW w:w="0" w:type="auto"/>
        <w:tblInd w:w="0" w:type="dxa"/>
        <w:tblLook w:val="04A0" w:firstRow="1" w:lastRow="0" w:firstColumn="1" w:lastColumn="0" w:noHBand="0" w:noVBand="1"/>
        <w:tblCaption w:val="Academic Achievement Summary"/>
        <w:tblDescription w:val="Table displays data on number of schools rated at levels one, two and three in English, mathematics and science."/>
      </w:tblPr>
      <w:tblGrid>
        <w:gridCol w:w="2273"/>
        <w:gridCol w:w="1173"/>
        <w:gridCol w:w="1173"/>
        <w:gridCol w:w="1173"/>
        <w:gridCol w:w="1173"/>
        <w:gridCol w:w="1173"/>
        <w:gridCol w:w="1173"/>
      </w:tblGrid>
      <w:tr w:rsidR="004F1EB1" w:rsidRPr="00A97D80" w14:paraId="731F0F2A" w14:textId="77777777" w:rsidTr="00AC5449">
        <w:trPr>
          <w:tblHeader/>
        </w:trPr>
        <w:tc>
          <w:tcPr>
            <w:tcW w:w="0" w:type="auto"/>
            <w:vMerge w:val="restart"/>
            <w:tcBorders>
              <w:top w:val="single" w:sz="4" w:space="0" w:color="auto"/>
              <w:left w:val="single" w:sz="4" w:space="0" w:color="auto"/>
              <w:right w:val="single" w:sz="4" w:space="0" w:color="auto"/>
            </w:tcBorders>
            <w:vAlign w:val="center"/>
            <w:hideMark/>
          </w:tcPr>
          <w:p w14:paraId="613804E9" w14:textId="77777777" w:rsidR="00CE653D" w:rsidRPr="00CE653D" w:rsidRDefault="00CE653D" w:rsidP="00AC5449">
            <w:pPr>
              <w:rPr>
                <w:rFonts w:ascii="Arial" w:hAnsi="Arial" w:cs="Arial"/>
                <w:sz w:val="20"/>
                <w:szCs w:val="20"/>
              </w:rPr>
            </w:pPr>
            <w:r w:rsidRPr="00CE653D">
              <w:rPr>
                <w:rFonts w:ascii="Arial" w:hAnsi="Arial" w:cs="Arial"/>
                <w:sz w:val="20"/>
                <w:szCs w:val="20"/>
              </w:rPr>
              <w:t>Indicator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2141C6" w14:textId="41D2DD1E" w:rsidR="00CE653D" w:rsidRPr="00CE653D" w:rsidRDefault="00B176F2" w:rsidP="00AC5449">
            <w:pPr>
              <w:jc w:val="center"/>
              <w:rPr>
                <w:rFonts w:ascii="Arial" w:hAnsi="Arial" w:cs="Arial"/>
                <w:sz w:val="20"/>
                <w:szCs w:val="20"/>
              </w:rPr>
            </w:pPr>
            <w:r>
              <w:rPr>
                <w:rFonts w:ascii="Arial" w:hAnsi="Arial" w:cs="Arial"/>
                <w:sz w:val="20"/>
                <w:szCs w:val="20"/>
              </w:rPr>
              <w:t>Schools at Level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E52EAF" w14:textId="01D44B34" w:rsidR="00CE653D" w:rsidRPr="00CE653D" w:rsidRDefault="00B176F2" w:rsidP="00AC5449">
            <w:pPr>
              <w:jc w:val="center"/>
              <w:rPr>
                <w:rFonts w:ascii="Arial" w:hAnsi="Arial" w:cs="Arial"/>
                <w:sz w:val="20"/>
                <w:szCs w:val="20"/>
              </w:rPr>
            </w:pPr>
            <w:r>
              <w:rPr>
                <w:rFonts w:ascii="Arial" w:hAnsi="Arial" w:cs="Arial"/>
                <w:sz w:val="20"/>
                <w:szCs w:val="20"/>
              </w:rPr>
              <w:t>Schools at Level 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3CBCAD" w14:textId="6F76DBE8" w:rsidR="00CE653D" w:rsidRPr="00CE653D" w:rsidRDefault="00B176F2" w:rsidP="00AC5449">
            <w:pPr>
              <w:jc w:val="center"/>
              <w:rPr>
                <w:rFonts w:ascii="Arial" w:hAnsi="Arial" w:cs="Arial"/>
                <w:sz w:val="20"/>
                <w:szCs w:val="20"/>
              </w:rPr>
            </w:pPr>
            <w:r>
              <w:rPr>
                <w:rFonts w:ascii="Arial" w:hAnsi="Arial" w:cs="Arial"/>
                <w:sz w:val="20"/>
                <w:szCs w:val="20"/>
              </w:rPr>
              <w:t>Schools at Level 3</w:t>
            </w:r>
          </w:p>
        </w:tc>
      </w:tr>
      <w:tr w:rsidR="00CE653D" w:rsidRPr="00A97D80" w14:paraId="61030D10" w14:textId="77777777" w:rsidTr="00AC5449">
        <w:tc>
          <w:tcPr>
            <w:tcW w:w="0" w:type="auto"/>
            <w:vMerge/>
            <w:tcBorders>
              <w:left w:val="single" w:sz="4" w:space="0" w:color="auto"/>
              <w:bottom w:val="single" w:sz="4" w:space="0" w:color="auto"/>
              <w:right w:val="single" w:sz="4" w:space="0" w:color="auto"/>
            </w:tcBorders>
            <w:vAlign w:val="center"/>
          </w:tcPr>
          <w:p w14:paraId="0995A1B1" w14:textId="77777777" w:rsidR="00CE653D" w:rsidRPr="00CE653D" w:rsidRDefault="00CE653D" w:rsidP="00AC544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68B846" w14:textId="77777777" w:rsidR="00CE653D" w:rsidRPr="00CE653D" w:rsidRDefault="00CE653D" w:rsidP="00AC5449">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68723F60" w14:textId="77777777" w:rsidR="00CE653D" w:rsidRPr="00CE653D" w:rsidRDefault="00CE653D" w:rsidP="00AC5449">
            <w:pPr>
              <w:jc w:val="center"/>
              <w:rPr>
                <w:rFonts w:ascii="Arial" w:hAnsi="Arial" w:cs="Arial"/>
                <w:sz w:val="20"/>
                <w:szCs w:val="20"/>
              </w:rPr>
            </w:pPr>
            <w:r w:rsidRPr="00CE653D">
              <w:rPr>
                <w:rFonts w:ascii="Arial" w:hAnsi="Arial" w:cs="Arial"/>
                <w:sz w:val="20"/>
                <w:szCs w:val="20"/>
              </w:rPr>
              <w:t>2019-2020</w:t>
            </w:r>
          </w:p>
        </w:tc>
        <w:tc>
          <w:tcPr>
            <w:tcW w:w="0" w:type="auto"/>
            <w:tcBorders>
              <w:top w:val="single" w:sz="4" w:space="0" w:color="auto"/>
              <w:left w:val="single" w:sz="4" w:space="0" w:color="auto"/>
              <w:bottom w:val="single" w:sz="4" w:space="0" w:color="auto"/>
              <w:right w:val="single" w:sz="4" w:space="0" w:color="auto"/>
            </w:tcBorders>
            <w:vAlign w:val="center"/>
          </w:tcPr>
          <w:p w14:paraId="01F63FF0" w14:textId="77777777" w:rsidR="00CE653D" w:rsidRPr="00CE653D" w:rsidRDefault="00CE653D" w:rsidP="00AC5449">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5EFF898A" w14:textId="77777777" w:rsidR="00CE653D" w:rsidRPr="00CE653D" w:rsidRDefault="00CE653D" w:rsidP="00AC5449">
            <w:pPr>
              <w:jc w:val="center"/>
              <w:rPr>
                <w:rFonts w:ascii="Arial" w:hAnsi="Arial" w:cs="Arial"/>
                <w:sz w:val="20"/>
                <w:szCs w:val="20"/>
              </w:rPr>
            </w:pPr>
            <w:r w:rsidRPr="00CE653D">
              <w:rPr>
                <w:rFonts w:ascii="Arial" w:hAnsi="Arial" w:cs="Arial"/>
                <w:sz w:val="20"/>
                <w:szCs w:val="20"/>
              </w:rPr>
              <w:t>2019-2020</w:t>
            </w:r>
          </w:p>
        </w:tc>
        <w:tc>
          <w:tcPr>
            <w:tcW w:w="0" w:type="auto"/>
            <w:tcBorders>
              <w:top w:val="single" w:sz="4" w:space="0" w:color="auto"/>
              <w:left w:val="single" w:sz="4" w:space="0" w:color="auto"/>
              <w:bottom w:val="single" w:sz="4" w:space="0" w:color="auto"/>
              <w:right w:val="single" w:sz="4" w:space="0" w:color="auto"/>
            </w:tcBorders>
            <w:vAlign w:val="center"/>
          </w:tcPr>
          <w:p w14:paraId="0C4C6B8C" w14:textId="77777777" w:rsidR="00CE653D" w:rsidRPr="00CE653D" w:rsidRDefault="00CE653D" w:rsidP="00AC5449">
            <w:pPr>
              <w:jc w:val="center"/>
              <w:rPr>
                <w:rFonts w:ascii="Arial" w:hAnsi="Arial" w:cs="Arial"/>
                <w:sz w:val="20"/>
                <w:szCs w:val="20"/>
              </w:rPr>
            </w:pPr>
            <w:r w:rsidRPr="00CE653D">
              <w:rPr>
                <w:rFonts w:ascii="Arial" w:hAnsi="Arial" w:cs="Arial"/>
                <w:sz w:val="20"/>
                <w:szCs w:val="20"/>
              </w:rPr>
              <w:t>2022-2023</w:t>
            </w:r>
          </w:p>
        </w:tc>
        <w:tc>
          <w:tcPr>
            <w:tcW w:w="0" w:type="auto"/>
            <w:tcBorders>
              <w:top w:val="single" w:sz="4" w:space="0" w:color="auto"/>
              <w:left w:val="single" w:sz="4" w:space="0" w:color="auto"/>
              <w:bottom w:val="single" w:sz="4" w:space="0" w:color="auto"/>
              <w:right w:val="single" w:sz="4" w:space="0" w:color="auto"/>
            </w:tcBorders>
          </w:tcPr>
          <w:p w14:paraId="6AC6A05D" w14:textId="77777777" w:rsidR="00CE653D" w:rsidRPr="00CE653D" w:rsidRDefault="00CE653D" w:rsidP="00AC5449">
            <w:pPr>
              <w:jc w:val="center"/>
              <w:rPr>
                <w:rFonts w:ascii="Arial" w:hAnsi="Arial" w:cs="Arial"/>
                <w:sz w:val="20"/>
                <w:szCs w:val="20"/>
              </w:rPr>
            </w:pPr>
            <w:r w:rsidRPr="00CE653D">
              <w:rPr>
                <w:rFonts w:ascii="Arial" w:hAnsi="Arial" w:cs="Arial"/>
                <w:sz w:val="20"/>
                <w:szCs w:val="20"/>
              </w:rPr>
              <w:t>2019-2020</w:t>
            </w:r>
          </w:p>
        </w:tc>
      </w:tr>
      <w:tr w:rsidR="00CE653D" w:rsidRPr="00A97D80" w14:paraId="024356D0" w14:textId="77777777" w:rsidTr="00CE653D">
        <w:tc>
          <w:tcPr>
            <w:tcW w:w="0" w:type="auto"/>
            <w:tcBorders>
              <w:top w:val="single" w:sz="4" w:space="0" w:color="auto"/>
              <w:left w:val="single" w:sz="4" w:space="0" w:color="auto"/>
              <w:bottom w:val="single" w:sz="4" w:space="0" w:color="auto"/>
              <w:right w:val="single" w:sz="4" w:space="0" w:color="auto"/>
            </w:tcBorders>
            <w:vAlign w:val="center"/>
          </w:tcPr>
          <w:p w14:paraId="4D1913A0" w14:textId="1B436BEA" w:rsidR="00CE653D" w:rsidRPr="00CE653D" w:rsidRDefault="00CE653D" w:rsidP="00AC5449">
            <w:pPr>
              <w:rPr>
                <w:rFonts w:ascii="Arial" w:hAnsi="Arial" w:cs="Arial"/>
                <w:sz w:val="20"/>
                <w:szCs w:val="20"/>
              </w:rPr>
            </w:pPr>
            <w:r w:rsidRPr="00CE653D">
              <w:rPr>
                <w:rFonts w:ascii="Arial" w:hAnsi="Arial" w:cs="Arial"/>
                <w:sz w:val="20"/>
                <w:szCs w:val="20"/>
              </w:rPr>
              <w:t>Chronic Absenteeism</w:t>
            </w:r>
          </w:p>
        </w:tc>
        <w:tc>
          <w:tcPr>
            <w:tcW w:w="0" w:type="auto"/>
            <w:tcBorders>
              <w:top w:val="single" w:sz="4" w:space="0" w:color="auto"/>
              <w:left w:val="single" w:sz="4" w:space="0" w:color="auto"/>
              <w:bottom w:val="single" w:sz="4" w:space="0" w:color="auto"/>
              <w:right w:val="single" w:sz="4" w:space="0" w:color="auto"/>
            </w:tcBorders>
            <w:vAlign w:val="center"/>
          </w:tcPr>
          <w:p w14:paraId="5612C1C8" w14:textId="6EAA7A8C" w:rsidR="00CE653D" w:rsidRPr="00CE653D" w:rsidRDefault="00CE653D" w:rsidP="00AC5449">
            <w:pPr>
              <w:jc w:val="center"/>
              <w:rPr>
                <w:rFonts w:ascii="Arial" w:hAnsi="Arial" w:cs="Arial"/>
                <w:sz w:val="20"/>
                <w:szCs w:val="20"/>
              </w:rPr>
            </w:pPr>
            <w:r>
              <w:rPr>
                <w:rFonts w:ascii="Arial" w:hAnsi="Arial" w:cs="Arial"/>
                <w:sz w:val="20"/>
                <w:szCs w:val="20"/>
              </w:rPr>
              <w:t>1,195</w:t>
            </w:r>
          </w:p>
        </w:tc>
        <w:tc>
          <w:tcPr>
            <w:tcW w:w="0" w:type="auto"/>
            <w:tcBorders>
              <w:top w:val="single" w:sz="4" w:space="0" w:color="auto"/>
              <w:left w:val="single" w:sz="4" w:space="0" w:color="auto"/>
              <w:bottom w:val="single" w:sz="4" w:space="0" w:color="auto"/>
              <w:right w:val="single" w:sz="4" w:space="0" w:color="auto"/>
            </w:tcBorders>
          </w:tcPr>
          <w:p w14:paraId="28A0FBA3" w14:textId="086F45D2" w:rsidR="00CE653D" w:rsidRPr="00CE653D" w:rsidRDefault="00CE653D" w:rsidP="00AC5449">
            <w:pPr>
              <w:jc w:val="center"/>
              <w:rPr>
                <w:rFonts w:ascii="Arial" w:hAnsi="Arial" w:cs="Arial"/>
                <w:sz w:val="20"/>
                <w:szCs w:val="20"/>
              </w:rPr>
            </w:pPr>
            <w:r>
              <w:rPr>
                <w:rFonts w:ascii="Arial" w:hAnsi="Arial" w:cs="Arial"/>
                <w:sz w:val="20"/>
                <w:szCs w:val="20"/>
              </w:rPr>
              <w:t>1,663</w:t>
            </w:r>
          </w:p>
        </w:tc>
        <w:tc>
          <w:tcPr>
            <w:tcW w:w="0" w:type="auto"/>
            <w:tcBorders>
              <w:top w:val="single" w:sz="4" w:space="0" w:color="auto"/>
              <w:left w:val="single" w:sz="4" w:space="0" w:color="auto"/>
              <w:bottom w:val="single" w:sz="4" w:space="0" w:color="auto"/>
              <w:right w:val="single" w:sz="4" w:space="0" w:color="auto"/>
            </w:tcBorders>
            <w:vAlign w:val="center"/>
          </w:tcPr>
          <w:p w14:paraId="42E257DC" w14:textId="1C2F22C2" w:rsidR="00CE653D" w:rsidRPr="00CE653D" w:rsidRDefault="00CE653D" w:rsidP="00AC5449">
            <w:pPr>
              <w:jc w:val="center"/>
              <w:rPr>
                <w:rFonts w:ascii="Arial" w:hAnsi="Arial" w:cs="Arial"/>
                <w:sz w:val="20"/>
                <w:szCs w:val="20"/>
              </w:rPr>
            </w:pPr>
            <w:r>
              <w:rPr>
                <w:rFonts w:ascii="Arial" w:hAnsi="Arial" w:cs="Arial"/>
                <w:sz w:val="20"/>
                <w:szCs w:val="20"/>
              </w:rPr>
              <w:t>505</w:t>
            </w:r>
          </w:p>
        </w:tc>
        <w:tc>
          <w:tcPr>
            <w:tcW w:w="0" w:type="auto"/>
            <w:tcBorders>
              <w:top w:val="single" w:sz="4" w:space="0" w:color="auto"/>
              <w:left w:val="single" w:sz="4" w:space="0" w:color="auto"/>
              <w:bottom w:val="single" w:sz="4" w:space="0" w:color="auto"/>
              <w:right w:val="single" w:sz="4" w:space="0" w:color="auto"/>
            </w:tcBorders>
          </w:tcPr>
          <w:p w14:paraId="00515CE1" w14:textId="6C69A2BE" w:rsidR="00CE653D" w:rsidRPr="00CE653D" w:rsidRDefault="00CE653D" w:rsidP="00AC5449">
            <w:pPr>
              <w:jc w:val="center"/>
              <w:rPr>
                <w:rFonts w:ascii="Arial" w:hAnsi="Arial" w:cs="Arial"/>
                <w:sz w:val="20"/>
                <w:szCs w:val="20"/>
              </w:rPr>
            </w:pPr>
            <w:r>
              <w:rPr>
                <w:rFonts w:ascii="Arial" w:hAnsi="Arial" w:cs="Arial"/>
                <w:sz w:val="20"/>
                <w:szCs w:val="20"/>
              </w:rPr>
              <w:t>133</w:t>
            </w:r>
          </w:p>
        </w:tc>
        <w:tc>
          <w:tcPr>
            <w:tcW w:w="0" w:type="auto"/>
            <w:tcBorders>
              <w:top w:val="single" w:sz="4" w:space="0" w:color="auto"/>
              <w:left w:val="single" w:sz="4" w:space="0" w:color="auto"/>
              <w:bottom w:val="single" w:sz="4" w:space="0" w:color="auto"/>
              <w:right w:val="single" w:sz="4" w:space="0" w:color="auto"/>
            </w:tcBorders>
            <w:vAlign w:val="center"/>
          </w:tcPr>
          <w:p w14:paraId="4C64E1EE" w14:textId="6832DEB4" w:rsidR="00CE653D" w:rsidRPr="00CE653D" w:rsidRDefault="00CE653D" w:rsidP="00AC5449">
            <w:pPr>
              <w:jc w:val="center"/>
              <w:rPr>
                <w:rFonts w:ascii="Arial" w:hAnsi="Arial" w:cs="Arial"/>
                <w:sz w:val="20"/>
                <w:szCs w:val="20"/>
              </w:rPr>
            </w:pPr>
            <w:r>
              <w:rPr>
                <w:rFonts w:ascii="Arial" w:hAnsi="Arial" w:cs="Arial"/>
                <w:sz w:val="20"/>
                <w:szCs w:val="20"/>
              </w:rPr>
              <w:t>121</w:t>
            </w:r>
          </w:p>
        </w:tc>
        <w:tc>
          <w:tcPr>
            <w:tcW w:w="0" w:type="auto"/>
            <w:tcBorders>
              <w:top w:val="single" w:sz="4" w:space="0" w:color="auto"/>
              <w:left w:val="single" w:sz="4" w:space="0" w:color="auto"/>
              <w:bottom w:val="single" w:sz="4" w:space="0" w:color="auto"/>
              <w:right w:val="single" w:sz="4" w:space="0" w:color="auto"/>
            </w:tcBorders>
          </w:tcPr>
          <w:p w14:paraId="553C3829" w14:textId="5BC9000D" w:rsidR="00CE653D" w:rsidRPr="00CE653D" w:rsidRDefault="00CE653D" w:rsidP="00AC5449">
            <w:pPr>
              <w:jc w:val="center"/>
              <w:rPr>
                <w:rFonts w:ascii="Arial" w:hAnsi="Arial" w:cs="Arial"/>
                <w:sz w:val="20"/>
                <w:szCs w:val="20"/>
              </w:rPr>
            </w:pPr>
            <w:r>
              <w:rPr>
                <w:rFonts w:ascii="Arial" w:hAnsi="Arial" w:cs="Arial"/>
                <w:sz w:val="20"/>
                <w:szCs w:val="20"/>
              </w:rPr>
              <w:t>23</w:t>
            </w:r>
          </w:p>
        </w:tc>
      </w:tr>
      <w:tr w:rsidR="00CE653D" w:rsidRPr="00A97D80" w14:paraId="389ABFAE" w14:textId="77777777" w:rsidTr="00CE653D">
        <w:tc>
          <w:tcPr>
            <w:tcW w:w="0" w:type="auto"/>
            <w:tcBorders>
              <w:top w:val="single" w:sz="4" w:space="0" w:color="auto"/>
              <w:left w:val="single" w:sz="4" w:space="0" w:color="auto"/>
              <w:bottom w:val="single" w:sz="4" w:space="0" w:color="auto"/>
              <w:right w:val="single" w:sz="4" w:space="0" w:color="auto"/>
            </w:tcBorders>
            <w:vAlign w:val="center"/>
          </w:tcPr>
          <w:p w14:paraId="6C661BD6" w14:textId="723C5D2C" w:rsidR="00CE653D" w:rsidRPr="00CE653D" w:rsidRDefault="00CE653D" w:rsidP="00AC5449">
            <w:pPr>
              <w:rPr>
                <w:rFonts w:ascii="Arial" w:hAnsi="Arial" w:cs="Arial"/>
                <w:sz w:val="20"/>
                <w:szCs w:val="20"/>
              </w:rPr>
            </w:pPr>
            <w:r w:rsidRPr="00CE653D">
              <w:rPr>
                <w:rFonts w:ascii="Arial" w:hAnsi="Arial" w:cs="Arial"/>
                <w:sz w:val="20"/>
                <w:szCs w:val="20"/>
              </w:rPr>
              <w:t>Dropout Rate</w:t>
            </w:r>
          </w:p>
        </w:tc>
        <w:tc>
          <w:tcPr>
            <w:tcW w:w="0" w:type="auto"/>
            <w:tcBorders>
              <w:top w:val="single" w:sz="4" w:space="0" w:color="auto"/>
              <w:left w:val="single" w:sz="4" w:space="0" w:color="auto"/>
              <w:bottom w:val="single" w:sz="4" w:space="0" w:color="auto"/>
              <w:right w:val="single" w:sz="4" w:space="0" w:color="auto"/>
            </w:tcBorders>
            <w:vAlign w:val="center"/>
          </w:tcPr>
          <w:p w14:paraId="2446DC61" w14:textId="76FC6508" w:rsidR="00CE653D" w:rsidRPr="00CE653D" w:rsidRDefault="00CE653D" w:rsidP="00AC5449">
            <w:pPr>
              <w:jc w:val="center"/>
              <w:rPr>
                <w:rFonts w:ascii="Arial" w:hAnsi="Arial" w:cs="Arial"/>
                <w:sz w:val="20"/>
                <w:szCs w:val="20"/>
              </w:rPr>
            </w:pPr>
            <w:r>
              <w:rPr>
                <w:rFonts w:ascii="Arial" w:hAnsi="Arial" w:cs="Arial"/>
                <w:sz w:val="20"/>
                <w:szCs w:val="20"/>
              </w:rPr>
              <w:t>263</w:t>
            </w:r>
          </w:p>
        </w:tc>
        <w:tc>
          <w:tcPr>
            <w:tcW w:w="0" w:type="auto"/>
            <w:tcBorders>
              <w:top w:val="single" w:sz="4" w:space="0" w:color="auto"/>
              <w:left w:val="single" w:sz="4" w:space="0" w:color="auto"/>
              <w:bottom w:val="single" w:sz="4" w:space="0" w:color="auto"/>
              <w:right w:val="single" w:sz="4" w:space="0" w:color="auto"/>
            </w:tcBorders>
          </w:tcPr>
          <w:p w14:paraId="4D81348D" w14:textId="1E9F71DC" w:rsidR="00CE653D" w:rsidRPr="00CE653D" w:rsidRDefault="00CE653D" w:rsidP="00AC5449">
            <w:pPr>
              <w:jc w:val="center"/>
              <w:rPr>
                <w:rFonts w:ascii="Arial" w:hAnsi="Arial" w:cs="Arial"/>
                <w:sz w:val="20"/>
                <w:szCs w:val="20"/>
              </w:rPr>
            </w:pPr>
            <w:r>
              <w:rPr>
                <w:rFonts w:ascii="Arial" w:hAnsi="Arial" w:cs="Arial"/>
                <w:sz w:val="20"/>
                <w:szCs w:val="20"/>
              </w:rPr>
              <w:t>256</w:t>
            </w:r>
          </w:p>
        </w:tc>
        <w:tc>
          <w:tcPr>
            <w:tcW w:w="0" w:type="auto"/>
            <w:tcBorders>
              <w:top w:val="single" w:sz="4" w:space="0" w:color="auto"/>
              <w:left w:val="single" w:sz="4" w:space="0" w:color="auto"/>
              <w:bottom w:val="single" w:sz="4" w:space="0" w:color="auto"/>
              <w:right w:val="single" w:sz="4" w:space="0" w:color="auto"/>
            </w:tcBorders>
            <w:vAlign w:val="center"/>
          </w:tcPr>
          <w:p w14:paraId="70C9F1B7" w14:textId="0DF395CF" w:rsidR="00CE653D" w:rsidRPr="00CE653D" w:rsidRDefault="00CE653D" w:rsidP="00AC5449">
            <w:pPr>
              <w:jc w:val="center"/>
              <w:rPr>
                <w:rFonts w:ascii="Arial" w:hAnsi="Arial" w:cs="Arial"/>
                <w:sz w:val="20"/>
                <w:szCs w:val="20"/>
              </w:rPr>
            </w:pPr>
            <w:r>
              <w:rPr>
                <w:rFonts w:ascii="Arial" w:hAnsi="Arial" w:cs="Arial"/>
                <w:sz w:val="20"/>
                <w:szCs w:val="20"/>
              </w:rPr>
              <w:t>46</w:t>
            </w:r>
          </w:p>
        </w:tc>
        <w:tc>
          <w:tcPr>
            <w:tcW w:w="0" w:type="auto"/>
            <w:tcBorders>
              <w:top w:val="single" w:sz="4" w:space="0" w:color="auto"/>
              <w:left w:val="single" w:sz="4" w:space="0" w:color="auto"/>
              <w:bottom w:val="single" w:sz="4" w:space="0" w:color="auto"/>
              <w:right w:val="single" w:sz="4" w:space="0" w:color="auto"/>
            </w:tcBorders>
          </w:tcPr>
          <w:p w14:paraId="0E4AFA49" w14:textId="6B731DEC" w:rsidR="00CE653D" w:rsidRPr="00CE653D" w:rsidRDefault="00CE653D" w:rsidP="00AC5449">
            <w:pPr>
              <w:jc w:val="center"/>
              <w:rPr>
                <w:rFonts w:ascii="Arial" w:hAnsi="Arial" w:cs="Arial"/>
                <w:sz w:val="20"/>
                <w:szCs w:val="20"/>
              </w:rPr>
            </w:pPr>
            <w:r>
              <w:rPr>
                <w:rFonts w:ascii="Arial" w:hAnsi="Arial"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center"/>
          </w:tcPr>
          <w:p w14:paraId="6D707F49" w14:textId="70B414C6" w:rsidR="00CE653D" w:rsidRPr="00CE653D" w:rsidRDefault="00CE653D" w:rsidP="00AC5449">
            <w:pPr>
              <w:jc w:val="center"/>
              <w:rPr>
                <w:rFonts w:ascii="Arial" w:hAnsi="Arial" w:cs="Arial"/>
                <w:sz w:val="20"/>
                <w:szCs w:val="20"/>
              </w:rPr>
            </w:pPr>
            <w:r>
              <w:rPr>
                <w:rFonts w:ascii="Arial" w:hAnsi="Arial" w:cs="Arial"/>
                <w:sz w:val="20"/>
                <w:szCs w:val="20"/>
              </w:rPr>
              <w:t>21</w:t>
            </w:r>
          </w:p>
        </w:tc>
        <w:tc>
          <w:tcPr>
            <w:tcW w:w="0" w:type="auto"/>
            <w:tcBorders>
              <w:top w:val="single" w:sz="4" w:space="0" w:color="auto"/>
              <w:left w:val="single" w:sz="4" w:space="0" w:color="auto"/>
              <w:bottom w:val="single" w:sz="4" w:space="0" w:color="auto"/>
              <w:right w:val="single" w:sz="4" w:space="0" w:color="auto"/>
            </w:tcBorders>
          </w:tcPr>
          <w:p w14:paraId="0FCFF947" w14:textId="65D1406F" w:rsidR="00CE653D" w:rsidRPr="00CE653D" w:rsidRDefault="00CE653D" w:rsidP="00AC5449">
            <w:pPr>
              <w:jc w:val="center"/>
              <w:rPr>
                <w:rFonts w:ascii="Arial" w:hAnsi="Arial" w:cs="Arial"/>
                <w:sz w:val="20"/>
                <w:szCs w:val="20"/>
              </w:rPr>
            </w:pPr>
            <w:r>
              <w:rPr>
                <w:rFonts w:ascii="Arial" w:hAnsi="Arial" w:cs="Arial"/>
                <w:sz w:val="20"/>
                <w:szCs w:val="20"/>
              </w:rPr>
              <w:t>31</w:t>
            </w:r>
          </w:p>
        </w:tc>
      </w:tr>
      <w:tr w:rsidR="00CE653D" w:rsidRPr="00A97D80" w14:paraId="0FB1DB53" w14:textId="77777777" w:rsidTr="00CE653D">
        <w:tc>
          <w:tcPr>
            <w:tcW w:w="0" w:type="auto"/>
            <w:tcBorders>
              <w:top w:val="single" w:sz="4" w:space="0" w:color="auto"/>
              <w:left w:val="single" w:sz="4" w:space="0" w:color="auto"/>
              <w:bottom w:val="single" w:sz="4" w:space="0" w:color="auto"/>
              <w:right w:val="single" w:sz="4" w:space="0" w:color="auto"/>
            </w:tcBorders>
            <w:vAlign w:val="center"/>
          </w:tcPr>
          <w:p w14:paraId="21B0D8F5" w14:textId="452FB8A0" w:rsidR="00CE653D" w:rsidRPr="00CE653D" w:rsidRDefault="00CE653D" w:rsidP="00AC5449">
            <w:pPr>
              <w:rPr>
                <w:rFonts w:ascii="Arial" w:hAnsi="Arial" w:cs="Arial"/>
                <w:sz w:val="20"/>
                <w:szCs w:val="20"/>
              </w:rPr>
            </w:pPr>
            <w:r>
              <w:rPr>
                <w:rFonts w:ascii="Arial" w:hAnsi="Arial" w:cs="Arial"/>
                <w:sz w:val="20"/>
                <w:szCs w:val="20"/>
              </w:rPr>
              <w:t>Graduation/</w:t>
            </w:r>
            <w:r w:rsidRPr="00CE653D">
              <w:rPr>
                <w:rFonts w:ascii="Arial" w:hAnsi="Arial" w:cs="Arial"/>
                <w:sz w:val="20"/>
                <w:szCs w:val="20"/>
              </w:rPr>
              <w:t>Completion</w:t>
            </w:r>
          </w:p>
        </w:tc>
        <w:tc>
          <w:tcPr>
            <w:tcW w:w="0" w:type="auto"/>
            <w:tcBorders>
              <w:top w:val="single" w:sz="4" w:space="0" w:color="auto"/>
              <w:left w:val="single" w:sz="4" w:space="0" w:color="auto"/>
              <w:bottom w:val="single" w:sz="4" w:space="0" w:color="auto"/>
              <w:right w:val="single" w:sz="4" w:space="0" w:color="auto"/>
            </w:tcBorders>
            <w:vAlign w:val="center"/>
          </w:tcPr>
          <w:p w14:paraId="187FE481" w14:textId="65A71327" w:rsidR="00CE653D" w:rsidRPr="00CE653D" w:rsidRDefault="00CE653D" w:rsidP="00AC5449">
            <w:pPr>
              <w:jc w:val="center"/>
              <w:rPr>
                <w:rFonts w:ascii="Arial" w:hAnsi="Arial" w:cs="Arial"/>
                <w:sz w:val="20"/>
                <w:szCs w:val="20"/>
              </w:rPr>
            </w:pPr>
            <w:r>
              <w:rPr>
                <w:rFonts w:ascii="Arial" w:hAnsi="Arial" w:cs="Arial"/>
                <w:sz w:val="20"/>
                <w:szCs w:val="20"/>
              </w:rPr>
              <w:t>296</w:t>
            </w:r>
          </w:p>
        </w:tc>
        <w:tc>
          <w:tcPr>
            <w:tcW w:w="0" w:type="auto"/>
            <w:tcBorders>
              <w:top w:val="single" w:sz="4" w:space="0" w:color="auto"/>
              <w:left w:val="single" w:sz="4" w:space="0" w:color="auto"/>
              <w:bottom w:val="single" w:sz="4" w:space="0" w:color="auto"/>
              <w:right w:val="single" w:sz="4" w:space="0" w:color="auto"/>
            </w:tcBorders>
          </w:tcPr>
          <w:p w14:paraId="7D6DF6DC" w14:textId="1076BA52" w:rsidR="00CE653D" w:rsidRPr="00CE653D" w:rsidRDefault="00CE653D" w:rsidP="00AC5449">
            <w:pPr>
              <w:jc w:val="center"/>
              <w:rPr>
                <w:rFonts w:ascii="Arial" w:hAnsi="Arial" w:cs="Arial"/>
                <w:sz w:val="20"/>
                <w:szCs w:val="20"/>
              </w:rPr>
            </w:pPr>
            <w:r>
              <w:rPr>
                <w:rFonts w:ascii="Arial" w:hAnsi="Arial" w:cs="Arial"/>
                <w:sz w:val="20"/>
                <w:szCs w:val="20"/>
              </w:rPr>
              <w:t>302</w:t>
            </w:r>
          </w:p>
        </w:tc>
        <w:tc>
          <w:tcPr>
            <w:tcW w:w="0" w:type="auto"/>
            <w:tcBorders>
              <w:top w:val="single" w:sz="4" w:space="0" w:color="auto"/>
              <w:left w:val="single" w:sz="4" w:space="0" w:color="auto"/>
              <w:bottom w:val="single" w:sz="4" w:space="0" w:color="auto"/>
              <w:right w:val="single" w:sz="4" w:space="0" w:color="auto"/>
            </w:tcBorders>
            <w:vAlign w:val="center"/>
          </w:tcPr>
          <w:p w14:paraId="7EA4597E" w14:textId="10BA4DE6" w:rsidR="00CE653D" w:rsidRPr="00CE653D" w:rsidRDefault="00CE653D" w:rsidP="00AC5449">
            <w:pPr>
              <w:jc w:val="center"/>
              <w:rPr>
                <w:rFonts w:ascii="Arial" w:hAnsi="Arial" w:cs="Arial"/>
                <w:sz w:val="20"/>
                <w:szCs w:val="20"/>
              </w:rPr>
            </w:pPr>
            <w:r>
              <w:rPr>
                <w:rFonts w:ascii="Arial" w:hAnsi="Arial" w:cs="Arial"/>
                <w:sz w:val="20"/>
                <w:szCs w:val="20"/>
              </w:rPr>
              <w:t>29</w:t>
            </w:r>
          </w:p>
        </w:tc>
        <w:tc>
          <w:tcPr>
            <w:tcW w:w="0" w:type="auto"/>
            <w:tcBorders>
              <w:top w:val="single" w:sz="4" w:space="0" w:color="auto"/>
              <w:left w:val="single" w:sz="4" w:space="0" w:color="auto"/>
              <w:bottom w:val="single" w:sz="4" w:space="0" w:color="auto"/>
              <w:right w:val="single" w:sz="4" w:space="0" w:color="auto"/>
            </w:tcBorders>
          </w:tcPr>
          <w:p w14:paraId="020A357B" w14:textId="02853DEA" w:rsidR="00CE653D" w:rsidRPr="00CE653D" w:rsidRDefault="00CE653D" w:rsidP="00AC5449">
            <w:pPr>
              <w:jc w:val="center"/>
              <w:rPr>
                <w:rFonts w:ascii="Arial" w:hAnsi="Arial" w:cs="Arial"/>
                <w:sz w:val="20"/>
                <w:szCs w:val="20"/>
              </w:rPr>
            </w:pPr>
            <w:r>
              <w:rPr>
                <w:rFonts w:ascii="Arial" w:hAnsi="Arial"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5CB26927" w14:textId="564B1DBC" w:rsidR="00CE653D" w:rsidRPr="00CE653D" w:rsidRDefault="00CE653D" w:rsidP="00AC5449">
            <w:pPr>
              <w:jc w:val="center"/>
              <w:rPr>
                <w:rFonts w:ascii="Arial" w:hAnsi="Arial" w:cs="Arial"/>
                <w:sz w:val="20"/>
                <w:szCs w:val="20"/>
              </w:rPr>
            </w:pPr>
            <w:r>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4378E339" w14:textId="4CA4F07B" w:rsidR="00CE653D" w:rsidRPr="00CE653D" w:rsidRDefault="00CE653D" w:rsidP="00AC5449">
            <w:pPr>
              <w:jc w:val="center"/>
              <w:rPr>
                <w:rFonts w:ascii="Arial" w:hAnsi="Arial" w:cs="Arial"/>
                <w:sz w:val="20"/>
                <w:szCs w:val="20"/>
              </w:rPr>
            </w:pPr>
            <w:r>
              <w:rPr>
                <w:rFonts w:ascii="Arial" w:hAnsi="Arial" w:cs="Arial"/>
                <w:sz w:val="20"/>
                <w:szCs w:val="20"/>
              </w:rPr>
              <w:t>9</w:t>
            </w:r>
          </w:p>
        </w:tc>
      </w:tr>
    </w:tbl>
    <w:p w14:paraId="0BE83D74" w14:textId="77777777" w:rsidR="00A97D80" w:rsidRPr="00A97D80" w:rsidRDefault="00A97D80" w:rsidP="00A97D80"/>
    <w:p w14:paraId="1D89D990" w14:textId="525F31C4" w:rsidR="00DC6F02" w:rsidRPr="00DC6F02" w:rsidRDefault="00DC6F02" w:rsidP="00DC6F02">
      <w:pPr>
        <w:rPr>
          <w:shd w:val="clear" w:color="auto" w:fill="FFFFFF"/>
        </w:rPr>
      </w:pPr>
      <w:r w:rsidRPr="00DC6F02">
        <w:rPr>
          <w:shd w:val="clear" w:color="auto" w:fill="FFFFFF"/>
        </w:rPr>
        <w:t>“The school quality indicator data and the overall school ratings are skewed by several factors that obscure the impact of the pandemic and school closures,” Balow said. “For example,</w:t>
      </w:r>
      <w:r w:rsidR="001529DF">
        <w:rPr>
          <w:shd w:val="clear" w:color="auto" w:fill="FFFFFF"/>
        </w:rPr>
        <w:t xml:space="preserve"> in English, </w:t>
      </w:r>
      <w:r w:rsidRPr="00DC6F02">
        <w:rPr>
          <w:shd w:val="clear" w:color="auto" w:fill="FFFFFF"/>
        </w:rPr>
        <w:t>lower expectations on the reading tests introduced in 2020-2021 and how growth is factored into accreditation resulte</w:t>
      </w:r>
      <w:r w:rsidR="00B176F2">
        <w:rPr>
          <w:shd w:val="clear" w:color="auto" w:fill="FFFFFF"/>
        </w:rPr>
        <w:t>d in more schools achieving at Level 1</w:t>
      </w:r>
      <w:r w:rsidRPr="00DC6F02">
        <w:rPr>
          <w:shd w:val="clear" w:color="auto" w:fill="FFFFFF"/>
        </w:rPr>
        <w:t xml:space="preserve"> in English </w:t>
      </w:r>
      <w:r w:rsidR="001529DF">
        <w:rPr>
          <w:shd w:val="clear" w:color="auto" w:fill="FFFFFF"/>
        </w:rPr>
        <w:t xml:space="preserve">than before the pandemic. This masks </w:t>
      </w:r>
      <w:r w:rsidRPr="00DC6F02">
        <w:rPr>
          <w:shd w:val="clear" w:color="auto" w:fill="FFFFFF"/>
        </w:rPr>
        <w:t>the catastrophic learning losses experienced by our most</w:t>
      </w:r>
      <w:r w:rsidR="001529DF">
        <w:rPr>
          <w:shd w:val="clear" w:color="auto" w:fill="FFFFFF"/>
        </w:rPr>
        <w:t xml:space="preserve"> vulnerable students</w:t>
      </w:r>
      <w:r w:rsidRPr="00DC6F02">
        <w:rPr>
          <w:shd w:val="clear" w:color="auto" w:fill="FFFFFF"/>
        </w:rPr>
        <w:t>.”</w:t>
      </w:r>
    </w:p>
    <w:p w14:paraId="6AC1C613" w14:textId="5F857372" w:rsidR="00DC6F02" w:rsidRDefault="00DC6F02" w:rsidP="00BD6BC2">
      <w:pPr>
        <w:rPr>
          <w:shd w:val="clear" w:color="auto" w:fill="FFFFFF"/>
        </w:rPr>
      </w:pPr>
    </w:p>
    <w:p w14:paraId="27A998D3" w14:textId="747DADA6" w:rsidR="005C4A0A" w:rsidRDefault="005C4A0A" w:rsidP="00BD6BC2">
      <w:pPr>
        <w:rPr>
          <w:shd w:val="clear" w:color="auto" w:fill="FFFFFF"/>
        </w:rPr>
      </w:pPr>
      <w:r w:rsidRPr="005C4A0A">
        <w:rPr>
          <w:shd w:val="clear" w:color="auto" w:fill="FFFFFF"/>
        </w:rPr>
        <w:t xml:space="preserve">Prior to the pandemic, the number of students statewide who failed an SOL reading test but showed growth — and therefore counted toward </w:t>
      </w:r>
      <w:r w:rsidR="00B176F2">
        <w:rPr>
          <w:shd w:val="clear" w:color="auto" w:fill="FFFFFF"/>
        </w:rPr>
        <w:t xml:space="preserve">their school’s </w:t>
      </w:r>
      <w:r w:rsidRPr="005C4A0A">
        <w:rPr>
          <w:shd w:val="clear" w:color="auto" w:fill="FFFFFF"/>
        </w:rPr>
        <w:t>accreditation</w:t>
      </w:r>
      <w:r w:rsidR="00B176F2">
        <w:rPr>
          <w:shd w:val="clear" w:color="auto" w:fill="FFFFFF"/>
        </w:rPr>
        <w:t xml:space="preserve"> rating</w:t>
      </w:r>
      <w:r w:rsidRPr="005C4A0A">
        <w:rPr>
          <w:shd w:val="clear" w:color="auto" w:fill="FFFFFF"/>
        </w:rPr>
        <w:t xml:space="preserve"> — ran</w:t>
      </w:r>
      <w:r w:rsidR="00B176F2">
        <w:rPr>
          <w:shd w:val="clear" w:color="auto" w:fill="FFFFFF"/>
        </w:rPr>
        <w:t>ged from 19,000-20,000</w:t>
      </w:r>
      <w:r w:rsidR="004022B9">
        <w:rPr>
          <w:shd w:val="clear" w:color="auto" w:fill="FFFFFF"/>
        </w:rPr>
        <w:t xml:space="preserve">. </w:t>
      </w:r>
      <w:r w:rsidRPr="005C4A0A">
        <w:rPr>
          <w:shd w:val="clear" w:color="auto" w:fill="FFFFFF"/>
        </w:rPr>
        <w:t>With this latest round of accreditation c</w:t>
      </w:r>
      <w:r w:rsidR="00B176F2">
        <w:rPr>
          <w:shd w:val="clear" w:color="auto" w:fill="FFFFFF"/>
        </w:rPr>
        <w:t>alculations, the number</w:t>
      </w:r>
      <w:r w:rsidR="0003594F">
        <w:rPr>
          <w:shd w:val="clear" w:color="auto" w:fill="FFFFFF"/>
        </w:rPr>
        <w:t xml:space="preserve"> has more than tripled to 61,000</w:t>
      </w:r>
      <w:r w:rsidRPr="005C4A0A">
        <w:rPr>
          <w:shd w:val="clear" w:color="auto" w:fill="FFFFFF"/>
        </w:rPr>
        <w:t xml:space="preserve">. </w:t>
      </w:r>
    </w:p>
    <w:p w14:paraId="6FE24317" w14:textId="77777777" w:rsidR="007419CA" w:rsidRDefault="007419CA" w:rsidP="00BD6BC2">
      <w:pPr>
        <w:rPr>
          <w:shd w:val="clear" w:color="auto" w:fill="FFFFFF"/>
        </w:rPr>
      </w:pPr>
    </w:p>
    <w:p w14:paraId="010B81E1" w14:textId="77777777" w:rsidR="007419CA" w:rsidRPr="005C4A0A" w:rsidRDefault="007419CA" w:rsidP="007419CA">
      <w:pPr>
        <w:rPr>
          <w:shd w:val="clear" w:color="auto" w:fill="FFFFFF"/>
        </w:rPr>
      </w:pPr>
      <w:r w:rsidRPr="005C4A0A">
        <w:rPr>
          <w:shd w:val="clear" w:color="auto" w:fill="FFFFFF"/>
        </w:rPr>
        <w:t xml:space="preserve">Similarly, the number of students who failed a math SOL </w:t>
      </w:r>
      <w:r>
        <w:rPr>
          <w:shd w:val="clear" w:color="auto" w:fill="FFFFFF"/>
        </w:rPr>
        <w:t xml:space="preserve">test </w:t>
      </w:r>
      <w:r w:rsidRPr="005C4A0A">
        <w:rPr>
          <w:shd w:val="clear" w:color="auto" w:fill="FFFFFF"/>
        </w:rPr>
        <w:t xml:space="preserve">before the pandemic but showed growth </w:t>
      </w:r>
      <w:r>
        <w:rPr>
          <w:shd w:val="clear" w:color="auto" w:fill="FFFFFF"/>
        </w:rPr>
        <w:t xml:space="preserve">and counted toward their school’s rating </w:t>
      </w:r>
      <w:r w:rsidRPr="005C4A0A">
        <w:rPr>
          <w:shd w:val="clear" w:color="auto" w:fill="FFFFFF"/>
        </w:rPr>
        <w:t>was about 20,000. This year the numbe</w:t>
      </w:r>
      <w:r>
        <w:rPr>
          <w:shd w:val="clear" w:color="auto" w:fill="FFFFFF"/>
        </w:rPr>
        <w:t>r has quadrupled to more than 88,000</w:t>
      </w:r>
      <w:r w:rsidRPr="005C4A0A">
        <w:rPr>
          <w:shd w:val="clear" w:color="auto" w:fill="FFFFFF"/>
        </w:rPr>
        <w:t>.</w:t>
      </w:r>
    </w:p>
    <w:p w14:paraId="46BFBE5D" w14:textId="7E924D50" w:rsidR="00BD6BC2" w:rsidRDefault="00BD6BC2" w:rsidP="00BD6BC2">
      <w:pPr>
        <w:rPr>
          <w:shd w:val="clear" w:color="auto" w:fill="FFFFFF"/>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3594F" w14:paraId="3B654221" w14:textId="77777777" w:rsidTr="00035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none" w:sz="0" w:space="0" w:color="auto"/>
            </w:tcBorders>
            <w:vAlign w:val="center"/>
          </w:tcPr>
          <w:p w14:paraId="3C1DC9B9" w14:textId="77777777" w:rsidR="0003594F" w:rsidRPr="0003594F" w:rsidRDefault="0003594F" w:rsidP="0003594F">
            <w:pPr>
              <w:rPr>
                <w:rFonts w:ascii="Arial" w:hAnsi="Arial" w:cs="Arial"/>
                <w:b w:val="0"/>
                <w:sz w:val="22"/>
                <w:szCs w:val="22"/>
              </w:rPr>
            </w:pPr>
            <w:r w:rsidRPr="0003594F">
              <w:rPr>
                <w:rFonts w:ascii="Arial" w:hAnsi="Arial" w:cs="Arial"/>
                <w:b w:val="0"/>
                <w:sz w:val="22"/>
                <w:szCs w:val="22"/>
              </w:rPr>
              <w:t>SOL Assessment</w:t>
            </w:r>
          </w:p>
        </w:tc>
        <w:tc>
          <w:tcPr>
            <w:tcW w:w="3117" w:type="dxa"/>
            <w:tcBorders>
              <w:bottom w:val="none" w:sz="0" w:space="0" w:color="auto"/>
            </w:tcBorders>
            <w:vAlign w:val="center"/>
          </w:tcPr>
          <w:p w14:paraId="5DD09F03" w14:textId="5F2CF1E1" w:rsidR="0003594F" w:rsidRPr="0003594F" w:rsidRDefault="0003594F" w:rsidP="000359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3594F">
              <w:rPr>
                <w:rFonts w:ascii="Arial" w:hAnsi="Arial" w:cs="Arial"/>
                <w:b w:val="0"/>
                <w:sz w:val="22"/>
                <w:szCs w:val="22"/>
              </w:rPr>
              <w:t>Students Showing Growth, Not Proficiency 2018-2019</w:t>
            </w:r>
          </w:p>
        </w:tc>
        <w:tc>
          <w:tcPr>
            <w:tcW w:w="3117" w:type="dxa"/>
            <w:tcBorders>
              <w:bottom w:val="none" w:sz="0" w:space="0" w:color="auto"/>
            </w:tcBorders>
            <w:vAlign w:val="center"/>
          </w:tcPr>
          <w:p w14:paraId="27712A01" w14:textId="318D652D" w:rsidR="0003594F" w:rsidRPr="0003594F" w:rsidRDefault="0003594F" w:rsidP="000359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3594F">
              <w:rPr>
                <w:rFonts w:ascii="Arial" w:hAnsi="Arial" w:cs="Arial"/>
                <w:b w:val="0"/>
                <w:sz w:val="22"/>
                <w:szCs w:val="22"/>
              </w:rPr>
              <w:t>Students Showing Growth, Not Proficiency 2021-2022</w:t>
            </w:r>
          </w:p>
        </w:tc>
      </w:tr>
      <w:tr w:rsidR="0003594F" w14:paraId="15816FC9" w14:textId="77777777" w:rsidTr="0003594F">
        <w:tc>
          <w:tcPr>
            <w:cnfStyle w:val="001000000000" w:firstRow="0" w:lastRow="0" w:firstColumn="1" w:lastColumn="0" w:oddVBand="0" w:evenVBand="0" w:oddHBand="0" w:evenHBand="0" w:firstRowFirstColumn="0" w:firstRowLastColumn="0" w:lastRowFirstColumn="0" w:lastRowLastColumn="0"/>
            <w:tcW w:w="3116" w:type="dxa"/>
          </w:tcPr>
          <w:p w14:paraId="36A6B6B1" w14:textId="77777777" w:rsidR="0003594F" w:rsidRPr="0003594F" w:rsidRDefault="0003594F" w:rsidP="0003594F">
            <w:pPr>
              <w:rPr>
                <w:rFonts w:ascii="Arial" w:hAnsi="Arial" w:cs="Arial"/>
                <w:b w:val="0"/>
                <w:sz w:val="22"/>
                <w:szCs w:val="22"/>
              </w:rPr>
            </w:pPr>
            <w:r w:rsidRPr="0003594F">
              <w:rPr>
                <w:rFonts w:ascii="Arial" w:hAnsi="Arial" w:cs="Arial"/>
                <w:b w:val="0"/>
                <w:sz w:val="22"/>
                <w:szCs w:val="22"/>
              </w:rPr>
              <w:t>Reading</w:t>
            </w:r>
          </w:p>
        </w:tc>
        <w:tc>
          <w:tcPr>
            <w:tcW w:w="3117" w:type="dxa"/>
          </w:tcPr>
          <w:p w14:paraId="34BB81D0" w14:textId="1FCA9813" w:rsidR="0003594F" w:rsidRPr="0003594F" w:rsidRDefault="0003594F" w:rsidP="000359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594F">
              <w:rPr>
                <w:rFonts w:ascii="Arial" w:hAnsi="Arial" w:cs="Arial"/>
                <w:sz w:val="22"/>
                <w:szCs w:val="22"/>
              </w:rPr>
              <w:t>19,000-20,000</w:t>
            </w:r>
          </w:p>
        </w:tc>
        <w:tc>
          <w:tcPr>
            <w:tcW w:w="3117" w:type="dxa"/>
          </w:tcPr>
          <w:p w14:paraId="186FD66A" w14:textId="3B1E6699" w:rsidR="0003594F" w:rsidRPr="0003594F" w:rsidRDefault="0003594F" w:rsidP="00AA58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594F">
              <w:rPr>
                <w:rFonts w:ascii="Arial" w:hAnsi="Arial" w:cs="Arial"/>
                <w:sz w:val="22"/>
                <w:szCs w:val="22"/>
              </w:rPr>
              <w:t>6</w:t>
            </w:r>
            <w:r w:rsidR="00AA58AA">
              <w:rPr>
                <w:rFonts w:ascii="Arial" w:hAnsi="Arial" w:cs="Arial"/>
                <w:sz w:val="22"/>
                <w:szCs w:val="22"/>
              </w:rPr>
              <w:t>1</w:t>
            </w:r>
            <w:r w:rsidRPr="0003594F">
              <w:rPr>
                <w:rFonts w:ascii="Arial" w:hAnsi="Arial" w:cs="Arial"/>
                <w:sz w:val="22"/>
                <w:szCs w:val="22"/>
              </w:rPr>
              <w:t>,000</w:t>
            </w:r>
          </w:p>
        </w:tc>
      </w:tr>
      <w:tr w:rsidR="0003594F" w14:paraId="704C6154" w14:textId="77777777" w:rsidTr="0003594F">
        <w:tc>
          <w:tcPr>
            <w:cnfStyle w:val="001000000000" w:firstRow="0" w:lastRow="0" w:firstColumn="1" w:lastColumn="0" w:oddVBand="0" w:evenVBand="0" w:oddHBand="0" w:evenHBand="0" w:firstRowFirstColumn="0" w:firstRowLastColumn="0" w:lastRowFirstColumn="0" w:lastRowLastColumn="0"/>
            <w:tcW w:w="3116" w:type="dxa"/>
          </w:tcPr>
          <w:p w14:paraId="21AA2C3E" w14:textId="77777777" w:rsidR="0003594F" w:rsidRPr="0003594F" w:rsidRDefault="0003594F" w:rsidP="0003594F">
            <w:pPr>
              <w:rPr>
                <w:rFonts w:ascii="Arial" w:hAnsi="Arial" w:cs="Arial"/>
                <w:b w:val="0"/>
                <w:sz w:val="22"/>
                <w:szCs w:val="22"/>
              </w:rPr>
            </w:pPr>
            <w:r w:rsidRPr="0003594F">
              <w:rPr>
                <w:rFonts w:ascii="Arial" w:hAnsi="Arial" w:cs="Arial"/>
                <w:b w:val="0"/>
                <w:sz w:val="22"/>
                <w:szCs w:val="22"/>
              </w:rPr>
              <w:t>Math</w:t>
            </w:r>
          </w:p>
        </w:tc>
        <w:tc>
          <w:tcPr>
            <w:tcW w:w="3117" w:type="dxa"/>
          </w:tcPr>
          <w:p w14:paraId="186FFF2C" w14:textId="77777777" w:rsidR="0003594F" w:rsidRPr="0003594F" w:rsidRDefault="0003594F" w:rsidP="000359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594F">
              <w:rPr>
                <w:rFonts w:ascii="Arial" w:hAnsi="Arial" w:cs="Arial"/>
                <w:sz w:val="22"/>
                <w:szCs w:val="22"/>
              </w:rPr>
              <w:t>20,000</w:t>
            </w:r>
          </w:p>
        </w:tc>
        <w:tc>
          <w:tcPr>
            <w:tcW w:w="3117" w:type="dxa"/>
          </w:tcPr>
          <w:p w14:paraId="1B9CFAC0" w14:textId="77777777" w:rsidR="0003594F" w:rsidRPr="0003594F" w:rsidRDefault="0003594F" w:rsidP="000359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594F">
              <w:rPr>
                <w:rFonts w:ascii="Arial" w:hAnsi="Arial" w:cs="Arial"/>
                <w:sz w:val="22"/>
                <w:szCs w:val="22"/>
              </w:rPr>
              <w:t>88,000</w:t>
            </w:r>
          </w:p>
        </w:tc>
      </w:tr>
    </w:tbl>
    <w:p w14:paraId="70536047" w14:textId="4E8B635B" w:rsidR="0003594F" w:rsidRDefault="0003594F" w:rsidP="00BD6BC2">
      <w:pPr>
        <w:rPr>
          <w:shd w:val="clear" w:color="auto" w:fill="FFFFFF"/>
        </w:rPr>
      </w:pPr>
    </w:p>
    <w:p w14:paraId="546F7D43" w14:textId="6298CAAA" w:rsidR="00A85A35" w:rsidRDefault="00A85A35" w:rsidP="00BD6BC2">
      <w:pPr>
        <w:rPr>
          <w:shd w:val="clear" w:color="auto" w:fill="FFFFFF"/>
        </w:rPr>
      </w:pPr>
      <w:r w:rsidRPr="004022B9">
        <w:rPr>
          <w:shd w:val="clear" w:color="auto" w:fill="FFFFFF"/>
        </w:rPr>
        <w:t>“Teachers and principals are working hard, and this is reflected in the growth we are seeing,” Balow said. “</w:t>
      </w:r>
      <w:r w:rsidR="00F125FD" w:rsidRPr="004022B9">
        <w:rPr>
          <w:shd w:val="clear" w:color="auto" w:fill="FFFFFF"/>
        </w:rPr>
        <w:t>And in commending them</w:t>
      </w:r>
      <w:r w:rsidRPr="004022B9">
        <w:rPr>
          <w:shd w:val="clear" w:color="auto" w:fill="FFFFFF"/>
        </w:rPr>
        <w:t xml:space="preserve"> for their efforts, I encourage educators in every school — regardless of accreditation rating — to look deeply into their data and ch</w:t>
      </w:r>
      <w:r w:rsidR="0070420B" w:rsidRPr="004022B9">
        <w:rPr>
          <w:shd w:val="clear" w:color="auto" w:fill="FFFFFF"/>
        </w:rPr>
        <w:t xml:space="preserve">art sure paths </w:t>
      </w:r>
      <w:r w:rsidRPr="004022B9">
        <w:rPr>
          <w:shd w:val="clear" w:color="auto" w:fill="FFFFFF"/>
        </w:rPr>
        <w:t>to recovery and grade-level proficiency</w:t>
      </w:r>
      <w:r w:rsidR="0070420B" w:rsidRPr="004022B9">
        <w:rPr>
          <w:shd w:val="clear" w:color="auto" w:fill="FFFFFF"/>
        </w:rPr>
        <w:t xml:space="preserve"> for all of their students</w:t>
      </w:r>
      <w:r w:rsidRPr="004022B9">
        <w:rPr>
          <w:shd w:val="clear" w:color="auto" w:fill="FFFFFF"/>
        </w:rPr>
        <w:t>.”</w:t>
      </w:r>
    </w:p>
    <w:p w14:paraId="640ADC0F" w14:textId="7067EACE" w:rsidR="00A85A35" w:rsidRDefault="00A85A35" w:rsidP="00BD6BC2">
      <w:pPr>
        <w:rPr>
          <w:shd w:val="clear" w:color="auto" w:fill="FFFFFF"/>
        </w:rPr>
      </w:pPr>
    </w:p>
    <w:p w14:paraId="6647A57D" w14:textId="24164399" w:rsidR="0003594F" w:rsidRDefault="007419CA" w:rsidP="00DC6F02">
      <w:pPr>
        <w:rPr>
          <w:shd w:val="clear" w:color="auto" w:fill="FFFFFF"/>
        </w:rPr>
      </w:pPr>
      <w:r>
        <w:rPr>
          <w:shd w:val="clear" w:color="auto" w:fill="FFFFFF"/>
        </w:rPr>
        <w:t xml:space="preserve">The following table illustrates how four schools are rated </w:t>
      </w:r>
      <w:r w:rsidR="00EF5A8D">
        <w:rPr>
          <w:shd w:val="clear" w:color="auto" w:fill="FFFFFF"/>
        </w:rPr>
        <w:t xml:space="preserve">this year </w:t>
      </w:r>
      <w:r>
        <w:rPr>
          <w:shd w:val="clear" w:color="auto" w:fill="FFFFFF"/>
        </w:rPr>
        <w:t>at the same performance level in reading and math under the current accreditation systems despite widely differing percentages of students demonstrating proficiency on state assessments.</w:t>
      </w:r>
    </w:p>
    <w:p w14:paraId="052BF883" w14:textId="02E96859" w:rsidR="00315F1D" w:rsidRDefault="00315F1D" w:rsidP="00DC6F02">
      <w:pPr>
        <w:rPr>
          <w:shd w:val="clear" w:color="auto" w:fill="FFFFFF"/>
        </w:rPr>
      </w:pPr>
    </w:p>
    <w:p w14:paraId="4F54DEFF" w14:textId="5B4516ED" w:rsidR="00315F1D" w:rsidRPr="00315F1D" w:rsidRDefault="00315F1D" w:rsidP="00315F1D">
      <w:pPr>
        <w:jc w:val="center"/>
        <w:rPr>
          <w:i/>
          <w:shd w:val="clear" w:color="auto" w:fill="FFFFFF"/>
        </w:rPr>
      </w:pPr>
      <w:r w:rsidRPr="00315F1D">
        <w:rPr>
          <w:i/>
          <w:shd w:val="clear" w:color="auto" w:fill="FFFFFF"/>
        </w:rPr>
        <w:t>(more)</w:t>
      </w:r>
    </w:p>
    <w:p w14:paraId="3AE30618" w14:textId="77777777" w:rsidR="007419CA" w:rsidRDefault="007419CA" w:rsidP="00DC6F02">
      <w:pPr>
        <w:rPr>
          <w:shd w:val="clear" w:color="auto" w:fill="FFFFFF"/>
        </w:rPr>
      </w:pPr>
    </w:p>
    <w:tbl>
      <w:tblPr>
        <w:tblStyle w:val="TableGrid"/>
        <w:tblW w:w="0" w:type="auto"/>
        <w:tblLook w:val="04A0" w:firstRow="1" w:lastRow="0" w:firstColumn="1" w:lastColumn="0" w:noHBand="0" w:noVBand="1"/>
      </w:tblPr>
      <w:tblGrid>
        <w:gridCol w:w="2336"/>
        <w:gridCol w:w="2338"/>
        <w:gridCol w:w="2338"/>
        <w:gridCol w:w="2338"/>
      </w:tblGrid>
      <w:tr w:rsidR="0003594F" w14:paraId="4BC99BFD" w14:textId="00BDC439" w:rsidTr="007419CA">
        <w:tc>
          <w:tcPr>
            <w:tcW w:w="2336" w:type="dxa"/>
            <w:vAlign w:val="center"/>
          </w:tcPr>
          <w:p w14:paraId="7C981B05" w14:textId="08A195EF"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lastRenderedPageBreak/>
              <w:t>School and Indicator</w:t>
            </w:r>
          </w:p>
        </w:tc>
        <w:tc>
          <w:tcPr>
            <w:tcW w:w="2338" w:type="dxa"/>
            <w:vAlign w:val="center"/>
          </w:tcPr>
          <w:p w14:paraId="725181D4" w14:textId="6220BCA7"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Annual Pass Rate</w:t>
            </w:r>
          </w:p>
        </w:tc>
        <w:tc>
          <w:tcPr>
            <w:tcW w:w="2338" w:type="dxa"/>
            <w:vAlign w:val="center"/>
          </w:tcPr>
          <w:p w14:paraId="3BEE9B53" w14:textId="3F722ABE"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Accreditation Combined Rate</w:t>
            </w:r>
          </w:p>
        </w:tc>
        <w:tc>
          <w:tcPr>
            <w:tcW w:w="2338" w:type="dxa"/>
            <w:vAlign w:val="center"/>
          </w:tcPr>
          <w:p w14:paraId="0B1D7E40" w14:textId="17841F3E"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Accreditation Performance Level</w:t>
            </w:r>
          </w:p>
        </w:tc>
      </w:tr>
      <w:tr w:rsidR="0003594F" w14:paraId="145A0ED4" w14:textId="058111EE" w:rsidTr="007419CA">
        <w:tc>
          <w:tcPr>
            <w:tcW w:w="2336" w:type="dxa"/>
            <w:vAlign w:val="center"/>
          </w:tcPr>
          <w:p w14:paraId="107214C7" w14:textId="7132E5A6" w:rsidR="0003594F" w:rsidRPr="007419CA" w:rsidRDefault="007419CA" w:rsidP="00DC6F02">
            <w:pPr>
              <w:rPr>
                <w:rFonts w:ascii="Arial" w:hAnsi="Arial" w:cs="Arial"/>
                <w:sz w:val="22"/>
                <w:szCs w:val="22"/>
                <w:shd w:val="clear" w:color="auto" w:fill="FFFFFF"/>
              </w:rPr>
            </w:pPr>
            <w:r w:rsidRPr="007419CA">
              <w:rPr>
                <w:rFonts w:ascii="Arial" w:hAnsi="Arial" w:cs="Arial"/>
                <w:sz w:val="22"/>
                <w:szCs w:val="22"/>
                <w:shd w:val="clear" w:color="auto" w:fill="FFFFFF"/>
              </w:rPr>
              <w:t>School A: Math</w:t>
            </w:r>
          </w:p>
        </w:tc>
        <w:tc>
          <w:tcPr>
            <w:tcW w:w="2338" w:type="dxa"/>
            <w:vAlign w:val="center"/>
          </w:tcPr>
          <w:p w14:paraId="0393BDEF" w14:textId="3178DE73"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56%</w:t>
            </w:r>
          </w:p>
        </w:tc>
        <w:tc>
          <w:tcPr>
            <w:tcW w:w="2338" w:type="dxa"/>
            <w:vAlign w:val="center"/>
          </w:tcPr>
          <w:p w14:paraId="55EA30AC" w14:textId="643DB775"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88%</w:t>
            </w:r>
          </w:p>
        </w:tc>
        <w:tc>
          <w:tcPr>
            <w:tcW w:w="2338" w:type="dxa"/>
            <w:vAlign w:val="center"/>
          </w:tcPr>
          <w:p w14:paraId="43998AAD" w14:textId="7A36922A"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Level 1</w:t>
            </w:r>
          </w:p>
        </w:tc>
      </w:tr>
      <w:tr w:rsidR="0003594F" w14:paraId="71BC3414" w14:textId="7469DB4F" w:rsidTr="007419CA">
        <w:tc>
          <w:tcPr>
            <w:tcW w:w="2336" w:type="dxa"/>
            <w:vAlign w:val="center"/>
          </w:tcPr>
          <w:p w14:paraId="5DF79469" w14:textId="26FBECA9" w:rsidR="0003594F" w:rsidRPr="007419CA" w:rsidRDefault="007419CA" w:rsidP="00DC6F02">
            <w:pPr>
              <w:rPr>
                <w:rFonts w:ascii="Arial" w:hAnsi="Arial" w:cs="Arial"/>
                <w:sz w:val="22"/>
                <w:szCs w:val="22"/>
                <w:shd w:val="clear" w:color="auto" w:fill="FFFFFF"/>
              </w:rPr>
            </w:pPr>
            <w:r w:rsidRPr="007419CA">
              <w:rPr>
                <w:rFonts w:ascii="Arial" w:hAnsi="Arial" w:cs="Arial"/>
                <w:sz w:val="22"/>
                <w:szCs w:val="22"/>
                <w:shd w:val="clear" w:color="auto" w:fill="FFFFFF"/>
              </w:rPr>
              <w:t>School A: Reading</w:t>
            </w:r>
          </w:p>
        </w:tc>
        <w:tc>
          <w:tcPr>
            <w:tcW w:w="2338" w:type="dxa"/>
            <w:vAlign w:val="center"/>
          </w:tcPr>
          <w:p w14:paraId="7E055F3A" w14:textId="40896427"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66%</w:t>
            </w:r>
          </w:p>
        </w:tc>
        <w:tc>
          <w:tcPr>
            <w:tcW w:w="2338" w:type="dxa"/>
            <w:vAlign w:val="center"/>
          </w:tcPr>
          <w:p w14:paraId="2F23212B" w14:textId="431BA16A"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86%</w:t>
            </w:r>
          </w:p>
        </w:tc>
        <w:tc>
          <w:tcPr>
            <w:tcW w:w="2338" w:type="dxa"/>
            <w:vAlign w:val="center"/>
          </w:tcPr>
          <w:p w14:paraId="1C0F60BC" w14:textId="400C1BD6"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Level 1</w:t>
            </w:r>
          </w:p>
        </w:tc>
      </w:tr>
      <w:tr w:rsidR="0003594F" w14:paraId="679AF072" w14:textId="14FEC9AB" w:rsidTr="007419CA">
        <w:tc>
          <w:tcPr>
            <w:tcW w:w="2336" w:type="dxa"/>
            <w:vAlign w:val="center"/>
          </w:tcPr>
          <w:p w14:paraId="5C26CBB7" w14:textId="3F6B09AC" w:rsidR="0003594F" w:rsidRPr="007419CA" w:rsidRDefault="007419CA" w:rsidP="00DC6F02">
            <w:pPr>
              <w:rPr>
                <w:rFonts w:ascii="Arial" w:hAnsi="Arial" w:cs="Arial"/>
                <w:sz w:val="22"/>
                <w:szCs w:val="22"/>
                <w:shd w:val="clear" w:color="auto" w:fill="FFFFFF"/>
              </w:rPr>
            </w:pPr>
            <w:r w:rsidRPr="007419CA">
              <w:rPr>
                <w:rFonts w:ascii="Arial" w:hAnsi="Arial" w:cs="Arial"/>
                <w:sz w:val="22"/>
                <w:szCs w:val="22"/>
                <w:shd w:val="clear" w:color="auto" w:fill="FFFFFF"/>
              </w:rPr>
              <w:t>School B: Math</w:t>
            </w:r>
          </w:p>
        </w:tc>
        <w:tc>
          <w:tcPr>
            <w:tcW w:w="2338" w:type="dxa"/>
            <w:vAlign w:val="center"/>
          </w:tcPr>
          <w:p w14:paraId="57620D69" w14:textId="7B27FF0D"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40%</w:t>
            </w:r>
          </w:p>
        </w:tc>
        <w:tc>
          <w:tcPr>
            <w:tcW w:w="2338" w:type="dxa"/>
            <w:vAlign w:val="center"/>
          </w:tcPr>
          <w:p w14:paraId="67A95E7E" w14:textId="1E5B2175"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82%</w:t>
            </w:r>
          </w:p>
        </w:tc>
        <w:tc>
          <w:tcPr>
            <w:tcW w:w="2338" w:type="dxa"/>
            <w:vAlign w:val="center"/>
          </w:tcPr>
          <w:p w14:paraId="0D8B4F89" w14:textId="37B338A4"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Level 1</w:t>
            </w:r>
          </w:p>
        </w:tc>
      </w:tr>
      <w:tr w:rsidR="0003594F" w14:paraId="61133DEF" w14:textId="3476E6E7" w:rsidTr="007419CA">
        <w:tc>
          <w:tcPr>
            <w:tcW w:w="2336" w:type="dxa"/>
            <w:vAlign w:val="center"/>
          </w:tcPr>
          <w:p w14:paraId="3E073C1A" w14:textId="7948034F" w:rsidR="0003594F" w:rsidRPr="007419CA" w:rsidRDefault="007419CA" w:rsidP="00DC6F02">
            <w:pPr>
              <w:rPr>
                <w:rFonts w:ascii="Arial" w:hAnsi="Arial" w:cs="Arial"/>
                <w:sz w:val="22"/>
                <w:szCs w:val="22"/>
                <w:shd w:val="clear" w:color="auto" w:fill="FFFFFF"/>
              </w:rPr>
            </w:pPr>
            <w:r w:rsidRPr="007419CA">
              <w:rPr>
                <w:rFonts w:ascii="Arial" w:hAnsi="Arial" w:cs="Arial"/>
                <w:sz w:val="22"/>
                <w:szCs w:val="22"/>
                <w:shd w:val="clear" w:color="auto" w:fill="FFFFFF"/>
              </w:rPr>
              <w:t>School B: Reading</w:t>
            </w:r>
          </w:p>
        </w:tc>
        <w:tc>
          <w:tcPr>
            <w:tcW w:w="2338" w:type="dxa"/>
            <w:vAlign w:val="center"/>
          </w:tcPr>
          <w:p w14:paraId="3699807F" w14:textId="0AE73AB9"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58%</w:t>
            </w:r>
          </w:p>
        </w:tc>
        <w:tc>
          <w:tcPr>
            <w:tcW w:w="2338" w:type="dxa"/>
            <w:vAlign w:val="center"/>
          </w:tcPr>
          <w:p w14:paraId="39E353D1" w14:textId="4F884663"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82%</w:t>
            </w:r>
          </w:p>
        </w:tc>
        <w:tc>
          <w:tcPr>
            <w:tcW w:w="2338" w:type="dxa"/>
            <w:vAlign w:val="center"/>
          </w:tcPr>
          <w:p w14:paraId="5085053B" w14:textId="4F246A13"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Level 1</w:t>
            </w:r>
          </w:p>
        </w:tc>
      </w:tr>
      <w:tr w:rsidR="0003594F" w14:paraId="0F3DDC23" w14:textId="1A26960E" w:rsidTr="007419CA">
        <w:tc>
          <w:tcPr>
            <w:tcW w:w="2336" w:type="dxa"/>
            <w:vAlign w:val="center"/>
          </w:tcPr>
          <w:p w14:paraId="3A3BDED4" w14:textId="60B4970E" w:rsidR="0003594F" w:rsidRPr="007419CA" w:rsidRDefault="007419CA" w:rsidP="00DC6F02">
            <w:pPr>
              <w:rPr>
                <w:rFonts w:ascii="Arial" w:hAnsi="Arial" w:cs="Arial"/>
                <w:sz w:val="22"/>
                <w:szCs w:val="22"/>
                <w:shd w:val="clear" w:color="auto" w:fill="FFFFFF"/>
              </w:rPr>
            </w:pPr>
            <w:r w:rsidRPr="007419CA">
              <w:rPr>
                <w:rFonts w:ascii="Arial" w:hAnsi="Arial" w:cs="Arial"/>
                <w:sz w:val="22"/>
                <w:szCs w:val="22"/>
                <w:shd w:val="clear" w:color="auto" w:fill="FFFFFF"/>
              </w:rPr>
              <w:t>School C: Math</w:t>
            </w:r>
          </w:p>
        </w:tc>
        <w:tc>
          <w:tcPr>
            <w:tcW w:w="2338" w:type="dxa"/>
            <w:vAlign w:val="center"/>
          </w:tcPr>
          <w:p w14:paraId="25E03F29" w14:textId="1415FE55"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91%</w:t>
            </w:r>
          </w:p>
        </w:tc>
        <w:tc>
          <w:tcPr>
            <w:tcW w:w="2338" w:type="dxa"/>
            <w:vAlign w:val="center"/>
          </w:tcPr>
          <w:p w14:paraId="26E3E110" w14:textId="6EA90799"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97%</w:t>
            </w:r>
          </w:p>
        </w:tc>
        <w:tc>
          <w:tcPr>
            <w:tcW w:w="2338" w:type="dxa"/>
            <w:vAlign w:val="center"/>
          </w:tcPr>
          <w:p w14:paraId="555766F5" w14:textId="329FD83C"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Level 1</w:t>
            </w:r>
          </w:p>
        </w:tc>
      </w:tr>
      <w:tr w:rsidR="0003594F" w14:paraId="5649A5E4" w14:textId="1515B6F9" w:rsidTr="007419CA">
        <w:tc>
          <w:tcPr>
            <w:tcW w:w="2336" w:type="dxa"/>
            <w:vAlign w:val="center"/>
          </w:tcPr>
          <w:p w14:paraId="5332DC77" w14:textId="0E84D622" w:rsidR="0003594F" w:rsidRPr="007419CA" w:rsidRDefault="007419CA" w:rsidP="00DC6F02">
            <w:pPr>
              <w:rPr>
                <w:rFonts w:ascii="Arial" w:hAnsi="Arial" w:cs="Arial"/>
                <w:sz w:val="22"/>
                <w:szCs w:val="22"/>
                <w:shd w:val="clear" w:color="auto" w:fill="FFFFFF"/>
              </w:rPr>
            </w:pPr>
            <w:r w:rsidRPr="007419CA">
              <w:rPr>
                <w:rFonts w:ascii="Arial" w:hAnsi="Arial" w:cs="Arial"/>
                <w:sz w:val="22"/>
                <w:szCs w:val="22"/>
                <w:shd w:val="clear" w:color="auto" w:fill="FFFFFF"/>
              </w:rPr>
              <w:t>School C: Reading</w:t>
            </w:r>
          </w:p>
        </w:tc>
        <w:tc>
          <w:tcPr>
            <w:tcW w:w="2338" w:type="dxa"/>
            <w:vAlign w:val="center"/>
          </w:tcPr>
          <w:p w14:paraId="6140B272" w14:textId="6CE930B1"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93%</w:t>
            </w:r>
          </w:p>
        </w:tc>
        <w:tc>
          <w:tcPr>
            <w:tcW w:w="2338" w:type="dxa"/>
            <w:vAlign w:val="center"/>
          </w:tcPr>
          <w:p w14:paraId="0A0AAADD" w14:textId="2BFE41F2"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98%</w:t>
            </w:r>
          </w:p>
        </w:tc>
        <w:tc>
          <w:tcPr>
            <w:tcW w:w="2338" w:type="dxa"/>
            <w:vAlign w:val="center"/>
          </w:tcPr>
          <w:p w14:paraId="7D192C7F" w14:textId="61A6C5F9" w:rsidR="0003594F" w:rsidRPr="007419CA" w:rsidRDefault="007419CA" w:rsidP="007419CA">
            <w:pPr>
              <w:jc w:val="center"/>
              <w:rPr>
                <w:rFonts w:ascii="Arial" w:hAnsi="Arial" w:cs="Arial"/>
                <w:sz w:val="22"/>
                <w:szCs w:val="22"/>
                <w:shd w:val="clear" w:color="auto" w:fill="FFFFFF"/>
              </w:rPr>
            </w:pPr>
            <w:r w:rsidRPr="007419CA">
              <w:rPr>
                <w:rFonts w:ascii="Arial" w:hAnsi="Arial" w:cs="Arial"/>
                <w:sz w:val="22"/>
                <w:szCs w:val="22"/>
                <w:shd w:val="clear" w:color="auto" w:fill="FFFFFF"/>
              </w:rPr>
              <w:t>Level 1</w:t>
            </w:r>
          </w:p>
        </w:tc>
      </w:tr>
    </w:tbl>
    <w:p w14:paraId="44F39B22" w14:textId="509340D1" w:rsidR="0003594F" w:rsidRDefault="0003594F" w:rsidP="00DC6F02">
      <w:pPr>
        <w:rPr>
          <w:shd w:val="clear" w:color="auto" w:fill="FFFFFF"/>
        </w:rPr>
      </w:pPr>
    </w:p>
    <w:p w14:paraId="075E9EE2" w14:textId="540201EB" w:rsidR="0003594F" w:rsidRDefault="0003594F" w:rsidP="0003594F">
      <w:pPr>
        <w:rPr>
          <w:shd w:val="clear" w:color="auto" w:fill="FFFFFF"/>
        </w:rPr>
      </w:pPr>
      <w:r w:rsidRPr="00DC6F02">
        <w:rPr>
          <w:shd w:val="clear" w:color="auto" w:fill="FFFFFF"/>
        </w:rPr>
        <w:t>In addition, 136 schools that otherwise would have been accredited with conditions were automatically granted full accreditation due to waivers mandated by the General Assembly. Legislation approved in 2015 grants three-year waivers from annual review to schools previously accredited for three consecutive years. </w:t>
      </w:r>
    </w:p>
    <w:p w14:paraId="73AB32F4" w14:textId="09CEA4E5" w:rsidR="0003594F" w:rsidRDefault="0003594F" w:rsidP="00DC6F02">
      <w:pPr>
        <w:rPr>
          <w:shd w:val="clear" w:color="auto" w:fill="FFFFFF"/>
        </w:rPr>
      </w:pPr>
    </w:p>
    <w:p w14:paraId="1ED11CEA" w14:textId="77777777" w:rsidR="00DC6F02" w:rsidRPr="00DC6F02" w:rsidRDefault="00DC6F02" w:rsidP="00DC6F02">
      <w:pPr>
        <w:rPr>
          <w:shd w:val="clear" w:color="auto" w:fill="FFFFFF"/>
        </w:rPr>
      </w:pPr>
      <w:r w:rsidRPr="00DC6F02">
        <w:rPr>
          <w:shd w:val="clear" w:color="auto" w:fill="FFFFFF"/>
        </w:rPr>
        <w:t>Under the Board of Education’s 2017 accreditation standards, schools earn one of the following three accreditation ratings based on performance on school quality indicators, as follows:</w:t>
      </w:r>
    </w:p>
    <w:p w14:paraId="574EF7E6" w14:textId="1D7D7D07" w:rsidR="00DC6F02" w:rsidRPr="00DC6F02" w:rsidRDefault="00DC6F02" w:rsidP="00DC6F02">
      <w:pPr>
        <w:numPr>
          <w:ilvl w:val="0"/>
          <w:numId w:val="12"/>
        </w:numPr>
        <w:rPr>
          <w:shd w:val="clear" w:color="auto" w:fill="FFFFFF"/>
        </w:rPr>
      </w:pPr>
      <w:r w:rsidRPr="00DC6F02">
        <w:rPr>
          <w:shd w:val="clear" w:color="auto" w:fill="FFFFFF"/>
        </w:rPr>
        <w:t xml:space="preserve">Accredited – Schools with all school quality indicators at </w:t>
      </w:r>
      <w:r w:rsidR="00B176F2">
        <w:rPr>
          <w:shd w:val="clear" w:color="auto" w:fill="FFFFFF"/>
        </w:rPr>
        <w:t>either Level 1 or Level 2</w:t>
      </w:r>
      <w:r w:rsidRPr="00DC6F02">
        <w:rPr>
          <w:shd w:val="clear" w:color="auto" w:fill="FFFFFF"/>
        </w:rPr>
        <w:t>. In addition, high-performing schools with waivers from annual accreditation authorized by the General Assembly are rated as Accredited. </w:t>
      </w:r>
    </w:p>
    <w:p w14:paraId="0B8929EB" w14:textId="4DE33498" w:rsidR="00DC6F02" w:rsidRPr="00DC6F02" w:rsidRDefault="00DC6F02" w:rsidP="00DC6F02">
      <w:pPr>
        <w:numPr>
          <w:ilvl w:val="0"/>
          <w:numId w:val="12"/>
        </w:numPr>
        <w:rPr>
          <w:shd w:val="clear" w:color="auto" w:fill="FFFFFF"/>
        </w:rPr>
      </w:pPr>
      <w:r w:rsidRPr="00DC6F02">
        <w:rPr>
          <w:shd w:val="clear" w:color="auto" w:fill="FFFFFF"/>
        </w:rPr>
        <w:t>Accredited with Conditions – Schools with one or more school quality indicators at Level</w:t>
      </w:r>
      <w:r w:rsidR="00B176F2">
        <w:rPr>
          <w:shd w:val="clear" w:color="auto" w:fill="FFFFFF"/>
        </w:rPr>
        <w:t xml:space="preserve"> 3.</w:t>
      </w:r>
    </w:p>
    <w:p w14:paraId="2819DD69" w14:textId="0B2AD10C" w:rsidR="00DC6F02" w:rsidRPr="00DC6F02" w:rsidRDefault="00DC6F02" w:rsidP="00DC6F02">
      <w:pPr>
        <w:numPr>
          <w:ilvl w:val="0"/>
          <w:numId w:val="12"/>
        </w:numPr>
        <w:rPr>
          <w:shd w:val="clear" w:color="auto" w:fill="FFFFFF"/>
        </w:rPr>
      </w:pPr>
      <w:r w:rsidRPr="00DC6F02">
        <w:rPr>
          <w:shd w:val="clear" w:color="auto" w:fill="FFFFFF"/>
        </w:rPr>
        <w:t>Accreditation Denied – Schools that fail to adopt or fully implement required correctiv</w:t>
      </w:r>
      <w:r w:rsidR="00B176F2">
        <w:rPr>
          <w:shd w:val="clear" w:color="auto" w:fill="FFFFFF"/>
        </w:rPr>
        <w:t>e actions to address Level 3</w:t>
      </w:r>
      <w:r w:rsidRPr="00DC6F02">
        <w:rPr>
          <w:shd w:val="clear" w:color="auto" w:fill="FFFFFF"/>
        </w:rPr>
        <w:t xml:space="preserve"> school</w:t>
      </w:r>
      <w:r w:rsidR="004701A5">
        <w:rPr>
          <w:shd w:val="clear" w:color="auto" w:fill="FFFFFF"/>
        </w:rPr>
        <w:t xml:space="preserve"> </w:t>
      </w:r>
      <w:r w:rsidRPr="00DC6F02">
        <w:rPr>
          <w:shd w:val="clear" w:color="auto" w:fill="FFFFFF"/>
        </w:rPr>
        <w:t>quality indicators. </w:t>
      </w:r>
    </w:p>
    <w:p w14:paraId="5D59CEE1" w14:textId="77777777" w:rsidR="0001619C" w:rsidRDefault="0001619C" w:rsidP="00AF3D58">
      <w:pPr>
        <w:tabs>
          <w:tab w:val="left" w:pos="630"/>
        </w:tabs>
        <w:rPr>
          <w:shd w:val="clear" w:color="auto" w:fill="FFFFFF"/>
        </w:rPr>
      </w:pPr>
    </w:p>
    <w:p w14:paraId="2F5FAAA7" w14:textId="544E5D30" w:rsidR="00DC6F02" w:rsidRDefault="00DC6F02" w:rsidP="00AF3D58">
      <w:pPr>
        <w:tabs>
          <w:tab w:val="left" w:pos="630"/>
        </w:tabs>
        <w:rPr>
          <w:shd w:val="clear" w:color="auto" w:fill="FFFFFF"/>
        </w:rPr>
      </w:pPr>
      <w:r w:rsidRPr="00DC6F02">
        <w:rPr>
          <w:shd w:val="clear" w:color="auto" w:fill="FFFFFF"/>
        </w:rPr>
        <w:t xml:space="preserve">School-by-school </w:t>
      </w:r>
      <w:r w:rsidR="00AF3D58">
        <w:rPr>
          <w:shd w:val="clear" w:color="auto" w:fill="FFFFFF"/>
        </w:rPr>
        <w:t xml:space="preserve">accreditation ratings and </w:t>
      </w:r>
      <w:r w:rsidRPr="00DC6F02">
        <w:rPr>
          <w:shd w:val="clear" w:color="auto" w:fill="FFFFFF"/>
        </w:rPr>
        <w:t>school quality indicator</w:t>
      </w:r>
      <w:r w:rsidR="00AF3D58">
        <w:rPr>
          <w:shd w:val="clear" w:color="auto" w:fill="FFFFFF"/>
        </w:rPr>
        <w:t xml:space="preserve"> data </w:t>
      </w:r>
      <w:r w:rsidRPr="00DC6F02">
        <w:rPr>
          <w:shd w:val="clear" w:color="auto" w:fill="FFFFFF"/>
        </w:rPr>
        <w:t xml:space="preserve">are available on updated online </w:t>
      </w:r>
      <w:hyperlink r:id="rId10" w:history="1">
        <w:r w:rsidRPr="00DC6F02">
          <w:rPr>
            <w:rStyle w:val="Hyperlink"/>
            <w:shd w:val="clear" w:color="auto" w:fill="FFFFFF"/>
          </w:rPr>
          <w:t>School Quality Profile reports</w:t>
        </w:r>
      </w:hyperlink>
      <w:r w:rsidRPr="00DC6F02">
        <w:rPr>
          <w:shd w:val="clear" w:color="auto" w:fill="FFFFFF"/>
        </w:rPr>
        <w:t xml:space="preserve"> and on </w:t>
      </w:r>
      <w:hyperlink r:id="rId11" w:history="1">
        <w:r w:rsidRPr="00DC6F02">
          <w:rPr>
            <w:rStyle w:val="Hyperlink"/>
            <w:shd w:val="clear" w:color="auto" w:fill="FFFFFF"/>
          </w:rPr>
          <w:t>the VDOE website</w:t>
        </w:r>
      </w:hyperlink>
      <w:r w:rsidRPr="00DC6F02">
        <w:rPr>
          <w:shd w:val="clear" w:color="auto" w:fill="FFFFFF"/>
        </w:rPr>
        <w:t>.</w:t>
      </w:r>
    </w:p>
    <w:p w14:paraId="6FF4C1E9" w14:textId="1BC00CCB" w:rsidR="00DB4112" w:rsidRDefault="00DB4112" w:rsidP="00DC6F02">
      <w:pPr>
        <w:rPr>
          <w:shd w:val="clear" w:color="auto" w:fill="FFFFFF"/>
        </w:rPr>
      </w:pPr>
    </w:p>
    <w:p w14:paraId="31B7990B" w14:textId="31E81FA9" w:rsidR="00DB4112" w:rsidRPr="00DB4112" w:rsidRDefault="00DB4112" w:rsidP="00DB4112">
      <w:pPr>
        <w:jc w:val="center"/>
        <w:rPr>
          <w:i/>
          <w:shd w:val="clear" w:color="auto" w:fill="FFFFFF"/>
        </w:rPr>
      </w:pPr>
      <w:r w:rsidRPr="00DB4112">
        <w:rPr>
          <w:i/>
          <w:shd w:val="clear" w:color="auto" w:fill="FFFFFF"/>
        </w:rPr>
        <w:t># # #</w:t>
      </w:r>
    </w:p>
    <w:p w14:paraId="09FDDEBB" w14:textId="058A1665" w:rsidR="00A97D80" w:rsidRPr="003B4E0E" w:rsidRDefault="00A97D80" w:rsidP="00DC6F02">
      <w:pPr>
        <w:rPr>
          <w:i/>
        </w:rPr>
      </w:pPr>
    </w:p>
    <w:sectPr w:rsidR="00A97D80" w:rsidRPr="003B4E0E" w:rsidSect="005C4053">
      <w:type w:val="continuous"/>
      <w:pgSz w:w="12240" w:h="15840"/>
      <w:pgMar w:top="864"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2C3F" w14:textId="77777777" w:rsidR="002A79E1" w:rsidRDefault="002A79E1" w:rsidP="00480C06">
      <w:r>
        <w:separator/>
      </w:r>
    </w:p>
  </w:endnote>
  <w:endnote w:type="continuationSeparator" w:id="0">
    <w:p w14:paraId="5E73063E" w14:textId="77777777" w:rsidR="002A79E1" w:rsidRDefault="002A79E1" w:rsidP="0048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6723" w14:textId="77777777" w:rsidR="002A79E1" w:rsidRDefault="002A79E1" w:rsidP="00480C06">
      <w:r>
        <w:separator/>
      </w:r>
    </w:p>
  </w:footnote>
  <w:footnote w:type="continuationSeparator" w:id="0">
    <w:p w14:paraId="28E92FEE" w14:textId="77777777" w:rsidR="002A79E1" w:rsidRDefault="002A79E1" w:rsidP="0048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24.5pt;height:638.5pt;visibility:visible;mso-wrap-style:square" o:bullet="t">
        <v:imagedata r:id="rId1" o:title="" croptop="4991f" cropbottom="4991f"/>
      </v:shape>
    </w:pict>
  </w:numPicBullet>
  <w:abstractNum w:abstractNumId="0" w15:restartNumberingAfterBreak="0">
    <w:nsid w:val="105F4AF2"/>
    <w:multiLevelType w:val="multilevel"/>
    <w:tmpl w:val="E65C1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E62AA1"/>
    <w:multiLevelType w:val="hybridMultilevel"/>
    <w:tmpl w:val="36D8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35F4D"/>
    <w:multiLevelType w:val="hybridMultilevel"/>
    <w:tmpl w:val="CA96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A00"/>
    <w:multiLevelType w:val="hybridMultilevel"/>
    <w:tmpl w:val="44A623EC"/>
    <w:lvl w:ilvl="0" w:tplc="BCAA790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7363"/>
    <w:multiLevelType w:val="hybridMultilevel"/>
    <w:tmpl w:val="E48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C2466"/>
    <w:multiLevelType w:val="hybridMultilevel"/>
    <w:tmpl w:val="4498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22085"/>
    <w:multiLevelType w:val="multilevel"/>
    <w:tmpl w:val="B01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20EDB"/>
    <w:multiLevelType w:val="multilevel"/>
    <w:tmpl w:val="487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43AD6"/>
    <w:multiLevelType w:val="hybridMultilevel"/>
    <w:tmpl w:val="DCAC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35E52"/>
    <w:multiLevelType w:val="multilevel"/>
    <w:tmpl w:val="995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308BC"/>
    <w:multiLevelType w:val="multilevel"/>
    <w:tmpl w:val="6D20E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860FB1"/>
    <w:multiLevelType w:val="multilevel"/>
    <w:tmpl w:val="725CCD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E145F"/>
    <w:multiLevelType w:val="multilevel"/>
    <w:tmpl w:val="699C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03165"/>
    <w:multiLevelType w:val="hybridMultilevel"/>
    <w:tmpl w:val="67E6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2"/>
  </w:num>
  <w:num w:numId="5">
    <w:abstractNumId w:val="5"/>
  </w:num>
  <w:num w:numId="6">
    <w:abstractNumId w:val="2"/>
  </w:num>
  <w:num w:numId="7">
    <w:abstractNumId w:val="6"/>
  </w:num>
  <w:num w:numId="8">
    <w:abstractNumId w:val="1"/>
  </w:num>
  <w:num w:numId="9">
    <w:abstractNumId w:val="11"/>
  </w:num>
  <w:num w:numId="10">
    <w:abstractNumId w:val="13"/>
  </w:num>
  <w:num w:numId="11">
    <w:abstractNumId w:val="3"/>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8B"/>
    <w:rsid w:val="000035FB"/>
    <w:rsid w:val="00010713"/>
    <w:rsid w:val="0001619C"/>
    <w:rsid w:val="00022AE4"/>
    <w:rsid w:val="0003594F"/>
    <w:rsid w:val="0004476D"/>
    <w:rsid w:val="00077FB6"/>
    <w:rsid w:val="000B3132"/>
    <w:rsid w:val="000B35BA"/>
    <w:rsid w:val="000E6A42"/>
    <w:rsid w:val="000F36B1"/>
    <w:rsid w:val="0012347A"/>
    <w:rsid w:val="00147FB7"/>
    <w:rsid w:val="001529DF"/>
    <w:rsid w:val="00165E6E"/>
    <w:rsid w:val="001663DF"/>
    <w:rsid w:val="001808E4"/>
    <w:rsid w:val="001818EE"/>
    <w:rsid w:val="0018692B"/>
    <w:rsid w:val="001A78BB"/>
    <w:rsid w:val="001D7A0C"/>
    <w:rsid w:val="001E3855"/>
    <w:rsid w:val="002132E0"/>
    <w:rsid w:val="00214153"/>
    <w:rsid w:val="00223C66"/>
    <w:rsid w:val="002330FB"/>
    <w:rsid w:val="002351B9"/>
    <w:rsid w:val="002A32B2"/>
    <w:rsid w:val="002A79E1"/>
    <w:rsid w:val="002B7EF0"/>
    <w:rsid w:val="002C55AC"/>
    <w:rsid w:val="002D20DD"/>
    <w:rsid w:val="002D5458"/>
    <w:rsid w:val="002E006F"/>
    <w:rsid w:val="002E0C2C"/>
    <w:rsid w:val="002F076A"/>
    <w:rsid w:val="0031195E"/>
    <w:rsid w:val="00315F1D"/>
    <w:rsid w:val="00317AE7"/>
    <w:rsid w:val="00335213"/>
    <w:rsid w:val="00344F42"/>
    <w:rsid w:val="0034718B"/>
    <w:rsid w:val="0035244F"/>
    <w:rsid w:val="00361E67"/>
    <w:rsid w:val="00384D7A"/>
    <w:rsid w:val="003850BC"/>
    <w:rsid w:val="00385D35"/>
    <w:rsid w:val="003970C8"/>
    <w:rsid w:val="003978F8"/>
    <w:rsid w:val="003B225E"/>
    <w:rsid w:val="003B4E0E"/>
    <w:rsid w:val="003C0DCA"/>
    <w:rsid w:val="003C36A8"/>
    <w:rsid w:val="003E4ABD"/>
    <w:rsid w:val="003E52DF"/>
    <w:rsid w:val="003F5F10"/>
    <w:rsid w:val="004022B9"/>
    <w:rsid w:val="0040543C"/>
    <w:rsid w:val="00405CF1"/>
    <w:rsid w:val="0041058B"/>
    <w:rsid w:val="00444576"/>
    <w:rsid w:val="00464749"/>
    <w:rsid w:val="004701A5"/>
    <w:rsid w:val="004708CE"/>
    <w:rsid w:val="0047623D"/>
    <w:rsid w:val="00480C06"/>
    <w:rsid w:val="0049268B"/>
    <w:rsid w:val="004A1717"/>
    <w:rsid w:val="004B7678"/>
    <w:rsid w:val="004C581E"/>
    <w:rsid w:val="004D6A35"/>
    <w:rsid w:val="004F1EB1"/>
    <w:rsid w:val="004F3E81"/>
    <w:rsid w:val="004F652D"/>
    <w:rsid w:val="00574895"/>
    <w:rsid w:val="00591418"/>
    <w:rsid w:val="005B5407"/>
    <w:rsid w:val="005B64C4"/>
    <w:rsid w:val="005C4053"/>
    <w:rsid w:val="005C4227"/>
    <w:rsid w:val="005C4A0A"/>
    <w:rsid w:val="005E7D47"/>
    <w:rsid w:val="006007A3"/>
    <w:rsid w:val="00622FC5"/>
    <w:rsid w:val="0063058A"/>
    <w:rsid w:val="006316AA"/>
    <w:rsid w:val="00642E03"/>
    <w:rsid w:val="006527BB"/>
    <w:rsid w:val="00681163"/>
    <w:rsid w:val="006813E1"/>
    <w:rsid w:val="00686311"/>
    <w:rsid w:val="00690DC1"/>
    <w:rsid w:val="006944B9"/>
    <w:rsid w:val="006B3FFE"/>
    <w:rsid w:val="006B5EF7"/>
    <w:rsid w:val="006D16B1"/>
    <w:rsid w:val="006D237A"/>
    <w:rsid w:val="006D363B"/>
    <w:rsid w:val="006F7D9F"/>
    <w:rsid w:val="00702B21"/>
    <w:rsid w:val="0070420B"/>
    <w:rsid w:val="007107F1"/>
    <w:rsid w:val="00723898"/>
    <w:rsid w:val="007419CA"/>
    <w:rsid w:val="007422D9"/>
    <w:rsid w:val="00747F96"/>
    <w:rsid w:val="00751754"/>
    <w:rsid w:val="007A52A1"/>
    <w:rsid w:val="007D505F"/>
    <w:rsid w:val="007E663B"/>
    <w:rsid w:val="0080098D"/>
    <w:rsid w:val="00802187"/>
    <w:rsid w:val="008766D7"/>
    <w:rsid w:val="00886E8F"/>
    <w:rsid w:val="008A2C9C"/>
    <w:rsid w:val="008B6DE5"/>
    <w:rsid w:val="008D572A"/>
    <w:rsid w:val="008E2FF1"/>
    <w:rsid w:val="008F1D27"/>
    <w:rsid w:val="00915AE3"/>
    <w:rsid w:val="0092434F"/>
    <w:rsid w:val="009254BF"/>
    <w:rsid w:val="00927AD7"/>
    <w:rsid w:val="009437D4"/>
    <w:rsid w:val="009578D4"/>
    <w:rsid w:val="00960F6E"/>
    <w:rsid w:val="00997849"/>
    <w:rsid w:val="009A5394"/>
    <w:rsid w:val="009B3D87"/>
    <w:rsid w:val="009B78AE"/>
    <w:rsid w:val="00A032FD"/>
    <w:rsid w:val="00A10682"/>
    <w:rsid w:val="00A12CC7"/>
    <w:rsid w:val="00A249A4"/>
    <w:rsid w:val="00A37BC4"/>
    <w:rsid w:val="00A40C28"/>
    <w:rsid w:val="00A5789A"/>
    <w:rsid w:val="00A85A35"/>
    <w:rsid w:val="00A97D80"/>
    <w:rsid w:val="00AA58AA"/>
    <w:rsid w:val="00AB1293"/>
    <w:rsid w:val="00AF3D58"/>
    <w:rsid w:val="00AF7961"/>
    <w:rsid w:val="00B176F2"/>
    <w:rsid w:val="00B46E49"/>
    <w:rsid w:val="00B55CB1"/>
    <w:rsid w:val="00B6788E"/>
    <w:rsid w:val="00B67B8D"/>
    <w:rsid w:val="00B74B7E"/>
    <w:rsid w:val="00B92132"/>
    <w:rsid w:val="00B95382"/>
    <w:rsid w:val="00BD2B18"/>
    <w:rsid w:val="00BD6BC2"/>
    <w:rsid w:val="00BE5108"/>
    <w:rsid w:val="00C05740"/>
    <w:rsid w:val="00C066F7"/>
    <w:rsid w:val="00C07E0A"/>
    <w:rsid w:val="00C16CDD"/>
    <w:rsid w:val="00C20B90"/>
    <w:rsid w:val="00C7626B"/>
    <w:rsid w:val="00C7692B"/>
    <w:rsid w:val="00C7726E"/>
    <w:rsid w:val="00C87845"/>
    <w:rsid w:val="00C9511D"/>
    <w:rsid w:val="00C955C3"/>
    <w:rsid w:val="00CA34AF"/>
    <w:rsid w:val="00CC1B39"/>
    <w:rsid w:val="00CC6161"/>
    <w:rsid w:val="00CD46FB"/>
    <w:rsid w:val="00CD62E1"/>
    <w:rsid w:val="00CE653D"/>
    <w:rsid w:val="00D10F36"/>
    <w:rsid w:val="00D22D8F"/>
    <w:rsid w:val="00D239ED"/>
    <w:rsid w:val="00D36CD8"/>
    <w:rsid w:val="00D550D2"/>
    <w:rsid w:val="00D63FA2"/>
    <w:rsid w:val="00D81D24"/>
    <w:rsid w:val="00DB4112"/>
    <w:rsid w:val="00DB7A33"/>
    <w:rsid w:val="00DC6597"/>
    <w:rsid w:val="00DC6F02"/>
    <w:rsid w:val="00DE1AF7"/>
    <w:rsid w:val="00E1753E"/>
    <w:rsid w:val="00E22207"/>
    <w:rsid w:val="00E32E82"/>
    <w:rsid w:val="00E54E4E"/>
    <w:rsid w:val="00EA68DE"/>
    <w:rsid w:val="00EB1D40"/>
    <w:rsid w:val="00EB5FD9"/>
    <w:rsid w:val="00ED296B"/>
    <w:rsid w:val="00EE36EF"/>
    <w:rsid w:val="00EE559D"/>
    <w:rsid w:val="00EF2830"/>
    <w:rsid w:val="00EF5A8D"/>
    <w:rsid w:val="00F03358"/>
    <w:rsid w:val="00F06568"/>
    <w:rsid w:val="00F125FD"/>
    <w:rsid w:val="00F341AD"/>
    <w:rsid w:val="00F51299"/>
    <w:rsid w:val="00F52563"/>
    <w:rsid w:val="00F90693"/>
    <w:rsid w:val="00F9314E"/>
    <w:rsid w:val="00FB4B91"/>
    <w:rsid w:val="00FC1EB4"/>
    <w:rsid w:val="00FC29B7"/>
    <w:rsid w:val="00FC40EC"/>
    <w:rsid w:val="00FC7264"/>
    <w:rsid w:val="00FD7A71"/>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D28F"/>
  <w15:docId w15:val="{7179A00C-4788-4A04-A61F-A72F324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D7"/>
  </w:style>
  <w:style w:type="paragraph" w:styleId="Heading1">
    <w:name w:val="heading 1"/>
    <w:basedOn w:val="Normal"/>
    <w:next w:val="Normal"/>
    <w:rsid w:val="007A52A1"/>
    <w:pPr>
      <w:jc w:val="center"/>
      <w:outlineLvl w:val="0"/>
    </w:pPr>
    <w:rPr>
      <w:rFonts w:ascii="Trebuchet MS" w:eastAsia="Trebuchet MS" w:hAnsi="Trebuchet MS" w:cs="Trebuchet MS"/>
      <w:b/>
      <w:color w:val="003B71"/>
      <w:sz w:val="100"/>
      <w:szCs w:val="100"/>
    </w:rPr>
  </w:style>
  <w:style w:type="paragraph" w:styleId="Heading2">
    <w:name w:val="heading 2"/>
    <w:basedOn w:val="Normal"/>
    <w:next w:val="Normal"/>
    <w:rsid w:val="005C4053"/>
    <w:pPr>
      <w:jc w:val="center"/>
      <w:outlineLvl w:val="1"/>
    </w:pPr>
    <w:rPr>
      <w:b/>
      <w:bCs/>
      <w:sz w:val="40"/>
      <w:szCs w:val="40"/>
    </w:rPr>
  </w:style>
  <w:style w:type="paragraph" w:styleId="Heading3">
    <w:name w:val="heading 3"/>
    <w:basedOn w:val="Normal"/>
    <w:next w:val="Normal"/>
    <w:rsid w:val="004F1EB1"/>
    <w:pP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059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46FB"/>
    <w:rPr>
      <w:color w:val="0563C1" w:themeColor="hyperlink"/>
      <w:u w:val="single"/>
    </w:rPr>
  </w:style>
  <w:style w:type="character" w:customStyle="1" w:styleId="UnresolvedMention1">
    <w:name w:val="Unresolved Mention1"/>
    <w:basedOn w:val="DefaultParagraphFont"/>
    <w:uiPriority w:val="99"/>
    <w:semiHidden/>
    <w:unhideWhenUsed/>
    <w:rsid w:val="00EB1D40"/>
    <w:rPr>
      <w:color w:val="605E5C"/>
      <w:shd w:val="clear" w:color="auto" w:fill="E1DFDD"/>
    </w:rPr>
  </w:style>
  <w:style w:type="paragraph" w:styleId="NormalWeb">
    <w:name w:val="Normal (Web)"/>
    <w:basedOn w:val="Normal"/>
    <w:uiPriority w:val="99"/>
    <w:unhideWhenUsed/>
    <w:rsid w:val="00147FB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E2FF1"/>
    <w:rPr>
      <w:color w:val="954F72" w:themeColor="followedHyperlink"/>
      <w:u w:val="single"/>
    </w:rPr>
  </w:style>
  <w:style w:type="character" w:styleId="Emphasis">
    <w:name w:val="Emphasis"/>
    <w:basedOn w:val="DefaultParagraphFont"/>
    <w:uiPriority w:val="20"/>
    <w:qFormat/>
    <w:rsid w:val="00C16CDD"/>
    <w:rPr>
      <w:i/>
      <w:iCs/>
    </w:rPr>
  </w:style>
  <w:style w:type="paragraph" w:customStyle="1" w:styleId="SectionSummary">
    <w:name w:val="Section Summary"/>
    <w:basedOn w:val="Normal"/>
    <w:autoRedefine/>
    <w:qFormat/>
    <w:rsid w:val="00480C06"/>
    <w:pPr>
      <w:autoSpaceDE w:val="0"/>
      <w:autoSpaceDN w:val="0"/>
      <w:adjustRightInd w:val="0"/>
      <w:spacing w:before="180" w:line="264" w:lineRule="auto"/>
      <w:textAlignment w:val="center"/>
    </w:pPr>
    <w:rPr>
      <w:rFonts w:eastAsia="Times New Roman"/>
      <w:bCs/>
      <w:color w:val="000000" w:themeColor="text1"/>
      <w:sz w:val="21"/>
      <w:szCs w:val="21"/>
    </w:rPr>
  </w:style>
  <w:style w:type="paragraph" w:customStyle="1" w:styleId="Style1">
    <w:name w:val="Style1"/>
    <w:basedOn w:val="SectionSummary"/>
    <w:qFormat/>
    <w:rsid w:val="00480C06"/>
    <w:rPr>
      <w:b/>
      <w:bCs w:val="0"/>
    </w:rPr>
  </w:style>
  <w:style w:type="character" w:styleId="CommentReference">
    <w:name w:val="annotation reference"/>
    <w:basedOn w:val="DefaultParagraphFont"/>
    <w:uiPriority w:val="99"/>
    <w:semiHidden/>
    <w:unhideWhenUsed/>
    <w:rsid w:val="00480C06"/>
    <w:rPr>
      <w:sz w:val="16"/>
      <w:szCs w:val="16"/>
    </w:rPr>
  </w:style>
  <w:style w:type="paragraph" w:styleId="CommentText">
    <w:name w:val="annotation text"/>
    <w:basedOn w:val="Normal"/>
    <w:link w:val="CommentTextChar"/>
    <w:uiPriority w:val="99"/>
    <w:unhideWhenUsed/>
    <w:rsid w:val="00480C0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80C06"/>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480C06"/>
    <w:pPr>
      <w:ind w:left="720"/>
    </w:pPr>
    <w:rPr>
      <w:rFonts w:ascii="Franklin Gothic Book" w:eastAsia="Times New Roman" w:hAnsi="Franklin Gothic Book" w:cs="Times New Roman"/>
      <w:sz w:val="15"/>
      <w:szCs w:val="20"/>
    </w:rPr>
  </w:style>
  <w:style w:type="character" w:customStyle="1" w:styleId="FootnoteTextChar">
    <w:name w:val="Footnote Text Char"/>
    <w:basedOn w:val="DefaultParagraphFont"/>
    <w:link w:val="FootnoteText"/>
    <w:uiPriority w:val="99"/>
    <w:rsid w:val="00480C06"/>
    <w:rPr>
      <w:rFonts w:ascii="Franklin Gothic Book" w:eastAsia="Times New Roman" w:hAnsi="Franklin Gothic Book" w:cs="Times New Roman"/>
      <w:sz w:val="15"/>
      <w:szCs w:val="20"/>
    </w:rPr>
  </w:style>
  <w:style w:type="character" w:styleId="FootnoteReference">
    <w:name w:val="footnote reference"/>
    <w:basedOn w:val="DefaultParagraphFont"/>
    <w:uiPriority w:val="99"/>
    <w:unhideWhenUsed/>
    <w:rsid w:val="00480C06"/>
    <w:rPr>
      <w:rFonts w:ascii="Franklin Gothic Demi" w:hAnsi="Franklin Gothic Demi"/>
      <w:b/>
      <w:bCs/>
      <w:color w:val="515151"/>
      <w:sz w:val="20"/>
      <w:szCs w:val="20"/>
      <w:vertAlign w:val="superscript"/>
    </w:rPr>
  </w:style>
  <w:style w:type="paragraph" w:styleId="BalloonText">
    <w:name w:val="Balloon Text"/>
    <w:basedOn w:val="Normal"/>
    <w:link w:val="BalloonTextChar"/>
    <w:uiPriority w:val="99"/>
    <w:semiHidden/>
    <w:unhideWhenUsed/>
    <w:rsid w:val="001E3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55"/>
    <w:rPr>
      <w:rFonts w:ascii="Segoe UI" w:hAnsi="Segoe UI" w:cs="Segoe UI"/>
      <w:sz w:val="18"/>
      <w:szCs w:val="18"/>
    </w:rPr>
  </w:style>
  <w:style w:type="paragraph" w:styleId="Header">
    <w:name w:val="header"/>
    <w:basedOn w:val="Normal"/>
    <w:link w:val="HeaderChar"/>
    <w:uiPriority w:val="99"/>
    <w:unhideWhenUsed/>
    <w:rsid w:val="00C87845"/>
    <w:pPr>
      <w:tabs>
        <w:tab w:val="center" w:pos="4680"/>
        <w:tab w:val="right" w:pos="9360"/>
      </w:tabs>
    </w:pPr>
  </w:style>
  <w:style w:type="character" w:customStyle="1" w:styleId="HeaderChar">
    <w:name w:val="Header Char"/>
    <w:basedOn w:val="DefaultParagraphFont"/>
    <w:link w:val="Header"/>
    <w:uiPriority w:val="99"/>
    <w:rsid w:val="00C87845"/>
  </w:style>
  <w:style w:type="paragraph" w:styleId="Footer">
    <w:name w:val="footer"/>
    <w:basedOn w:val="Normal"/>
    <w:link w:val="FooterChar"/>
    <w:uiPriority w:val="99"/>
    <w:unhideWhenUsed/>
    <w:rsid w:val="00C87845"/>
    <w:pPr>
      <w:tabs>
        <w:tab w:val="center" w:pos="4680"/>
        <w:tab w:val="right" w:pos="9360"/>
      </w:tabs>
    </w:pPr>
  </w:style>
  <w:style w:type="character" w:customStyle="1" w:styleId="FooterChar">
    <w:name w:val="Footer Char"/>
    <w:basedOn w:val="DefaultParagraphFont"/>
    <w:link w:val="Footer"/>
    <w:uiPriority w:val="99"/>
    <w:rsid w:val="00C87845"/>
  </w:style>
  <w:style w:type="table" w:styleId="TableGrid">
    <w:name w:val="Table Grid"/>
    <w:basedOn w:val="TableNormal"/>
    <w:uiPriority w:val="59"/>
    <w:rsid w:val="00622FC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A97D8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3594F"/>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6130">
      <w:bodyDiv w:val="1"/>
      <w:marLeft w:val="0"/>
      <w:marRight w:val="0"/>
      <w:marTop w:val="0"/>
      <w:marBottom w:val="0"/>
      <w:divBdr>
        <w:top w:val="none" w:sz="0" w:space="0" w:color="auto"/>
        <w:left w:val="none" w:sz="0" w:space="0" w:color="auto"/>
        <w:bottom w:val="none" w:sz="0" w:space="0" w:color="auto"/>
        <w:right w:val="none" w:sz="0" w:space="0" w:color="auto"/>
      </w:divBdr>
    </w:div>
    <w:div w:id="805896969">
      <w:bodyDiv w:val="1"/>
      <w:marLeft w:val="0"/>
      <w:marRight w:val="0"/>
      <w:marTop w:val="0"/>
      <w:marBottom w:val="0"/>
      <w:divBdr>
        <w:top w:val="none" w:sz="0" w:space="0" w:color="auto"/>
        <w:left w:val="none" w:sz="0" w:space="0" w:color="auto"/>
        <w:bottom w:val="none" w:sz="0" w:space="0" w:color="auto"/>
        <w:right w:val="none" w:sz="0" w:space="0" w:color="auto"/>
      </w:divBdr>
    </w:div>
    <w:div w:id="1000698262">
      <w:bodyDiv w:val="1"/>
      <w:marLeft w:val="0"/>
      <w:marRight w:val="0"/>
      <w:marTop w:val="0"/>
      <w:marBottom w:val="0"/>
      <w:divBdr>
        <w:top w:val="none" w:sz="0" w:space="0" w:color="auto"/>
        <w:left w:val="none" w:sz="0" w:space="0" w:color="auto"/>
        <w:bottom w:val="none" w:sz="0" w:space="0" w:color="auto"/>
        <w:right w:val="none" w:sz="0" w:space="0" w:color="auto"/>
      </w:divBdr>
    </w:div>
    <w:div w:id="1042369174">
      <w:bodyDiv w:val="1"/>
      <w:marLeft w:val="0"/>
      <w:marRight w:val="0"/>
      <w:marTop w:val="0"/>
      <w:marBottom w:val="0"/>
      <w:divBdr>
        <w:top w:val="none" w:sz="0" w:space="0" w:color="auto"/>
        <w:left w:val="none" w:sz="0" w:space="0" w:color="auto"/>
        <w:bottom w:val="none" w:sz="0" w:space="0" w:color="auto"/>
        <w:right w:val="none" w:sz="0" w:space="0" w:color="auto"/>
      </w:divBdr>
    </w:div>
    <w:div w:id="1054617192">
      <w:bodyDiv w:val="1"/>
      <w:marLeft w:val="0"/>
      <w:marRight w:val="0"/>
      <w:marTop w:val="0"/>
      <w:marBottom w:val="0"/>
      <w:divBdr>
        <w:top w:val="none" w:sz="0" w:space="0" w:color="auto"/>
        <w:left w:val="none" w:sz="0" w:space="0" w:color="auto"/>
        <w:bottom w:val="none" w:sz="0" w:space="0" w:color="auto"/>
        <w:right w:val="none" w:sz="0" w:space="0" w:color="auto"/>
      </w:divBdr>
    </w:div>
    <w:div w:id="1260217846">
      <w:bodyDiv w:val="1"/>
      <w:marLeft w:val="0"/>
      <w:marRight w:val="0"/>
      <w:marTop w:val="0"/>
      <w:marBottom w:val="0"/>
      <w:divBdr>
        <w:top w:val="none" w:sz="0" w:space="0" w:color="auto"/>
        <w:left w:val="none" w:sz="0" w:space="0" w:color="auto"/>
        <w:bottom w:val="none" w:sz="0" w:space="0" w:color="auto"/>
        <w:right w:val="none" w:sz="0" w:space="0" w:color="auto"/>
      </w:divBdr>
    </w:div>
    <w:div w:id="1576357506">
      <w:bodyDiv w:val="1"/>
      <w:marLeft w:val="0"/>
      <w:marRight w:val="0"/>
      <w:marTop w:val="0"/>
      <w:marBottom w:val="0"/>
      <w:divBdr>
        <w:top w:val="none" w:sz="0" w:space="0" w:color="auto"/>
        <w:left w:val="none" w:sz="0" w:space="0" w:color="auto"/>
        <w:bottom w:val="none" w:sz="0" w:space="0" w:color="auto"/>
        <w:right w:val="none" w:sz="0" w:space="0" w:color="auto"/>
      </w:divBdr>
    </w:div>
    <w:div w:id="1660188789">
      <w:bodyDiv w:val="1"/>
      <w:marLeft w:val="0"/>
      <w:marRight w:val="0"/>
      <w:marTop w:val="0"/>
      <w:marBottom w:val="0"/>
      <w:divBdr>
        <w:top w:val="none" w:sz="0" w:space="0" w:color="auto"/>
        <w:left w:val="none" w:sz="0" w:space="0" w:color="auto"/>
        <w:bottom w:val="none" w:sz="0" w:space="0" w:color="auto"/>
        <w:right w:val="none" w:sz="0" w:space="0" w:color="auto"/>
      </w:divBdr>
    </w:div>
    <w:div w:id="1685788938">
      <w:bodyDiv w:val="1"/>
      <w:marLeft w:val="0"/>
      <w:marRight w:val="0"/>
      <w:marTop w:val="0"/>
      <w:marBottom w:val="0"/>
      <w:divBdr>
        <w:top w:val="none" w:sz="0" w:space="0" w:color="auto"/>
        <w:left w:val="none" w:sz="0" w:space="0" w:color="auto"/>
        <w:bottom w:val="none" w:sz="0" w:space="0" w:color="auto"/>
        <w:right w:val="none" w:sz="0" w:space="0" w:color="auto"/>
      </w:divBdr>
    </w:div>
    <w:div w:id="1848247468">
      <w:bodyDiv w:val="1"/>
      <w:marLeft w:val="0"/>
      <w:marRight w:val="0"/>
      <w:marTop w:val="0"/>
      <w:marBottom w:val="0"/>
      <w:divBdr>
        <w:top w:val="none" w:sz="0" w:space="0" w:color="auto"/>
        <w:left w:val="none" w:sz="0" w:space="0" w:color="auto"/>
        <w:bottom w:val="none" w:sz="0" w:space="0" w:color="auto"/>
        <w:right w:val="none" w:sz="0" w:space="0" w:color="auto"/>
      </w:divBdr>
    </w:div>
    <w:div w:id="1940483518">
      <w:bodyDiv w:val="1"/>
      <w:marLeft w:val="0"/>
      <w:marRight w:val="0"/>
      <w:marTop w:val="0"/>
      <w:marBottom w:val="0"/>
      <w:divBdr>
        <w:top w:val="none" w:sz="0" w:space="0" w:color="auto"/>
        <w:left w:val="none" w:sz="0" w:space="0" w:color="auto"/>
        <w:bottom w:val="none" w:sz="0" w:space="0" w:color="auto"/>
        <w:right w:val="none" w:sz="0" w:space="0" w:color="auto"/>
      </w:divBdr>
    </w:div>
    <w:div w:id="196565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tatistics_reports/accreditation_federal_reports/accreditation/index.shtml" TargetMode="External"/><Relationship Id="rId5" Type="http://schemas.openxmlformats.org/officeDocument/2006/relationships/webSettings" Target="webSettings.xml"/><Relationship Id="rId10" Type="http://schemas.openxmlformats.org/officeDocument/2006/relationships/hyperlink" Target="http://schoolquality.virginia.gov/" TargetMode="External"/><Relationship Id="rId4" Type="http://schemas.openxmlformats.org/officeDocument/2006/relationships/settings" Target="settings.xml"/><Relationship Id="rId9" Type="http://schemas.openxmlformats.org/officeDocument/2006/relationships/hyperlink" Target="mailto:charles.pyle@doe.virgini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TfA1gfXtg8aEVYT0BjwdSCbRQ==">AMUW2mX4AXBGMy4LKMBBzW4Rydry5ufmRDp9YWOwgF4OBh1EbhHMVlIyeiEb6A+bUoFEo0QN5dDjO9R1BPLdQoYPcpgg4odzY/k/U2/w4HXtnKsYBbHwQCyEI5nFvC/H4jSKm5YWmv18k4ypaMeWV5bg0T/+rzhHU6PlnwDpLzLLtDjLiao3sdsDMkPG07wVAuTwA2eNzuh+d2ZrCGtX2ATR8D+UsJMNB/6qrjESuvv/1wQuIL25VdcbvYDBPqQwlm8KMb33pofdd/8dLTS9r5R8y1p0wCwgkWFcA7cHWqboRGaSs/CXQaFSkA34qBqYQEgUazCdgRDOoRKSI/NsiujGatdtIYNBXSvmLNZgXbJXjanmD60urL/aCjns4USIqrhmrZPB094FjXmta7iLDwVsvYnESbIBLhkocoIaTIHnLFI0qXFiyiAGNUvlwLosmqDTQSMKcRzB61bORvHZdTEJmjGYqPHB85ADXFEVy99u+6IPvL3U8zmmS9wE932ox4C+8umILT9SefffBM1COVqYDgtbs3gH8RsPsSX48YYTBDR15G/Rlf7mwhiKOAi3Xou3UcuD8kWwAU+NCOxKfy2u98juCHvxPsEaCF/8v+GmRaqJy0r6ETWDOzwjuJDbiHkpv7W8yjVQpkZSMacyCbMm25IDLOsxirkolACoH3vuC8u2r+LrTa45B9W/Kh0EfO656vcHYjspkV+xAZpqr9cdGOz29mROycaJ6JHWalQdiBQVW/9w2aHJrtKqhaaFgi7YFCe9RNTys4aq2revn3kr0oEzxqQZ0mV+EibvkOLnvH/YX7iUnhnBnRWibnhm7+co2PZiHLZMZUXYfwvSeJFWxAsrni1hscz5Gx/mvXF+mM5U50JWHMGI6NPKTjA7yvKPTWqWelwCPZMbd0mT08E2XlUenkDiq4mqAHt0eIdQb6omTYYqxPR9vw884B1mLc+gKMGM6L7EQBtBavlbwGELVagGbGoXR6jcKIFUHyDzm+f2tIM8fBgm6JrG6GcgN+3X8o5hsD0kp1ATS4x24i7b2+9uOwpF02ElfCAYHDViAb0fQivLB7tQt7gcvzReAUvWlTD/hszxU3HvQA2qSyqhNyIF0En4Lo0unj6Ej45Mar3m8BtGb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keywords>2022-2023 Accreditation</cp:keywords>
  <dc:description>89% of Schools Fully Accredited Despite Learning Losses in Reading, Math and Science</dc:description>
  <cp:lastModifiedBy>Siepka, Amy (DOE)</cp:lastModifiedBy>
  <cp:revision>2</cp:revision>
  <cp:lastPrinted>2022-09-22T21:51:00Z</cp:lastPrinted>
  <dcterms:created xsi:type="dcterms:W3CDTF">2022-12-05T15:02:00Z</dcterms:created>
  <dcterms:modified xsi:type="dcterms:W3CDTF">2022-12-05T15:02:00Z</dcterms:modified>
</cp:coreProperties>
</file>