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0F4311">
        <w:t>Charles City County Public Schools</w:t>
      </w:r>
    </w:p>
    <w:p w:rsidR="00E63DC5" w:rsidRDefault="00E63DC5" w:rsidP="00E63DC5">
      <w:pPr>
        <w:pStyle w:val="NormalTNR"/>
      </w:pPr>
      <w:r w:rsidRPr="008B62AA">
        <w:rPr>
          <w:b/>
        </w:rPr>
        <w:t>Report Publication Date:</w:t>
      </w:r>
      <w:r>
        <w:t xml:space="preserve"> </w:t>
      </w:r>
      <w:r w:rsidR="000F4311">
        <w:t>June 22, 2018</w:t>
      </w:r>
    </w:p>
    <w:p w:rsidR="00E63DC5" w:rsidRDefault="00E63DC5" w:rsidP="00E63DC5">
      <w:pPr>
        <w:pStyle w:val="NormalTNR"/>
      </w:pPr>
      <w:r w:rsidRPr="008B62AA">
        <w:rPr>
          <w:b/>
        </w:rPr>
        <w:t>Administrative Review Dates:</w:t>
      </w:r>
      <w:r>
        <w:t xml:space="preserve"> </w:t>
      </w:r>
      <w:r w:rsidR="000F4311">
        <w:t>March 20-22, 2018</w:t>
      </w:r>
    </w:p>
    <w:p w:rsidR="00E63DC5" w:rsidRDefault="00E63DC5" w:rsidP="00E63DC5">
      <w:pPr>
        <w:pStyle w:val="NormalTNR"/>
      </w:pPr>
      <w:r w:rsidRPr="008B62AA">
        <w:rPr>
          <w:b/>
        </w:rPr>
        <w:t>Review Month and Year:</w:t>
      </w:r>
      <w:r>
        <w:t xml:space="preserve"> </w:t>
      </w:r>
      <w:r w:rsidR="000F4311">
        <w:t>February 2018</w:t>
      </w:r>
    </w:p>
    <w:p w:rsidR="00E63DC5" w:rsidRDefault="00E63DC5" w:rsidP="00E63DC5">
      <w:pPr>
        <w:pStyle w:val="NormalTNR"/>
      </w:pPr>
      <w:r w:rsidRPr="008B62AA">
        <w:rPr>
          <w:b/>
        </w:rPr>
        <w:t>Participating Programs:</w:t>
      </w:r>
      <w:r>
        <w:t xml:space="preserve"> </w:t>
      </w:r>
      <w:r w:rsidR="000F4311">
        <w:t>NSLP, SBP</w:t>
      </w:r>
    </w:p>
    <w:p w:rsidR="00E63DC5" w:rsidRPr="00E63DC5" w:rsidRDefault="00E63DC5" w:rsidP="00F70D82">
      <w:pPr>
        <w:pStyle w:val="NormalTNR"/>
        <w:spacing w:after="600"/>
      </w:pPr>
      <w:proofErr w:type="gramStart"/>
      <w:r w:rsidRPr="008B62AA">
        <w:rPr>
          <w:b/>
        </w:rPr>
        <w:t>Participates in Special Provisions?</w:t>
      </w:r>
      <w:proofErr w:type="gramEnd"/>
      <w:r>
        <w:t xml:space="preserve"> </w:t>
      </w:r>
      <w:r w:rsidR="000F4311">
        <w:t>No</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AA7F9A">
        <w:rPr>
          <w:sz w:val="28"/>
        </w:rPr>
        <w:t>February 2018:</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1A3F76" w:rsidP="007B68D3">
            <w:pPr>
              <w:pStyle w:val="NormalTNR"/>
              <w:spacing w:after="0"/>
              <w:rPr>
                <w:lang w:eastAsia="ja-JP"/>
              </w:rPr>
            </w:pPr>
            <w:r>
              <w:rPr>
                <w:lang w:eastAsia="ja-JP"/>
              </w:rPr>
              <w:t>346</w:t>
            </w:r>
          </w:p>
        </w:tc>
        <w:tc>
          <w:tcPr>
            <w:tcW w:w="1563" w:type="dxa"/>
            <w:shd w:val="clear" w:color="auto" w:fill="auto"/>
            <w:vAlign w:val="center"/>
          </w:tcPr>
          <w:p w:rsidR="006C3986" w:rsidRPr="00690A00" w:rsidRDefault="001A3F76" w:rsidP="007B68D3">
            <w:pPr>
              <w:pStyle w:val="NormalTNR"/>
              <w:spacing w:after="0"/>
              <w:rPr>
                <w:lang w:eastAsia="ja-JP"/>
              </w:rPr>
            </w:pPr>
            <w:r>
              <w:rPr>
                <w:lang w:eastAsia="ja-JP"/>
              </w:rPr>
              <w:t>230</w:t>
            </w:r>
          </w:p>
        </w:tc>
        <w:tc>
          <w:tcPr>
            <w:tcW w:w="1027" w:type="dxa"/>
            <w:shd w:val="clear" w:color="auto" w:fill="auto"/>
            <w:vAlign w:val="center"/>
          </w:tcPr>
          <w:p w:rsidR="006C3986" w:rsidRPr="00690A00" w:rsidRDefault="001A3F76" w:rsidP="007B68D3">
            <w:pPr>
              <w:pStyle w:val="NormalTNR"/>
              <w:spacing w:after="0"/>
              <w:rPr>
                <w:lang w:eastAsia="ja-JP"/>
              </w:rPr>
            </w:pPr>
            <w:r>
              <w:rPr>
                <w:lang w:eastAsia="ja-JP"/>
              </w:rPr>
              <w:t>70.55</w:t>
            </w:r>
          </w:p>
        </w:tc>
        <w:tc>
          <w:tcPr>
            <w:tcW w:w="1249" w:type="dxa"/>
            <w:shd w:val="clear" w:color="auto" w:fill="auto"/>
            <w:vAlign w:val="center"/>
          </w:tcPr>
          <w:p w:rsidR="006C3986" w:rsidRPr="00690A00" w:rsidRDefault="001A3F76" w:rsidP="007B68D3">
            <w:pPr>
              <w:pStyle w:val="NormalTNR"/>
              <w:spacing w:after="0"/>
              <w:rPr>
                <w:lang w:eastAsia="ja-JP"/>
              </w:rPr>
            </w:pPr>
            <w:r>
              <w:rPr>
                <w:lang w:eastAsia="ja-JP"/>
              </w:rPr>
              <w:t>159</w:t>
            </w:r>
          </w:p>
        </w:tc>
        <w:tc>
          <w:tcPr>
            <w:tcW w:w="1216" w:type="dxa"/>
            <w:shd w:val="clear" w:color="auto" w:fill="auto"/>
            <w:vAlign w:val="center"/>
          </w:tcPr>
          <w:p w:rsidR="006C3986" w:rsidRPr="00690A00" w:rsidRDefault="001A3F76" w:rsidP="007B68D3">
            <w:pPr>
              <w:pStyle w:val="NormalTNR"/>
              <w:spacing w:after="0"/>
              <w:rPr>
                <w:lang w:eastAsia="ja-JP"/>
              </w:rPr>
            </w:pPr>
            <w:r>
              <w:rPr>
                <w:lang w:eastAsia="ja-JP"/>
              </w:rPr>
              <w:t>71.95</w:t>
            </w:r>
          </w:p>
        </w:tc>
        <w:tc>
          <w:tcPr>
            <w:tcW w:w="1860" w:type="dxa"/>
            <w:shd w:val="clear" w:color="auto" w:fill="auto"/>
            <w:vAlign w:val="center"/>
          </w:tcPr>
          <w:p w:rsidR="006C3986" w:rsidRPr="00690A00" w:rsidRDefault="001A3F76" w:rsidP="007B68D3">
            <w:pPr>
              <w:pStyle w:val="NormalTNR"/>
              <w:spacing w:after="0"/>
              <w:rPr>
                <w:lang w:eastAsia="ja-JP"/>
              </w:rPr>
            </w:pPr>
            <w:r>
              <w:rPr>
                <w:lang w:eastAsia="ja-JP"/>
              </w:rPr>
              <w:t>21,621.76</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1A3F76" w:rsidP="007B68D3">
            <w:pPr>
              <w:pStyle w:val="NormalTNR"/>
              <w:spacing w:after="0"/>
              <w:rPr>
                <w:lang w:eastAsia="ja-JP"/>
              </w:rPr>
            </w:pPr>
            <w:r>
              <w:rPr>
                <w:lang w:eastAsia="ja-JP"/>
              </w:rPr>
              <w:t>59</w:t>
            </w:r>
          </w:p>
        </w:tc>
        <w:tc>
          <w:tcPr>
            <w:tcW w:w="1563" w:type="dxa"/>
            <w:shd w:val="clear" w:color="auto" w:fill="auto"/>
            <w:vAlign w:val="center"/>
          </w:tcPr>
          <w:p w:rsidR="006C3986" w:rsidRPr="00690A00" w:rsidRDefault="001A3F76" w:rsidP="007B68D3">
            <w:pPr>
              <w:pStyle w:val="NormalTNR"/>
              <w:spacing w:after="0"/>
              <w:rPr>
                <w:lang w:eastAsia="ja-JP"/>
              </w:rPr>
            </w:pPr>
            <w:r>
              <w:rPr>
                <w:lang w:eastAsia="ja-JP"/>
              </w:rPr>
              <w:t>34</w:t>
            </w:r>
          </w:p>
        </w:tc>
        <w:tc>
          <w:tcPr>
            <w:tcW w:w="1027" w:type="dxa"/>
            <w:shd w:val="clear" w:color="auto" w:fill="auto"/>
            <w:vAlign w:val="center"/>
          </w:tcPr>
          <w:p w:rsidR="006C3986" w:rsidRPr="00690A00" w:rsidRDefault="001A3F76" w:rsidP="007B68D3">
            <w:pPr>
              <w:pStyle w:val="NormalTNR"/>
              <w:spacing w:after="0"/>
              <w:rPr>
                <w:lang w:eastAsia="ja-JP"/>
              </w:rPr>
            </w:pPr>
            <w:r>
              <w:rPr>
                <w:lang w:eastAsia="ja-JP"/>
              </w:rPr>
              <w:t>10.43</w:t>
            </w:r>
          </w:p>
        </w:tc>
        <w:tc>
          <w:tcPr>
            <w:tcW w:w="1249" w:type="dxa"/>
            <w:shd w:val="clear" w:color="auto" w:fill="auto"/>
            <w:vAlign w:val="center"/>
          </w:tcPr>
          <w:p w:rsidR="006C3986" w:rsidRPr="00690A00" w:rsidRDefault="001A3F76" w:rsidP="007B68D3">
            <w:pPr>
              <w:pStyle w:val="NormalTNR"/>
              <w:spacing w:after="0"/>
              <w:rPr>
                <w:lang w:eastAsia="ja-JP"/>
              </w:rPr>
            </w:pPr>
            <w:r>
              <w:rPr>
                <w:lang w:eastAsia="ja-JP"/>
              </w:rPr>
              <w:t>22</w:t>
            </w:r>
          </w:p>
        </w:tc>
        <w:tc>
          <w:tcPr>
            <w:tcW w:w="1216" w:type="dxa"/>
            <w:shd w:val="clear" w:color="auto" w:fill="auto"/>
            <w:vAlign w:val="center"/>
          </w:tcPr>
          <w:p w:rsidR="006C3986" w:rsidRPr="00690A00" w:rsidRDefault="001A3F76" w:rsidP="007B68D3">
            <w:pPr>
              <w:pStyle w:val="NormalTNR"/>
              <w:spacing w:after="0"/>
              <w:rPr>
                <w:lang w:eastAsia="ja-JP"/>
              </w:rPr>
            </w:pPr>
            <w:r>
              <w:rPr>
                <w:lang w:eastAsia="ja-JP"/>
              </w:rPr>
              <w:t>9.95</w:t>
            </w:r>
          </w:p>
        </w:tc>
        <w:tc>
          <w:tcPr>
            <w:tcW w:w="1860" w:type="dxa"/>
            <w:shd w:val="clear" w:color="auto" w:fill="auto"/>
            <w:vAlign w:val="center"/>
          </w:tcPr>
          <w:p w:rsidR="006C3986" w:rsidRPr="00690A00" w:rsidRDefault="001A3F76" w:rsidP="007B68D3">
            <w:pPr>
              <w:pStyle w:val="NormalTNR"/>
              <w:spacing w:after="0"/>
              <w:rPr>
                <w:lang w:eastAsia="ja-JP"/>
              </w:rPr>
            </w:pPr>
            <w:r>
              <w:rPr>
                <w:lang w:eastAsia="ja-JP"/>
              </w:rPr>
              <w:t>2743.13</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1A3F76" w:rsidP="007B68D3">
            <w:pPr>
              <w:pStyle w:val="NormalTNR"/>
              <w:spacing w:after="0"/>
              <w:rPr>
                <w:lang w:eastAsia="ja-JP"/>
              </w:rPr>
            </w:pPr>
            <w:r>
              <w:rPr>
                <w:lang w:eastAsia="ja-JP"/>
              </w:rPr>
              <w:t>274</w:t>
            </w:r>
          </w:p>
        </w:tc>
        <w:tc>
          <w:tcPr>
            <w:tcW w:w="1563" w:type="dxa"/>
            <w:shd w:val="clear" w:color="auto" w:fill="auto"/>
            <w:vAlign w:val="center"/>
          </w:tcPr>
          <w:p w:rsidR="006C3986" w:rsidRPr="00690A00" w:rsidRDefault="001A3F76" w:rsidP="007B68D3">
            <w:pPr>
              <w:pStyle w:val="NormalTNR"/>
              <w:spacing w:after="0"/>
              <w:rPr>
                <w:lang w:eastAsia="ja-JP"/>
              </w:rPr>
            </w:pPr>
            <w:r>
              <w:rPr>
                <w:lang w:eastAsia="ja-JP"/>
              </w:rPr>
              <w:t>62</w:t>
            </w:r>
          </w:p>
        </w:tc>
        <w:tc>
          <w:tcPr>
            <w:tcW w:w="1027" w:type="dxa"/>
            <w:shd w:val="clear" w:color="auto" w:fill="auto"/>
            <w:vAlign w:val="center"/>
          </w:tcPr>
          <w:p w:rsidR="006C3986" w:rsidRPr="00690A00" w:rsidRDefault="001A3F76" w:rsidP="007B68D3">
            <w:pPr>
              <w:pStyle w:val="NormalTNR"/>
              <w:spacing w:after="0"/>
              <w:rPr>
                <w:lang w:eastAsia="ja-JP"/>
              </w:rPr>
            </w:pPr>
            <w:r>
              <w:rPr>
                <w:lang w:eastAsia="ja-JP"/>
              </w:rPr>
              <w:t>19.02</w:t>
            </w:r>
          </w:p>
        </w:tc>
        <w:tc>
          <w:tcPr>
            <w:tcW w:w="1249" w:type="dxa"/>
            <w:shd w:val="clear" w:color="auto" w:fill="auto"/>
            <w:vAlign w:val="center"/>
          </w:tcPr>
          <w:p w:rsidR="006C3986" w:rsidRPr="00690A00" w:rsidRDefault="001A3F76" w:rsidP="007B68D3">
            <w:pPr>
              <w:pStyle w:val="NormalTNR"/>
              <w:spacing w:after="0"/>
              <w:rPr>
                <w:lang w:eastAsia="ja-JP"/>
              </w:rPr>
            </w:pPr>
            <w:r>
              <w:rPr>
                <w:lang w:eastAsia="ja-JP"/>
              </w:rPr>
              <w:t>40</w:t>
            </w:r>
          </w:p>
        </w:tc>
        <w:tc>
          <w:tcPr>
            <w:tcW w:w="1216" w:type="dxa"/>
            <w:shd w:val="clear" w:color="auto" w:fill="auto"/>
            <w:vAlign w:val="center"/>
          </w:tcPr>
          <w:p w:rsidR="006C3986" w:rsidRPr="00690A00" w:rsidRDefault="001A3F76" w:rsidP="007B68D3">
            <w:pPr>
              <w:pStyle w:val="NormalTNR"/>
              <w:spacing w:after="0"/>
              <w:rPr>
                <w:lang w:eastAsia="ja-JP"/>
              </w:rPr>
            </w:pPr>
            <w:r>
              <w:rPr>
                <w:lang w:eastAsia="ja-JP"/>
              </w:rPr>
              <w:t>18.10</w:t>
            </w:r>
          </w:p>
        </w:tc>
        <w:tc>
          <w:tcPr>
            <w:tcW w:w="1860" w:type="dxa"/>
            <w:shd w:val="clear" w:color="auto" w:fill="auto"/>
            <w:vAlign w:val="center"/>
          </w:tcPr>
          <w:p w:rsidR="006C3986" w:rsidRPr="00690A00" w:rsidRDefault="001A3F76" w:rsidP="007B68D3">
            <w:pPr>
              <w:pStyle w:val="NormalTNR"/>
              <w:spacing w:after="0"/>
              <w:rPr>
                <w:lang w:eastAsia="ja-JP"/>
              </w:rPr>
            </w:pPr>
            <w:r>
              <w:rPr>
                <w:lang w:eastAsia="ja-JP"/>
              </w:rPr>
              <w:t>713.94</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1A3F76" w:rsidP="007B68D3">
            <w:pPr>
              <w:pStyle w:val="NormalTNR"/>
              <w:spacing w:after="0"/>
              <w:rPr>
                <w:b/>
                <w:lang w:eastAsia="ja-JP"/>
              </w:rPr>
            </w:pPr>
            <w:r>
              <w:rPr>
                <w:b/>
                <w:lang w:eastAsia="ja-JP"/>
              </w:rPr>
              <w:t>679</w:t>
            </w:r>
          </w:p>
        </w:tc>
        <w:tc>
          <w:tcPr>
            <w:tcW w:w="1563" w:type="dxa"/>
            <w:shd w:val="clear" w:color="auto" w:fill="auto"/>
            <w:vAlign w:val="center"/>
          </w:tcPr>
          <w:p w:rsidR="006C3986" w:rsidRPr="00E71C1B" w:rsidRDefault="00E71C1B" w:rsidP="007B68D3">
            <w:pPr>
              <w:pStyle w:val="NormalTNR"/>
              <w:spacing w:after="0"/>
              <w:rPr>
                <w:color w:val="FFFFFF" w:themeColor="background1"/>
                <w:sz w:val="10"/>
                <w:lang w:eastAsia="ja-JP"/>
              </w:rPr>
            </w:pPr>
            <w:r w:rsidRPr="00E71C1B">
              <w:rPr>
                <w:color w:val="FFFFFF" w:themeColor="background1"/>
                <w:sz w:val="10"/>
                <w:lang w:eastAsia="ja-JP"/>
              </w:rPr>
              <w:t>Cell intentionally left 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937A7F" w:rsidRDefault="001A3F76" w:rsidP="007B68D3">
            <w:pPr>
              <w:pStyle w:val="NormalTNR"/>
              <w:spacing w:after="0"/>
              <w:rPr>
                <w:b/>
                <w:lang w:eastAsia="ja-JP"/>
              </w:rPr>
            </w:pPr>
            <w:r>
              <w:rPr>
                <w:b/>
                <w:lang w:eastAsia="ja-JP"/>
              </w:rPr>
              <w:t>25,078.83</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0F4311"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5A6587EB">
                  <wp:extent cx="207010" cy="207010"/>
                  <wp:effectExtent l="0" t="0" r="2540" b="2540"/>
                  <wp:docPr id="29" name="Picture 29"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906D57" w:rsidRPr="007D3AFD" w:rsidRDefault="00906D57" w:rsidP="00AA7F9A">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0F4311">
              <w:rPr>
                <w:rFonts w:ascii="Times New Roman" w:eastAsia="Times New Roman" w:hAnsi="Times New Roman"/>
                <w:b/>
                <w:color w:val="000000"/>
                <w:szCs w:val="16"/>
                <w:lang w:eastAsia="ja-JP"/>
              </w:rPr>
              <w:t xml:space="preserve"> </w:t>
            </w:r>
          </w:p>
        </w:tc>
        <w:tc>
          <w:tcPr>
            <w:tcW w:w="4677" w:type="dxa"/>
            <w:vAlign w:val="center"/>
          </w:tcPr>
          <w:p w:rsidR="00906D57" w:rsidRPr="00AA7F9A" w:rsidRDefault="00AA7F9A" w:rsidP="00FC03D3">
            <w:pPr>
              <w:spacing w:before="0"/>
              <w:rPr>
                <w:rFonts w:ascii="Times New Roman" w:eastAsia="Times New Roman" w:hAnsi="Times New Roman"/>
                <w:noProof/>
                <w:color w:val="000000"/>
                <w:szCs w:val="20"/>
              </w:rPr>
            </w:pPr>
            <w:r w:rsidRPr="00AA7F9A">
              <w:rPr>
                <w:rFonts w:ascii="Times New Roman" w:eastAsia="Times New Roman" w:hAnsi="Times New Roman"/>
                <w:color w:val="000000"/>
                <w:szCs w:val="16"/>
                <w:lang w:eastAsia="ja-JP"/>
              </w:rPr>
              <w:t>Documentation of a confirmation review was not available.</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0F4311"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AA7F9A">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AA7F9A" w:rsidRDefault="00AA7F9A" w:rsidP="000C309B">
            <w:pPr>
              <w:rPr>
                <w:rFonts w:ascii="Times New Roman" w:eastAsia="Times New Roman" w:hAnsi="Times New Roman"/>
                <w:noProof/>
                <w:color w:val="000000"/>
                <w:szCs w:val="20"/>
              </w:rPr>
            </w:pPr>
            <w:r w:rsidRPr="00AA7F9A">
              <w:rPr>
                <w:rFonts w:ascii="Times New Roman" w:eastAsia="Times New Roman" w:hAnsi="Times New Roman"/>
                <w:color w:val="000000"/>
                <w:szCs w:val="16"/>
                <w:lang w:eastAsia="ja-JP"/>
              </w:rPr>
              <w:t>Planned serving sizes do not meet the minimum requirements for identified age groups.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0F4311"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0F4311"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0F4311" w:rsidRDefault="00AA7F9A" w:rsidP="00BC0516">
            <w:pPr>
              <w:rPr>
                <w:rFonts w:ascii="Times New Roman" w:eastAsia="Times New Roman" w:hAnsi="Times New Roman"/>
                <w:b/>
                <w:color w:val="005E20"/>
                <w:szCs w:val="16"/>
                <w:lang w:eastAsia="ja-JP"/>
              </w:rPr>
            </w:pPr>
            <w:r>
              <w:pict>
                <v:shape id="_x0000_i1032" type="#_x0000_t75" alt="Denotes no findings" style="width:15pt;height:15pt;visibility:visible;mso-wrap-style:square">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lastRenderedPageBreak/>
              <w:t>Local School Wellness Policy</w:t>
            </w:r>
          </w:p>
        </w:tc>
        <w:tc>
          <w:tcPr>
            <w:tcW w:w="4669" w:type="dxa"/>
            <w:vAlign w:val="center"/>
          </w:tcPr>
          <w:p w:rsidR="006475A6" w:rsidRPr="007D3AFD" w:rsidRDefault="006475A6" w:rsidP="00FC03D3">
            <w:pPr>
              <w:rPr>
                <w:rFonts w:ascii="Times New Roman" w:hAnsi="Times New Roman"/>
              </w:rPr>
            </w:pPr>
            <w:r>
              <w:rPr>
                <w:rFonts w:ascii="Times New Roman" w:hAnsi="Times New Roman"/>
                <w:noProof/>
              </w:rPr>
              <w:drawing>
                <wp:inline distT="0" distB="0" distL="0" distR="0" wp14:anchorId="560B76FB">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C0516" w:rsidRPr="007D3AFD" w:rsidRDefault="00B130AE" w:rsidP="00AA7F9A">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r w:rsidR="008E5B1B">
              <w:rPr>
                <w:rFonts w:ascii="Times New Roman" w:eastAsia="Times New Roman" w:hAnsi="Times New Roman"/>
                <w:b/>
                <w:color w:val="000000"/>
                <w:szCs w:val="16"/>
                <w:lang w:eastAsia="ja-JP"/>
              </w:rPr>
              <w:t xml:space="preserve"> </w:t>
            </w:r>
          </w:p>
        </w:tc>
        <w:tc>
          <w:tcPr>
            <w:tcW w:w="4669" w:type="dxa"/>
            <w:vAlign w:val="center"/>
          </w:tcPr>
          <w:p w:rsidR="00B130AE" w:rsidRPr="00AA7F9A" w:rsidRDefault="00AA7F9A" w:rsidP="00FC03D3">
            <w:pPr>
              <w:rPr>
                <w:rFonts w:ascii="Times New Roman" w:eastAsia="Times New Roman" w:hAnsi="Times New Roman"/>
                <w:noProof/>
                <w:color w:val="000000"/>
                <w:szCs w:val="20"/>
              </w:rPr>
            </w:pPr>
            <w:bookmarkStart w:id="0" w:name="_GoBack"/>
            <w:r w:rsidRPr="00AA7F9A">
              <w:rPr>
                <w:rFonts w:ascii="Times New Roman" w:eastAsia="Times New Roman" w:hAnsi="Times New Roman"/>
                <w:color w:val="000000"/>
                <w:szCs w:val="16"/>
                <w:lang w:eastAsia="ja-JP"/>
              </w:rPr>
              <w:t>Current Local Wellness Policy does not meet the minimum USDA or state requirements.</w:t>
            </w:r>
            <w:bookmarkEnd w:id="0"/>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0F4311"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0F4311"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1.75pt;height:21.75pt;visibility:visible;mso-wrap-style:square" o:bullet="t">
        <v:imagedata r:id="rId1" o:title=""/>
      </v:shape>
    </w:pict>
  </w:numPicBullet>
  <w:numPicBullet w:numPicBulletId="1">
    <w:pict>
      <v:shape id="_x0000_i1048" type="#_x0000_t75" alt="Denotes no findings" style="width:15pt;height:15pt;visibility:visible;mso-wrap-style:square" o:bullet="t">
        <v:imagedata r:id="rId2" o:title="Denotes no findings"/>
      </v:shape>
    </w:pict>
  </w:numPicBullet>
  <w:numPicBullet w:numPicBulletId="2">
    <w:pict>
      <v:shape id="_x0000_i1049" type="#_x0000_t75" alt="Denotes findings identified" style="width:21.75pt;height:21.75pt;visibility:visible;mso-wrap-style:square" o:bullet="t">
        <v:imagedata r:id="rId3" o:title="Denotes findings identified"/>
      </v:shape>
    </w:pict>
  </w:numPicBullet>
  <w:numPicBullet w:numPicBulletId="3">
    <w:pict>
      <v:shape id="_x0000_i1050" type="#_x0000_t75" style="width:15.75pt;height:15.75pt;visibility:visible;mso-wrap-style:square" o:bullet="t">
        <v:imagedata r:id="rId4" o:title=""/>
      </v:shape>
    </w:pict>
  </w:numPicBullet>
  <w:numPicBullet w:numPicBulletId="4">
    <w:pict>
      <v:shape id="_x0000_i1051" type="#_x0000_t75" style="width:15pt;height:15pt;visibility:visible;mso-wrap-style:square" o:bullet="t">
        <v:imagedata r:id="rId5" o:title=""/>
      </v:shape>
    </w:pict>
  </w:numPicBullet>
  <w:numPicBullet w:numPicBulletId="5">
    <w:pict>
      <v:shape id="_x0000_i1052" type="#_x0000_t75" alt="Denotes no findings" style="width:15pt;height:15pt;visibility:visible;mso-wrap-style:square" o:bullet="t">
        <v:imagedata r:id="rId6" o:title="Denotes no findings"/>
      </v:shape>
    </w:pict>
  </w:numPicBullet>
  <w:numPicBullet w:numPicBulletId="6">
    <w:pict>
      <v:shape id="_x0000_i1053"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0F4311"/>
    <w:rsid w:val="001A3F76"/>
    <w:rsid w:val="001B0603"/>
    <w:rsid w:val="001F75BE"/>
    <w:rsid w:val="002032A0"/>
    <w:rsid w:val="00217886"/>
    <w:rsid w:val="00260CA2"/>
    <w:rsid w:val="00265D36"/>
    <w:rsid w:val="00274A66"/>
    <w:rsid w:val="002D2FED"/>
    <w:rsid w:val="002D4167"/>
    <w:rsid w:val="0031611E"/>
    <w:rsid w:val="0032739D"/>
    <w:rsid w:val="003507AB"/>
    <w:rsid w:val="003C5AEE"/>
    <w:rsid w:val="00464DF8"/>
    <w:rsid w:val="004A5012"/>
    <w:rsid w:val="004C04E4"/>
    <w:rsid w:val="004C18F7"/>
    <w:rsid w:val="004D45AD"/>
    <w:rsid w:val="00527106"/>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8E5B1B"/>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A7F9A"/>
    <w:rsid w:val="00AC433F"/>
    <w:rsid w:val="00B130AE"/>
    <w:rsid w:val="00B2489A"/>
    <w:rsid w:val="00B34186"/>
    <w:rsid w:val="00B62C03"/>
    <w:rsid w:val="00BC0516"/>
    <w:rsid w:val="00C450BF"/>
    <w:rsid w:val="00C55670"/>
    <w:rsid w:val="00C75889"/>
    <w:rsid w:val="00CC5420"/>
    <w:rsid w:val="00D8766D"/>
    <w:rsid w:val="00DB68F3"/>
    <w:rsid w:val="00DD07D9"/>
    <w:rsid w:val="00DE1159"/>
    <w:rsid w:val="00DF70F6"/>
    <w:rsid w:val="00E63DC5"/>
    <w:rsid w:val="00E71C1B"/>
    <w:rsid w:val="00E74FFA"/>
    <w:rsid w:val="00EA0AD0"/>
    <w:rsid w:val="00EB6A3E"/>
    <w:rsid w:val="00EC4887"/>
    <w:rsid w:val="00EC4C76"/>
    <w:rsid w:val="00EF1C86"/>
    <w:rsid w:val="00EF640A"/>
    <w:rsid w:val="00F04C94"/>
    <w:rsid w:val="00F205EF"/>
    <w:rsid w:val="00F32B5F"/>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F20CF"/>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D0D58-EBD5-4DA1-854B-D2AFF193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363</Words>
  <Characters>1880</Characters>
  <Application>Microsoft Office Word</Application>
  <DocSecurity>0</DocSecurity>
  <Lines>56</Lines>
  <Paragraphs>33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City Co. FPAR Summary</dc:title>
  <dc:creator>DOE - NUTRITION (DOE)</dc:creator>
  <cp:lastModifiedBy>Bowman, Kelly (DOE)</cp:lastModifiedBy>
  <cp:revision>3</cp:revision>
  <cp:lastPrinted>2018-03-27T12:01:00Z</cp:lastPrinted>
  <dcterms:created xsi:type="dcterms:W3CDTF">2018-06-21T18:13:00Z</dcterms:created>
  <dcterms:modified xsi:type="dcterms:W3CDTF">2018-06-21T19:05:00Z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