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D1011D">
        <w:t>Cathedral of Faith Christian School</w:t>
      </w:r>
    </w:p>
    <w:p w:rsidR="00E63DC5" w:rsidRDefault="00E63DC5" w:rsidP="00E63DC5">
      <w:pPr>
        <w:pStyle w:val="NormalTNR"/>
      </w:pPr>
      <w:r w:rsidRPr="008B62AA">
        <w:rPr>
          <w:b/>
        </w:rPr>
        <w:t>Report Publication Date:</w:t>
      </w:r>
      <w:r>
        <w:t xml:space="preserve"> </w:t>
      </w:r>
      <w:r w:rsidR="00D1011D">
        <w:t>May 2017</w:t>
      </w:r>
    </w:p>
    <w:p w:rsidR="00E63DC5" w:rsidRDefault="00E63DC5" w:rsidP="00E63DC5">
      <w:pPr>
        <w:pStyle w:val="NormalTNR"/>
      </w:pPr>
      <w:r w:rsidRPr="008B62AA">
        <w:rPr>
          <w:b/>
        </w:rPr>
        <w:t>Administrative Review Dates:</w:t>
      </w:r>
      <w:r>
        <w:t xml:space="preserve"> </w:t>
      </w:r>
      <w:r w:rsidR="00D1011D">
        <w:t>May 9-11, 2017</w:t>
      </w:r>
    </w:p>
    <w:p w:rsidR="00E63DC5" w:rsidRDefault="00E63DC5" w:rsidP="00E63DC5">
      <w:pPr>
        <w:pStyle w:val="NormalTNR"/>
      </w:pPr>
      <w:r w:rsidRPr="008B62AA">
        <w:rPr>
          <w:b/>
        </w:rPr>
        <w:t>Review Month and Year:</w:t>
      </w:r>
      <w:r>
        <w:t xml:space="preserve"> </w:t>
      </w:r>
      <w:r w:rsidR="00D1011D">
        <w:t>April 2017</w:t>
      </w:r>
    </w:p>
    <w:p w:rsidR="00E63DC5" w:rsidRDefault="00E63DC5" w:rsidP="00E63DC5">
      <w:pPr>
        <w:pStyle w:val="NormalTNR"/>
      </w:pPr>
      <w:r w:rsidRPr="008B62AA">
        <w:rPr>
          <w:b/>
        </w:rPr>
        <w:t>Participating Programs:</w:t>
      </w:r>
      <w:r>
        <w:t xml:space="preserve"> </w:t>
      </w:r>
      <w:r w:rsidR="00D1011D">
        <w:t>NSLP, SBP, ASP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D1011D">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D1011D">
        <w:rPr>
          <w:sz w:val="28"/>
        </w:rPr>
        <w:t>April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D1011D" w:rsidP="00D1011D">
            <w:pPr>
              <w:pStyle w:val="NormalTNR"/>
              <w:spacing w:after="0"/>
              <w:rPr>
                <w:lang w:eastAsia="ja-JP"/>
              </w:rPr>
            </w:pPr>
            <w:r>
              <w:t xml:space="preserve">10 </w:t>
            </w:r>
            <w:r>
              <w:t xml:space="preserve">  </w:t>
            </w:r>
          </w:p>
        </w:tc>
        <w:tc>
          <w:tcPr>
            <w:tcW w:w="1563" w:type="dxa"/>
            <w:shd w:val="clear" w:color="auto" w:fill="auto"/>
            <w:vAlign w:val="center"/>
          </w:tcPr>
          <w:p w:rsidR="006C3986" w:rsidRPr="00690A00" w:rsidRDefault="00D1011D" w:rsidP="007B68D3">
            <w:pPr>
              <w:pStyle w:val="NormalTNR"/>
              <w:spacing w:after="0"/>
              <w:rPr>
                <w:lang w:eastAsia="ja-JP"/>
              </w:rPr>
            </w:pPr>
            <w:r>
              <w:rPr>
                <w:lang w:eastAsia="ja-JP"/>
              </w:rPr>
              <w:t>9</w:t>
            </w:r>
          </w:p>
        </w:tc>
        <w:tc>
          <w:tcPr>
            <w:tcW w:w="1027" w:type="dxa"/>
            <w:shd w:val="clear" w:color="auto" w:fill="auto"/>
            <w:vAlign w:val="center"/>
          </w:tcPr>
          <w:p w:rsidR="006C3986" w:rsidRPr="00690A00" w:rsidRDefault="00D1011D" w:rsidP="007B68D3">
            <w:pPr>
              <w:pStyle w:val="NormalTNR"/>
              <w:spacing w:after="0"/>
              <w:rPr>
                <w:lang w:eastAsia="ja-JP"/>
              </w:rPr>
            </w:pPr>
            <w:r>
              <w:t>33.33</w:t>
            </w:r>
          </w:p>
        </w:tc>
        <w:tc>
          <w:tcPr>
            <w:tcW w:w="1249" w:type="dxa"/>
            <w:shd w:val="clear" w:color="auto" w:fill="auto"/>
            <w:vAlign w:val="center"/>
          </w:tcPr>
          <w:p w:rsidR="006C3986" w:rsidRPr="00690A00" w:rsidRDefault="00D1011D" w:rsidP="007B68D3">
            <w:pPr>
              <w:pStyle w:val="NormalTNR"/>
              <w:spacing w:after="0"/>
              <w:rPr>
                <w:lang w:eastAsia="ja-JP"/>
              </w:rPr>
            </w:pPr>
            <w:r>
              <w:rPr>
                <w:lang w:eastAsia="ja-JP"/>
              </w:rPr>
              <w:t>4</w:t>
            </w:r>
          </w:p>
        </w:tc>
        <w:tc>
          <w:tcPr>
            <w:tcW w:w="1216" w:type="dxa"/>
            <w:shd w:val="clear" w:color="auto" w:fill="auto"/>
            <w:vAlign w:val="center"/>
          </w:tcPr>
          <w:p w:rsidR="006C3986" w:rsidRPr="00690A00" w:rsidRDefault="00D1011D" w:rsidP="007B68D3">
            <w:pPr>
              <w:pStyle w:val="NormalTNR"/>
              <w:spacing w:after="0"/>
              <w:rPr>
                <w:lang w:eastAsia="ja-JP"/>
              </w:rPr>
            </w:pPr>
            <w:r>
              <w:t>30.77</w:t>
            </w:r>
          </w:p>
        </w:tc>
        <w:tc>
          <w:tcPr>
            <w:tcW w:w="1860" w:type="dxa"/>
            <w:shd w:val="clear" w:color="auto" w:fill="auto"/>
            <w:vAlign w:val="center"/>
          </w:tcPr>
          <w:p w:rsidR="006C3986" w:rsidRPr="00690A00" w:rsidRDefault="00D1011D" w:rsidP="007B68D3">
            <w:pPr>
              <w:pStyle w:val="NormalTNR"/>
              <w:spacing w:after="0"/>
              <w:rPr>
                <w:lang w:eastAsia="ja-JP"/>
              </w:rPr>
            </w:pPr>
            <w:r>
              <w:t>560.04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D1011D" w:rsidP="007B68D3">
            <w:pPr>
              <w:pStyle w:val="NormalTNR"/>
              <w:spacing w:after="0"/>
              <w:rPr>
                <w:lang w:eastAsia="ja-JP"/>
              </w:rPr>
            </w:pPr>
            <w:r>
              <w:rPr>
                <w:lang w:eastAsia="ja-JP"/>
              </w:rPr>
              <w:t>2</w:t>
            </w:r>
          </w:p>
        </w:tc>
        <w:tc>
          <w:tcPr>
            <w:tcW w:w="1563" w:type="dxa"/>
            <w:shd w:val="clear" w:color="auto" w:fill="auto"/>
            <w:vAlign w:val="center"/>
          </w:tcPr>
          <w:p w:rsidR="006C3986" w:rsidRPr="00690A00" w:rsidRDefault="00D1011D" w:rsidP="007B68D3">
            <w:pPr>
              <w:pStyle w:val="NormalTNR"/>
              <w:spacing w:after="0"/>
              <w:rPr>
                <w:lang w:eastAsia="ja-JP"/>
              </w:rPr>
            </w:pPr>
            <w:r>
              <w:rPr>
                <w:lang w:eastAsia="ja-JP"/>
              </w:rPr>
              <w:t>2</w:t>
            </w:r>
          </w:p>
        </w:tc>
        <w:tc>
          <w:tcPr>
            <w:tcW w:w="1027" w:type="dxa"/>
            <w:shd w:val="clear" w:color="auto" w:fill="auto"/>
            <w:vAlign w:val="center"/>
          </w:tcPr>
          <w:p w:rsidR="006C3986" w:rsidRPr="00690A00" w:rsidRDefault="00D1011D" w:rsidP="007B68D3">
            <w:pPr>
              <w:pStyle w:val="NormalTNR"/>
              <w:spacing w:after="0"/>
              <w:rPr>
                <w:lang w:eastAsia="ja-JP"/>
              </w:rPr>
            </w:pPr>
            <w:r>
              <w:rPr>
                <w:lang w:eastAsia="ja-JP"/>
              </w:rPr>
              <w:t>7.41</w:t>
            </w:r>
          </w:p>
        </w:tc>
        <w:tc>
          <w:tcPr>
            <w:tcW w:w="1249" w:type="dxa"/>
            <w:shd w:val="clear" w:color="auto" w:fill="auto"/>
            <w:vAlign w:val="center"/>
          </w:tcPr>
          <w:p w:rsidR="006C3986" w:rsidRPr="00690A00" w:rsidRDefault="00D1011D" w:rsidP="007B68D3">
            <w:pPr>
              <w:pStyle w:val="NormalTNR"/>
              <w:spacing w:after="0"/>
              <w:rPr>
                <w:lang w:eastAsia="ja-JP"/>
              </w:rPr>
            </w:pPr>
            <w:r>
              <w:rPr>
                <w:lang w:eastAsia="ja-JP"/>
              </w:rPr>
              <w:t>2</w:t>
            </w:r>
          </w:p>
        </w:tc>
        <w:tc>
          <w:tcPr>
            <w:tcW w:w="1216" w:type="dxa"/>
            <w:shd w:val="clear" w:color="auto" w:fill="auto"/>
            <w:vAlign w:val="center"/>
          </w:tcPr>
          <w:p w:rsidR="006C3986" w:rsidRPr="00690A00" w:rsidRDefault="00D1011D" w:rsidP="007B68D3">
            <w:pPr>
              <w:pStyle w:val="NormalTNR"/>
              <w:spacing w:after="0"/>
              <w:rPr>
                <w:lang w:eastAsia="ja-JP"/>
              </w:rPr>
            </w:pPr>
            <w:r>
              <w:rPr>
                <w:lang w:eastAsia="ja-JP"/>
              </w:rPr>
              <w:t>15.38</w:t>
            </w:r>
          </w:p>
        </w:tc>
        <w:tc>
          <w:tcPr>
            <w:tcW w:w="1860" w:type="dxa"/>
            <w:shd w:val="clear" w:color="auto" w:fill="auto"/>
            <w:vAlign w:val="center"/>
          </w:tcPr>
          <w:p w:rsidR="006C3986" w:rsidRPr="00690A00" w:rsidRDefault="00D1011D" w:rsidP="007B68D3">
            <w:pPr>
              <w:pStyle w:val="NormalTNR"/>
              <w:spacing w:after="0"/>
              <w:rPr>
                <w:lang w:eastAsia="ja-JP"/>
              </w:rPr>
            </w:pPr>
            <w:r>
              <w:rPr>
                <w:lang w:eastAsia="ja-JP"/>
              </w:rPr>
              <w:t>126.90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D1011D" w:rsidP="007B68D3">
            <w:pPr>
              <w:pStyle w:val="NormalTNR"/>
              <w:spacing w:after="0"/>
              <w:rPr>
                <w:lang w:eastAsia="ja-JP"/>
              </w:rPr>
            </w:pPr>
            <w:r>
              <w:rPr>
                <w:lang w:eastAsia="ja-JP"/>
              </w:rPr>
              <w:t>17</w:t>
            </w:r>
          </w:p>
        </w:tc>
        <w:tc>
          <w:tcPr>
            <w:tcW w:w="1563" w:type="dxa"/>
            <w:shd w:val="clear" w:color="auto" w:fill="auto"/>
            <w:vAlign w:val="center"/>
          </w:tcPr>
          <w:p w:rsidR="006C3986" w:rsidRPr="00690A00" w:rsidRDefault="00D1011D" w:rsidP="007B68D3">
            <w:pPr>
              <w:pStyle w:val="NormalTNR"/>
              <w:spacing w:after="0"/>
              <w:rPr>
                <w:lang w:eastAsia="ja-JP"/>
              </w:rPr>
            </w:pPr>
            <w:r>
              <w:rPr>
                <w:lang w:eastAsia="ja-JP"/>
              </w:rPr>
              <w:t>16</w:t>
            </w:r>
          </w:p>
        </w:tc>
        <w:tc>
          <w:tcPr>
            <w:tcW w:w="1027" w:type="dxa"/>
            <w:shd w:val="clear" w:color="auto" w:fill="auto"/>
            <w:vAlign w:val="center"/>
          </w:tcPr>
          <w:p w:rsidR="006C3986" w:rsidRPr="00690A00" w:rsidRDefault="00D1011D" w:rsidP="007B68D3">
            <w:pPr>
              <w:pStyle w:val="NormalTNR"/>
              <w:spacing w:after="0"/>
              <w:rPr>
                <w:lang w:eastAsia="ja-JP"/>
              </w:rPr>
            </w:pPr>
            <w:r>
              <w:rPr>
                <w:lang w:eastAsia="ja-JP"/>
              </w:rPr>
              <w:t>55.56</w:t>
            </w:r>
          </w:p>
        </w:tc>
        <w:tc>
          <w:tcPr>
            <w:tcW w:w="1249" w:type="dxa"/>
            <w:shd w:val="clear" w:color="auto" w:fill="auto"/>
            <w:vAlign w:val="center"/>
          </w:tcPr>
          <w:p w:rsidR="006C3986" w:rsidRPr="00690A00" w:rsidRDefault="00D1011D" w:rsidP="007B68D3">
            <w:pPr>
              <w:pStyle w:val="NormalTNR"/>
              <w:spacing w:after="0"/>
              <w:rPr>
                <w:lang w:eastAsia="ja-JP"/>
              </w:rPr>
            </w:pPr>
            <w:r>
              <w:rPr>
                <w:lang w:eastAsia="ja-JP"/>
              </w:rPr>
              <w:t>7</w:t>
            </w:r>
          </w:p>
        </w:tc>
        <w:tc>
          <w:tcPr>
            <w:tcW w:w="1216" w:type="dxa"/>
            <w:shd w:val="clear" w:color="auto" w:fill="auto"/>
            <w:vAlign w:val="center"/>
          </w:tcPr>
          <w:p w:rsidR="006C3986" w:rsidRPr="00690A00" w:rsidRDefault="00D1011D" w:rsidP="007B68D3">
            <w:pPr>
              <w:pStyle w:val="NormalTNR"/>
              <w:spacing w:after="0"/>
              <w:rPr>
                <w:lang w:eastAsia="ja-JP"/>
              </w:rPr>
            </w:pPr>
            <w:r>
              <w:rPr>
                <w:lang w:eastAsia="ja-JP"/>
              </w:rPr>
              <w:t>53.85</w:t>
            </w:r>
          </w:p>
        </w:tc>
        <w:tc>
          <w:tcPr>
            <w:tcW w:w="1860" w:type="dxa"/>
            <w:shd w:val="clear" w:color="auto" w:fill="auto"/>
            <w:vAlign w:val="center"/>
          </w:tcPr>
          <w:p w:rsidR="006C3986" w:rsidRPr="00690A00" w:rsidRDefault="00D1011D" w:rsidP="007B68D3">
            <w:pPr>
              <w:pStyle w:val="NormalTNR"/>
              <w:spacing w:after="0"/>
              <w:rPr>
                <w:lang w:eastAsia="ja-JP"/>
              </w:rPr>
            </w:pPr>
            <w:r>
              <w:rPr>
                <w:lang w:eastAsia="ja-JP"/>
              </w:rPr>
              <w:t>112.16</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D1011D" w:rsidP="007B68D3">
            <w:pPr>
              <w:pStyle w:val="NormalTNR"/>
              <w:spacing w:after="0"/>
              <w:rPr>
                <w:b/>
                <w:lang w:eastAsia="ja-JP"/>
              </w:rPr>
            </w:pPr>
            <w:r>
              <w:rPr>
                <w:b/>
                <w:lang w:eastAsia="ja-JP"/>
              </w:rPr>
              <w:t>29</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D1011D" w:rsidP="007B68D3">
            <w:pPr>
              <w:pStyle w:val="NormalTNR"/>
              <w:spacing w:after="0"/>
              <w:rPr>
                <w:b/>
                <w:lang w:eastAsia="ja-JP"/>
              </w:rPr>
            </w:pPr>
            <w:r>
              <w:rPr>
                <w:b/>
                <w:lang w:eastAsia="ja-JP"/>
              </w:rPr>
              <w:t>799.10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D1011D"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Eligibility status of selected application was incorrectly determined.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D1011D"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Verification notification was not sent to household.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D1011D" w:rsidRDefault="00D1011D"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Benefit issuance error resulted in meal claiming errors.</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D1011D"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D1011D"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D1011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D1011D" w:rsidRDefault="00C60F05"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D1011D"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D1011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D1011D"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60F05"/>
    <w:rsid w:val="00C75889"/>
    <w:rsid w:val="00CC5420"/>
    <w:rsid w:val="00D1011D"/>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502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1A9C-F6C5-4B13-84ED-326C72E6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Cathedral of Faith Christian School FPAR Summary</vt:lpstr>
    </vt:vector>
  </TitlesOfParts>
  <Company>Virginia IT Infrastructure Partnership</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 of Faith Christian School FPAR Summary</dc:title>
  <dc:subject>Nutrition</dc:subject>
  <dc:creator>DOE - NUTRITION (DOE)</dc:creator>
  <cp:lastModifiedBy>Bowman, Kelly (DOE)</cp:lastModifiedBy>
  <cp:revision>4</cp:revision>
  <cp:lastPrinted>2018-03-27T12:01:00Z</cp:lastPrinted>
  <dcterms:created xsi:type="dcterms:W3CDTF">2018-04-04T18:50:00Z</dcterms:created>
  <dcterms:modified xsi:type="dcterms:W3CDTF">2018-04-04T18:55:00Z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