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467E1" w14:textId="77777777" w:rsidR="008227D1" w:rsidRPr="009E1EBE" w:rsidRDefault="008227D1" w:rsidP="00BE4587">
      <w:pPr>
        <w:jc w:val="center"/>
      </w:pPr>
      <w:bookmarkStart w:id="0" w:name="_GoBack"/>
      <w:bookmarkEnd w:id="0"/>
      <w:r w:rsidRPr="009E1EBE">
        <w:t>DEPARTMENT OF EDUCATION</w:t>
      </w:r>
    </w:p>
    <w:p w14:paraId="59C2039F" w14:textId="77777777" w:rsidR="008227D1" w:rsidRPr="009E1EBE" w:rsidRDefault="008227D1" w:rsidP="008227D1">
      <w:pPr>
        <w:jc w:val="center"/>
      </w:pPr>
      <w:r w:rsidRPr="009E1EBE">
        <w:t>P. O. BOX 2120</w:t>
      </w:r>
    </w:p>
    <w:p w14:paraId="0311BF49" w14:textId="77777777" w:rsidR="008227D1" w:rsidRPr="009E1EBE" w:rsidRDefault="008227D1" w:rsidP="008227D1">
      <w:pPr>
        <w:jc w:val="center"/>
      </w:pPr>
      <w:r w:rsidRPr="009E1EBE">
        <w:t>Richmond, Virginia 23218-2120</w:t>
      </w:r>
    </w:p>
    <w:p w14:paraId="5AE402CC" w14:textId="77777777" w:rsidR="008227D1" w:rsidRPr="009E1EBE" w:rsidRDefault="008227D1" w:rsidP="008227D1">
      <w:pPr>
        <w:jc w:val="center"/>
      </w:pPr>
    </w:p>
    <w:p w14:paraId="784C3D8D" w14:textId="1E74C084" w:rsidR="008227D1" w:rsidRPr="00F32F24" w:rsidRDefault="008227D1" w:rsidP="00C12EF0">
      <w:pPr>
        <w:pStyle w:val="Heading1"/>
        <w:rPr>
          <w:b w:val="0"/>
          <w:sz w:val="24"/>
        </w:rPr>
      </w:pPr>
      <w:r w:rsidRPr="00F32F24">
        <w:rPr>
          <w:b w:val="0"/>
          <w:sz w:val="24"/>
        </w:rPr>
        <w:t>A</w:t>
      </w:r>
      <w:r w:rsidR="0092019B" w:rsidRPr="00F32F24">
        <w:rPr>
          <w:b w:val="0"/>
          <w:sz w:val="24"/>
        </w:rPr>
        <w:t>dult</w:t>
      </w:r>
      <w:r w:rsidRPr="00F32F24">
        <w:rPr>
          <w:b w:val="0"/>
          <w:sz w:val="24"/>
        </w:rPr>
        <w:t xml:space="preserve"> E</w:t>
      </w:r>
      <w:r w:rsidR="0092019B" w:rsidRPr="00F32F24">
        <w:rPr>
          <w:b w:val="0"/>
          <w:sz w:val="24"/>
        </w:rPr>
        <w:t>ducation</w:t>
      </w:r>
      <w:r w:rsidRPr="00F32F24">
        <w:rPr>
          <w:b w:val="0"/>
          <w:sz w:val="24"/>
        </w:rPr>
        <w:t xml:space="preserve"> M</w:t>
      </w:r>
      <w:r w:rsidR="0092019B" w:rsidRPr="00F32F24">
        <w:rPr>
          <w:b w:val="0"/>
          <w:sz w:val="24"/>
        </w:rPr>
        <w:t>emo</w:t>
      </w:r>
      <w:r w:rsidRPr="00F32F24">
        <w:rPr>
          <w:b w:val="0"/>
          <w:sz w:val="24"/>
        </w:rPr>
        <w:t xml:space="preserve"> N</w:t>
      </w:r>
      <w:r w:rsidR="0092019B" w:rsidRPr="00F32F24">
        <w:rPr>
          <w:b w:val="0"/>
          <w:sz w:val="24"/>
        </w:rPr>
        <w:t>o</w:t>
      </w:r>
      <w:r w:rsidRPr="00F32F24">
        <w:rPr>
          <w:b w:val="0"/>
          <w:sz w:val="24"/>
        </w:rPr>
        <w:t xml:space="preserve">. </w:t>
      </w:r>
      <w:r w:rsidR="00125FE7" w:rsidRPr="00F32F24">
        <w:rPr>
          <w:b w:val="0"/>
          <w:sz w:val="24"/>
        </w:rPr>
        <w:t>018</w:t>
      </w:r>
      <w:r w:rsidRPr="00F32F24">
        <w:rPr>
          <w:b w:val="0"/>
          <w:sz w:val="24"/>
        </w:rPr>
        <w:t>-1</w:t>
      </w:r>
      <w:r w:rsidR="00125FE7" w:rsidRPr="00F32F24">
        <w:rPr>
          <w:b w:val="0"/>
          <w:sz w:val="24"/>
        </w:rPr>
        <w:t>9</w:t>
      </w:r>
      <w:r w:rsidRPr="00F32F24">
        <w:rPr>
          <w:b w:val="0"/>
          <w:sz w:val="24"/>
        </w:rPr>
        <w:t xml:space="preserve"> </w:t>
      </w:r>
    </w:p>
    <w:p w14:paraId="1FE23B38" w14:textId="77777777" w:rsidR="008227D1" w:rsidRPr="009E1EBE" w:rsidRDefault="008227D1" w:rsidP="008227D1">
      <w:pPr>
        <w:jc w:val="center"/>
        <w:rPr>
          <w:u w:val="single"/>
        </w:rPr>
      </w:pPr>
    </w:p>
    <w:p w14:paraId="45068386" w14:textId="22A1D028" w:rsidR="008227D1" w:rsidRPr="009E1EBE" w:rsidRDefault="008227D1" w:rsidP="008227D1">
      <w:pPr>
        <w:spacing w:after="200"/>
      </w:pPr>
      <w:r w:rsidRPr="009E1EBE">
        <w:rPr>
          <w:b/>
        </w:rPr>
        <w:t>DATE:</w:t>
      </w:r>
      <w:r w:rsidR="009365D2" w:rsidRPr="009E1EBE">
        <w:tab/>
      </w:r>
      <w:r w:rsidR="00C239A2">
        <w:t>July 1, 2019</w:t>
      </w:r>
    </w:p>
    <w:p w14:paraId="25F07DA7" w14:textId="77777777" w:rsidR="008227D1" w:rsidRPr="009E1EBE" w:rsidRDefault="008227D1" w:rsidP="008227D1">
      <w:pPr>
        <w:pStyle w:val="NormalWeb"/>
        <w:spacing w:before="0" w:beforeAutospacing="0" w:after="200" w:afterAutospacing="0"/>
      </w:pPr>
      <w:r w:rsidRPr="009E1EBE">
        <w:rPr>
          <w:b/>
        </w:rPr>
        <w:t>TO:</w:t>
      </w:r>
      <w:r w:rsidRPr="009E1EBE">
        <w:t xml:space="preserve"> </w:t>
      </w:r>
      <w:r w:rsidRPr="009E1EBE">
        <w:tab/>
      </w:r>
      <w:r w:rsidRPr="009E1EBE">
        <w:tab/>
        <w:t>Adult Education Program Administrators</w:t>
      </w:r>
    </w:p>
    <w:p w14:paraId="2E9A24C8" w14:textId="11BD176C" w:rsidR="00D877A6" w:rsidRPr="009E1EBE" w:rsidRDefault="008227D1" w:rsidP="00E12819">
      <w:pPr>
        <w:pStyle w:val="NormalWeb"/>
        <w:spacing w:before="0" w:beforeAutospacing="0" w:after="0" w:afterAutospacing="0"/>
        <w:rPr>
          <w:szCs w:val="22"/>
        </w:rPr>
      </w:pPr>
      <w:r w:rsidRPr="009E1EBE">
        <w:rPr>
          <w:b/>
        </w:rPr>
        <w:t>FROM:</w:t>
      </w:r>
      <w:r w:rsidRPr="009E1EBE">
        <w:t xml:space="preserve"> </w:t>
      </w:r>
      <w:r w:rsidRPr="009E1EBE">
        <w:tab/>
      </w:r>
      <w:r w:rsidR="008E6883" w:rsidRPr="009E1EBE">
        <w:t>George R. Willcox, Director</w:t>
      </w:r>
      <w:r w:rsidR="00C239A2">
        <w:t>, Operations and Accountability</w:t>
      </w:r>
    </w:p>
    <w:p w14:paraId="3C6048AD" w14:textId="74A9BF97" w:rsidR="00BE4587" w:rsidRPr="009E1EBE" w:rsidRDefault="00BE4587" w:rsidP="00E12819">
      <w:pPr>
        <w:pStyle w:val="NormalWeb"/>
        <w:spacing w:before="0" w:beforeAutospacing="0" w:after="0" w:afterAutospacing="0"/>
        <w:ind w:left="720" w:firstLine="720"/>
      </w:pPr>
      <w:r w:rsidRPr="009E1EBE">
        <w:rPr>
          <w:szCs w:val="22"/>
        </w:rPr>
        <w:t>Office of Career, Technical, and Adult Education</w:t>
      </w:r>
    </w:p>
    <w:p w14:paraId="6A81D9E8" w14:textId="000A4327" w:rsidR="008227D1" w:rsidRPr="009E1EBE" w:rsidRDefault="008227D1" w:rsidP="006B1B29">
      <w:pPr>
        <w:pStyle w:val="Heading2"/>
        <w:spacing w:after="240"/>
        <w:rPr>
          <w:rFonts w:ascii="Times New Roman" w:eastAsia="Times New Roman" w:hAnsi="Times New Roman" w:cs="Times New Roman"/>
          <w:color w:val="auto"/>
          <w:sz w:val="24"/>
          <w:szCs w:val="24"/>
        </w:rPr>
      </w:pPr>
      <w:r w:rsidRPr="009E1EBE">
        <w:rPr>
          <w:rFonts w:ascii="Times New Roman" w:eastAsia="Times New Roman" w:hAnsi="Times New Roman" w:cs="Times New Roman"/>
          <w:color w:val="auto"/>
          <w:sz w:val="24"/>
          <w:szCs w:val="24"/>
        </w:rPr>
        <w:t>SUBJECT:</w:t>
      </w:r>
      <w:r w:rsidRPr="009E1EBE">
        <w:rPr>
          <w:rFonts w:ascii="Times New Roman" w:eastAsia="Times New Roman" w:hAnsi="Times New Roman" w:cs="Times New Roman"/>
          <w:color w:val="auto"/>
          <w:sz w:val="24"/>
          <w:szCs w:val="24"/>
        </w:rPr>
        <w:tab/>
      </w:r>
      <w:r w:rsidR="00125FE7">
        <w:rPr>
          <w:rFonts w:ascii="Times New Roman" w:eastAsia="Times New Roman" w:hAnsi="Times New Roman" w:cs="Times New Roman"/>
          <w:color w:val="auto"/>
          <w:sz w:val="24"/>
          <w:szCs w:val="24"/>
        </w:rPr>
        <w:t xml:space="preserve">Revisions to </w:t>
      </w:r>
      <w:r w:rsidRPr="009E1EBE">
        <w:rPr>
          <w:rFonts w:ascii="Times New Roman" w:hAnsi="Times New Roman" w:cs="Times New Roman"/>
          <w:color w:val="auto"/>
          <w:sz w:val="24"/>
          <w:szCs w:val="24"/>
        </w:rPr>
        <w:t xml:space="preserve">Career and Training </w:t>
      </w:r>
      <w:r w:rsidR="004D5D81" w:rsidRPr="009E1EBE">
        <w:rPr>
          <w:rFonts w:ascii="Times New Roman" w:hAnsi="Times New Roman" w:cs="Times New Roman"/>
          <w:color w:val="auto"/>
          <w:sz w:val="24"/>
          <w:szCs w:val="24"/>
        </w:rPr>
        <w:t xml:space="preserve">Services </w:t>
      </w:r>
      <w:r w:rsidRPr="009E1EBE">
        <w:rPr>
          <w:rFonts w:ascii="Times New Roman" w:hAnsi="Times New Roman" w:cs="Times New Roman"/>
          <w:color w:val="auto"/>
          <w:sz w:val="24"/>
          <w:szCs w:val="24"/>
        </w:rPr>
        <w:t>Reporting Guidance</w:t>
      </w:r>
    </w:p>
    <w:p w14:paraId="0DEC40BA" w14:textId="46D2D62F" w:rsidR="006C2818" w:rsidRDefault="006C2818" w:rsidP="006C2818">
      <w:r>
        <w:t xml:space="preserve">Revised guidance from the U.S. Department of Education, received June 18, 2019, states that </w:t>
      </w:r>
      <w:r w:rsidRPr="009E1EBE">
        <w:t>Adult Education and Family Literacy Act (AEFLA)</w:t>
      </w:r>
      <w:r>
        <w:t xml:space="preserve"> funds may be used for the costs of credentials, certificates, and licenses as part of an integrated education and training </w:t>
      </w:r>
      <w:r w:rsidR="00101A2C">
        <w:t xml:space="preserve">(IET) </w:t>
      </w:r>
      <w:r>
        <w:t xml:space="preserve">program. This guidance is in effect for </w:t>
      </w:r>
      <w:r w:rsidRPr="009E1EBE">
        <w:t>Virginia adult education providers</w:t>
      </w:r>
      <w:r w:rsidR="00101A2C">
        <w:t xml:space="preserve"> delivering an IET program</w:t>
      </w:r>
      <w:r>
        <w:t xml:space="preserve"> as of July 1, 2019.</w:t>
      </w:r>
    </w:p>
    <w:p w14:paraId="707BC311" w14:textId="77777777" w:rsidR="00125FE7" w:rsidRDefault="00125FE7" w:rsidP="00A40AFD"/>
    <w:p w14:paraId="56F7597D" w14:textId="77777777" w:rsidR="00125FE7" w:rsidRDefault="00125FE7" w:rsidP="00125FE7">
      <w:r w:rsidRPr="009E1EBE">
        <w:t>The Workforce Innovation and Opportunity Act (WIOA) is designed to help job seekers access education, training, support services, and employment to succeed in the labor market and to match employers with the skilled workers they need to compete in the global economy. To support this goal, job seekers and students should be provided with career and training services to assist</w:t>
      </w:r>
      <w:r>
        <w:t xml:space="preserve"> in</w:t>
      </w:r>
      <w:r w:rsidRPr="009E1EBE">
        <w:t xml:space="preserve"> their career advancement. State workforce agencies </w:t>
      </w:r>
      <w:r>
        <w:t>are required to report</w:t>
      </w:r>
      <w:r w:rsidRPr="009E1EBE">
        <w:t xml:space="preserve"> the costs </w:t>
      </w:r>
      <w:r>
        <w:t xml:space="preserve">that </w:t>
      </w:r>
      <w:r w:rsidRPr="009E1EBE">
        <w:t xml:space="preserve">their local providers </w:t>
      </w:r>
      <w:r>
        <w:t>identify as</w:t>
      </w:r>
      <w:r w:rsidRPr="009E1EBE">
        <w:t xml:space="preserve"> these services on the</w:t>
      </w:r>
      <w:r>
        <w:t xml:space="preserve"> annual</w:t>
      </w:r>
      <w:r w:rsidRPr="009E1EBE">
        <w:t xml:space="preserve"> Statewide Performance Report.</w:t>
      </w:r>
    </w:p>
    <w:p w14:paraId="31161D65" w14:textId="77937EFE" w:rsidR="0074252E" w:rsidRPr="009E1EBE" w:rsidRDefault="005A61E7" w:rsidP="00A40AFD">
      <w:r w:rsidRPr="009E1EBE">
        <w:t>This guidance is based on federal guidance published by the U.S. Department of Labor and</w:t>
      </w:r>
      <w:r w:rsidR="006D7C0C">
        <w:t xml:space="preserve"> the U.S. Department of</w:t>
      </w:r>
      <w:r w:rsidRPr="009E1EBE">
        <w:t xml:space="preserve"> Education, issued as </w:t>
      </w:r>
      <w:hyperlink r:id="rId8" w:history="1">
        <w:r w:rsidRPr="009E1EBE">
          <w:rPr>
            <w:rStyle w:val="Hyperlink"/>
          </w:rPr>
          <w:t>Program Memo 17-2</w:t>
        </w:r>
      </w:hyperlink>
      <w:r w:rsidRPr="009E1EBE">
        <w:t xml:space="preserve"> (August 23, 2017). </w:t>
      </w:r>
      <w:r w:rsidR="0074252E" w:rsidRPr="009E1EBE">
        <w:t>Note</w:t>
      </w:r>
      <w:r w:rsidR="00B6567C" w:rsidRPr="009E1EBE">
        <w:t xml:space="preserve"> that</w:t>
      </w:r>
      <w:r w:rsidR="0074252E" w:rsidRPr="009E1EBE">
        <w:t xml:space="preserve"> state funds are not </w:t>
      </w:r>
      <w:r w:rsidR="006D7C0C">
        <w:t>reported</w:t>
      </w:r>
      <w:r w:rsidR="0074252E" w:rsidRPr="009E1EBE">
        <w:t xml:space="preserve"> </w:t>
      </w:r>
      <w:r w:rsidR="00042F7F" w:rsidRPr="009E1EBE">
        <w:t>through this process</w:t>
      </w:r>
      <w:r w:rsidR="0074252E" w:rsidRPr="009E1EBE">
        <w:t>.</w:t>
      </w:r>
    </w:p>
    <w:p w14:paraId="7D7B13EE" w14:textId="77777777" w:rsidR="009F755F" w:rsidRDefault="009F755F" w:rsidP="00A40AFD"/>
    <w:p w14:paraId="75F13F63" w14:textId="20DC882C" w:rsidR="007369C3" w:rsidRDefault="009F755F" w:rsidP="00E12819">
      <w:r>
        <w:t>G</w:t>
      </w:r>
      <w:r w:rsidR="00327FE3">
        <w:t>R</w:t>
      </w:r>
      <w:r>
        <w:t>W/HSP/</w:t>
      </w:r>
      <w:r w:rsidR="00C239A2">
        <w:t>sed</w:t>
      </w:r>
    </w:p>
    <w:p w14:paraId="75B88F90" w14:textId="77777777" w:rsidR="009F755F" w:rsidRDefault="009F755F" w:rsidP="00E12819"/>
    <w:p w14:paraId="1AF97F94" w14:textId="48E8EC80" w:rsidR="009F755F" w:rsidRPr="009E1EBE" w:rsidRDefault="009F755F" w:rsidP="00E12819">
      <w:r>
        <w:t>Attachment</w:t>
      </w:r>
    </w:p>
    <w:p w14:paraId="4319B44C" w14:textId="77777777" w:rsidR="007369C3" w:rsidRPr="009E1EBE" w:rsidRDefault="007369C3" w:rsidP="00442CF3">
      <w:pPr>
        <w:spacing w:after="120" w:line="276" w:lineRule="auto"/>
        <w:sectPr w:rsidR="007369C3" w:rsidRPr="009E1EBE" w:rsidSect="005E4E97">
          <w:headerReference w:type="default" r:id="rId9"/>
          <w:footerReference w:type="default" r:id="rId10"/>
          <w:pgSz w:w="12240" w:h="15840"/>
          <w:pgMar w:top="1440" w:right="1440" w:bottom="1440" w:left="1440" w:header="720" w:footer="720" w:gutter="0"/>
          <w:cols w:space="720"/>
          <w:titlePg/>
          <w:docGrid w:linePitch="360"/>
        </w:sectPr>
      </w:pPr>
    </w:p>
    <w:p w14:paraId="513BFA46" w14:textId="02A0E9DD" w:rsidR="006D030E" w:rsidRPr="009E1EBE" w:rsidRDefault="008E6883" w:rsidP="006D030E">
      <w:pPr>
        <w:pStyle w:val="Heading2"/>
        <w:rPr>
          <w:rFonts w:ascii="Times New Roman" w:hAnsi="Times New Roman" w:cs="Times New Roman"/>
          <w:color w:val="auto"/>
        </w:rPr>
      </w:pPr>
      <w:r w:rsidRPr="009E1EBE">
        <w:rPr>
          <w:rFonts w:ascii="Times New Roman" w:hAnsi="Times New Roman" w:cs="Times New Roman"/>
          <w:color w:val="auto"/>
        </w:rPr>
        <w:lastRenderedPageBreak/>
        <w:t xml:space="preserve">Attachment A: </w:t>
      </w:r>
      <w:r w:rsidR="006D030E" w:rsidRPr="009E1EBE">
        <w:rPr>
          <w:rFonts w:ascii="Times New Roman" w:hAnsi="Times New Roman" w:cs="Times New Roman"/>
          <w:color w:val="auto"/>
        </w:rPr>
        <w:t xml:space="preserve">Career and Training </w:t>
      </w:r>
      <w:r w:rsidR="004D5D81" w:rsidRPr="009E1EBE">
        <w:rPr>
          <w:rFonts w:ascii="Times New Roman" w:hAnsi="Times New Roman" w:cs="Times New Roman"/>
          <w:color w:val="auto"/>
        </w:rPr>
        <w:t xml:space="preserve">Services </w:t>
      </w:r>
      <w:r w:rsidR="006D030E" w:rsidRPr="009E1EBE">
        <w:rPr>
          <w:rFonts w:ascii="Times New Roman" w:hAnsi="Times New Roman" w:cs="Times New Roman"/>
          <w:color w:val="auto"/>
        </w:rPr>
        <w:t>Reporting</w:t>
      </w:r>
    </w:p>
    <w:p w14:paraId="7FE46830" w14:textId="65B02201" w:rsidR="006D030E" w:rsidRPr="009E1EBE" w:rsidRDefault="006D030E" w:rsidP="00C239A2">
      <w:pPr>
        <w:spacing w:before="240" w:after="120" w:line="276" w:lineRule="auto"/>
      </w:pPr>
      <w:r w:rsidRPr="009E1EBE">
        <w:t xml:space="preserve">Table 1 describes allowable career or training services for </w:t>
      </w:r>
      <w:r w:rsidR="004D5D81" w:rsidRPr="009E1EBE">
        <w:t>title II grantees. Some of the</w:t>
      </w:r>
      <w:r w:rsidRPr="009E1EBE">
        <w:t xml:space="preserve"> career services represent activities and functions provided as part of regular programming by adult education providers. Other career services </w:t>
      </w:r>
      <w:r w:rsidR="009E1EBE">
        <w:t>may be</w:t>
      </w:r>
      <w:r w:rsidRPr="009E1EBE">
        <w:t xml:space="preserve"> new to adult education providers and should be incorporated into federally</w:t>
      </w:r>
      <w:r w:rsidR="00C45646">
        <w:t xml:space="preserve"> </w:t>
      </w:r>
      <w:r w:rsidRPr="009E1EBE">
        <w:t xml:space="preserve">funded programming to realize the vision of WIOA for all clients. </w:t>
      </w:r>
    </w:p>
    <w:p w14:paraId="787E04BA" w14:textId="51839CE4" w:rsidR="006D030E" w:rsidRPr="009E1EBE" w:rsidRDefault="006D030E" w:rsidP="00C239A2">
      <w:pPr>
        <w:spacing w:after="120" w:line="276" w:lineRule="auto"/>
      </w:pPr>
      <w:r w:rsidRPr="009E1EBE">
        <w:t>The left column of the table comes directly from the federal guidance; the right column of the table is a crosswalk, listing four major categories of services. To create meaningful categories of costs, two sets of rows from the federal table are grouped together to reflect how services are typically provided</w:t>
      </w:r>
      <w:r w:rsidR="005A61E7" w:rsidRPr="009E1EBE">
        <w:t xml:space="preserve"> in adult education</w:t>
      </w:r>
      <w:r w:rsidRPr="009E1EBE">
        <w:t xml:space="preserve">. For each category, a non-exhaustive list of allowable costs </w:t>
      </w:r>
      <w:r w:rsidR="00B6567C" w:rsidRPr="009E1EBE">
        <w:t>follow</w:t>
      </w:r>
      <w:r w:rsidR="009E1EBE">
        <w:t>s</w:t>
      </w:r>
      <w:r w:rsidRPr="009E1EBE">
        <w:t xml:space="preserve">. </w:t>
      </w:r>
    </w:p>
    <w:p w14:paraId="04FD2B4C" w14:textId="7F7258E8" w:rsidR="006D030E" w:rsidRPr="009E1EBE" w:rsidRDefault="006D030E" w:rsidP="00C239A2">
      <w:pPr>
        <w:spacing w:after="120" w:line="276" w:lineRule="auto"/>
      </w:pPr>
      <w:r w:rsidRPr="009E1EBE">
        <w:t>Each fiscal agent should develop a procedure for documenting the percentage of staff time</w:t>
      </w:r>
      <w:r w:rsidR="00B6567C" w:rsidRPr="009E1EBE">
        <w:t xml:space="preserve"> devoted to allowable activities</w:t>
      </w:r>
      <w:r w:rsidRPr="009E1EBE">
        <w:t xml:space="preserve">, based on </w:t>
      </w:r>
      <w:r w:rsidR="00C45646" w:rsidRPr="009E1EBE">
        <w:t xml:space="preserve">local wages </w:t>
      </w:r>
      <w:r w:rsidR="00C45646">
        <w:t xml:space="preserve">and </w:t>
      </w:r>
      <w:r w:rsidRPr="009E1EBE">
        <w:t xml:space="preserve">how these services are offered </w:t>
      </w:r>
      <w:r w:rsidR="00B6567C" w:rsidRPr="009E1EBE">
        <w:t>in various setting</w:t>
      </w:r>
      <w:r w:rsidRPr="009E1EBE">
        <w:t>s (One-S</w:t>
      </w:r>
      <w:r w:rsidR="005A61E7" w:rsidRPr="009E1EBE">
        <w:t>top Center, satellite class</w:t>
      </w:r>
      <w:r w:rsidRPr="009E1EBE">
        <w:t xml:space="preserve">, college campus, etc.). This </w:t>
      </w:r>
      <w:r w:rsidR="005A61E7" w:rsidRPr="009E1EBE">
        <w:t>cost methodology</w:t>
      </w:r>
      <w:r w:rsidRPr="009E1EBE">
        <w:t xml:space="preserve"> could include an analysis of time and effort reports, a time log, or other analys</w:t>
      </w:r>
      <w:r w:rsidR="00C45646">
        <w:t>e</w:t>
      </w:r>
      <w:r w:rsidRPr="009E1EBE">
        <w:t xml:space="preserve">s approved by the state office. </w:t>
      </w:r>
      <w:r w:rsidR="00C45646">
        <w:t>To standardize reporting, f</w:t>
      </w:r>
      <w:r w:rsidR="00C45646" w:rsidRPr="009E1EBE">
        <w:t xml:space="preserve">iscal </w:t>
      </w:r>
      <w:r w:rsidRPr="009E1EBE">
        <w:t xml:space="preserve">agents must identify personnel and material costs associated with these services </w:t>
      </w:r>
      <w:r w:rsidR="00C45646">
        <w:t>as</w:t>
      </w:r>
      <w:r w:rsidR="00C45646" w:rsidRPr="009E1EBE">
        <w:t xml:space="preserve"> </w:t>
      </w:r>
      <w:r w:rsidRPr="009E1EBE">
        <w:t xml:space="preserve">estimates in their budget workbooks at the time of grant application and submit actual career service expense reports </w:t>
      </w:r>
      <w:r w:rsidR="00C239A2">
        <w:t>annually</w:t>
      </w:r>
      <w:r w:rsidR="00C239A2" w:rsidRPr="009E1EBE">
        <w:t xml:space="preserve"> </w:t>
      </w:r>
      <w:r w:rsidR="005A61E7" w:rsidRPr="009E1EBE">
        <w:t>on</w:t>
      </w:r>
      <w:r w:rsidRPr="009E1EBE">
        <w:t xml:space="preserve"> the Career and Training Services Expense Form.</w:t>
      </w:r>
      <w:r w:rsidR="00C239A2">
        <w:t xml:space="preserve"> Note </w:t>
      </w:r>
      <w:r w:rsidR="00C45646">
        <w:t xml:space="preserve">that </w:t>
      </w:r>
      <w:r w:rsidR="00C239A2">
        <w:t xml:space="preserve">only funds designated as instructional funds are reported as </w:t>
      </w:r>
      <w:r w:rsidR="00B70631">
        <w:t>c</w:t>
      </w:r>
      <w:r w:rsidR="00C239A2">
        <w:t xml:space="preserve">areer and </w:t>
      </w:r>
      <w:r w:rsidR="00B70631">
        <w:t>t</w:t>
      </w:r>
      <w:r w:rsidR="00C239A2">
        <w:t xml:space="preserve">raining </w:t>
      </w:r>
      <w:r w:rsidR="00B70631">
        <w:t>s</w:t>
      </w:r>
      <w:r w:rsidR="00C239A2">
        <w:t xml:space="preserve">ervices. </w:t>
      </w:r>
    </w:p>
    <w:p w14:paraId="582577BE" w14:textId="77777777" w:rsidR="006D030E" w:rsidRPr="009E1EBE" w:rsidRDefault="006D030E">
      <w:pPr>
        <w:rPr>
          <w:b/>
        </w:rPr>
      </w:pPr>
      <w:r w:rsidRPr="009E1EBE">
        <w:rPr>
          <w:b/>
        </w:rPr>
        <w:br w:type="page"/>
      </w:r>
    </w:p>
    <w:p w14:paraId="161401F9" w14:textId="68A07E74" w:rsidR="004C606E" w:rsidRPr="009E1EBE" w:rsidRDefault="004C606E" w:rsidP="004C606E">
      <w:pPr>
        <w:rPr>
          <w:b/>
        </w:rPr>
      </w:pPr>
      <w:r w:rsidRPr="009E1EBE">
        <w:rPr>
          <w:b/>
        </w:rPr>
        <w:lastRenderedPageBreak/>
        <w:t xml:space="preserve">Table </w:t>
      </w:r>
      <w:r w:rsidR="0058395E" w:rsidRPr="009E1EBE">
        <w:rPr>
          <w:b/>
        </w:rPr>
        <w:t>1</w:t>
      </w:r>
      <w:r w:rsidRPr="009E1EBE">
        <w:rPr>
          <w:b/>
        </w:rPr>
        <w:t>: Applicable Career and Training Services for WIOA Title II Program</w:t>
      </w:r>
    </w:p>
    <w:p w14:paraId="189C7072" w14:textId="77777777" w:rsidR="004C606E" w:rsidRPr="009E1EBE" w:rsidRDefault="004C606E" w:rsidP="004C606E">
      <w:pPr>
        <w:jc w:val="center"/>
        <w:rPr>
          <w:b/>
          <w:sz w:val="20"/>
          <w:szCs w:val="20"/>
        </w:rPr>
      </w:pPr>
    </w:p>
    <w:tbl>
      <w:tblPr>
        <w:tblStyle w:val="TableGrid"/>
        <w:tblW w:w="0" w:type="auto"/>
        <w:tblLook w:val="04A0" w:firstRow="1" w:lastRow="0" w:firstColumn="1" w:lastColumn="0" w:noHBand="0" w:noVBand="1"/>
        <w:tblDescription w:val="The left column of the table is taken verbatim from the federal guidance; the right column of the table is a categorical crosswalk of services to be documented."/>
      </w:tblPr>
      <w:tblGrid>
        <w:gridCol w:w="5598"/>
        <w:gridCol w:w="3978"/>
      </w:tblGrid>
      <w:tr w:rsidR="004C606E" w:rsidRPr="009E1EBE" w14:paraId="7C6DC033" w14:textId="77777777" w:rsidTr="00AC1346">
        <w:trPr>
          <w:tblHeader/>
        </w:trPr>
        <w:tc>
          <w:tcPr>
            <w:tcW w:w="5598" w:type="dxa"/>
            <w:tcBorders>
              <w:bottom w:val="thinThickMediumGap" w:sz="6" w:space="0" w:color="auto"/>
            </w:tcBorders>
          </w:tcPr>
          <w:p w14:paraId="449287BA" w14:textId="6B7245FF" w:rsidR="004C606E" w:rsidRPr="009E1EBE" w:rsidRDefault="004D5D81" w:rsidP="00AC1346">
            <w:pPr>
              <w:spacing w:after="120" w:line="276" w:lineRule="auto"/>
              <w:rPr>
                <w:sz w:val="22"/>
                <w:szCs w:val="22"/>
              </w:rPr>
            </w:pPr>
            <w:r w:rsidRPr="009E1EBE">
              <w:rPr>
                <w:b/>
                <w:sz w:val="22"/>
                <w:szCs w:val="22"/>
              </w:rPr>
              <w:t>From U.S. Department</w:t>
            </w:r>
            <w:r w:rsidR="004C606E" w:rsidRPr="009E1EBE">
              <w:rPr>
                <w:b/>
                <w:sz w:val="22"/>
                <w:szCs w:val="22"/>
              </w:rPr>
              <w:t xml:space="preserve"> of Education, OCTAE </w:t>
            </w:r>
            <w:hyperlink r:id="rId11" w:history="1">
              <w:r w:rsidR="004C606E" w:rsidRPr="009E1EBE">
                <w:rPr>
                  <w:rStyle w:val="Hyperlink"/>
                  <w:b/>
                  <w:sz w:val="22"/>
                  <w:szCs w:val="22"/>
                </w:rPr>
                <w:t>Program Memo 17-2</w:t>
              </w:r>
            </w:hyperlink>
            <w:r w:rsidR="004C606E" w:rsidRPr="009E1EBE">
              <w:rPr>
                <w:b/>
                <w:sz w:val="22"/>
                <w:szCs w:val="22"/>
              </w:rPr>
              <w:t xml:space="preserve">, </w:t>
            </w:r>
            <w:r w:rsidR="004C606E" w:rsidRPr="009E1EBE">
              <w:rPr>
                <w:sz w:val="22"/>
                <w:szCs w:val="22"/>
              </w:rPr>
              <w:t>Attachment 7 – Table C (p. 61)</w:t>
            </w:r>
          </w:p>
          <w:p w14:paraId="446DBAE5" w14:textId="77777777" w:rsidR="004C606E" w:rsidRPr="009E1EBE" w:rsidRDefault="004C606E" w:rsidP="00AC1346">
            <w:pPr>
              <w:spacing w:after="120" w:line="276" w:lineRule="auto"/>
              <w:rPr>
                <w:sz w:val="22"/>
                <w:szCs w:val="22"/>
              </w:rPr>
            </w:pPr>
            <w:r w:rsidRPr="009E1EBE">
              <w:rPr>
                <w:sz w:val="22"/>
                <w:szCs w:val="22"/>
              </w:rPr>
              <w:t xml:space="preserve">Applicable Career and Training Services for WIOA Title II AEFLA Program </w:t>
            </w:r>
          </w:p>
        </w:tc>
        <w:tc>
          <w:tcPr>
            <w:tcW w:w="3978" w:type="dxa"/>
            <w:tcBorders>
              <w:bottom w:val="thinThickMediumGap" w:sz="6" w:space="0" w:color="auto"/>
            </w:tcBorders>
          </w:tcPr>
          <w:p w14:paraId="40A7B23E" w14:textId="77777777" w:rsidR="004C606E" w:rsidRPr="009E1EBE" w:rsidRDefault="004C606E" w:rsidP="00AC1346">
            <w:pPr>
              <w:spacing w:after="120" w:line="276" w:lineRule="auto"/>
              <w:rPr>
                <w:b/>
                <w:sz w:val="22"/>
                <w:szCs w:val="22"/>
              </w:rPr>
            </w:pPr>
            <w:r w:rsidRPr="009E1EBE">
              <w:rPr>
                <w:b/>
                <w:sz w:val="22"/>
                <w:szCs w:val="22"/>
              </w:rPr>
              <w:t>Crosswalk of services to be documented</w:t>
            </w:r>
          </w:p>
        </w:tc>
      </w:tr>
      <w:tr w:rsidR="004C606E" w:rsidRPr="009E1EBE" w14:paraId="10DD94F8" w14:textId="77777777" w:rsidTr="00773517">
        <w:tc>
          <w:tcPr>
            <w:tcW w:w="5598" w:type="dxa"/>
            <w:tcBorders>
              <w:top w:val="thinThickMediumGap" w:sz="6" w:space="0" w:color="auto"/>
            </w:tcBorders>
            <w:shd w:val="clear" w:color="auto" w:fill="auto"/>
          </w:tcPr>
          <w:p w14:paraId="19734FE7" w14:textId="77777777" w:rsidR="004C606E" w:rsidRPr="009E1EBE" w:rsidRDefault="004C606E" w:rsidP="00AC1346">
            <w:pPr>
              <w:spacing w:before="240" w:line="276" w:lineRule="auto"/>
              <w:rPr>
                <w:sz w:val="22"/>
                <w:szCs w:val="22"/>
              </w:rPr>
            </w:pPr>
            <w:r w:rsidRPr="009E1EBE">
              <w:rPr>
                <w:sz w:val="22"/>
                <w:szCs w:val="22"/>
              </w:rPr>
              <w:t xml:space="preserve">Outreach, intake, and orientation information </w:t>
            </w:r>
          </w:p>
        </w:tc>
        <w:tc>
          <w:tcPr>
            <w:tcW w:w="3978" w:type="dxa"/>
            <w:tcBorders>
              <w:top w:val="thinThickMediumGap" w:sz="6" w:space="0" w:color="auto"/>
              <w:bottom w:val="nil"/>
            </w:tcBorders>
            <w:shd w:val="clear" w:color="auto" w:fill="auto"/>
          </w:tcPr>
          <w:p w14:paraId="77CD0FA1" w14:textId="6F3BC068" w:rsidR="004C606E" w:rsidRPr="009E1EBE" w:rsidRDefault="004C606E" w:rsidP="00AC1346">
            <w:pPr>
              <w:spacing w:before="240" w:after="120" w:line="276" w:lineRule="auto"/>
              <w:rPr>
                <w:sz w:val="22"/>
                <w:szCs w:val="22"/>
              </w:rPr>
            </w:pPr>
            <w:r w:rsidRPr="009E1EBE">
              <w:rPr>
                <w:b/>
                <w:sz w:val="22"/>
                <w:szCs w:val="22"/>
              </w:rPr>
              <w:t>Category: Outreach, intake</w:t>
            </w:r>
            <w:r w:rsidR="00B6567C" w:rsidRPr="009E1EBE">
              <w:rPr>
                <w:b/>
                <w:sz w:val="22"/>
                <w:szCs w:val="22"/>
              </w:rPr>
              <w:t>,</w:t>
            </w:r>
            <w:r w:rsidRPr="009E1EBE">
              <w:rPr>
                <w:b/>
                <w:sz w:val="22"/>
                <w:szCs w:val="22"/>
              </w:rPr>
              <w:t xml:space="preserve"> and </w:t>
            </w:r>
            <w:r w:rsidR="009365D2" w:rsidRPr="009E1EBE">
              <w:rPr>
                <w:b/>
                <w:sz w:val="22"/>
                <w:szCs w:val="22"/>
              </w:rPr>
              <w:t xml:space="preserve">initial </w:t>
            </w:r>
            <w:r w:rsidRPr="009E1EBE">
              <w:rPr>
                <w:b/>
                <w:sz w:val="22"/>
                <w:szCs w:val="22"/>
              </w:rPr>
              <w:t>assessment</w:t>
            </w:r>
          </w:p>
        </w:tc>
      </w:tr>
      <w:tr w:rsidR="004C606E" w:rsidRPr="009E1EBE" w14:paraId="04D7B982" w14:textId="77777777" w:rsidTr="00773517">
        <w:tc>
          <w:tcPr>
            <w:tcW w:w="5598" w:type="dxa"/>
            <w:tcBorders>
              <w:bottom w:val="thinThickMediumGap" w:sz="6" w:space="0" w:color="auto"/>
            </w:tcBorders>
            <w:shd w:val="clear" w:color="auto" w:fill="auto"/>
          </w:tcPr>
          <w:p w14:paraId="1FA89CC7" w14:textId="77777777" w:rsidR="004C606E" w:rsidRPr="009E1EBE" w:rsidRDefault="004C606E" w:rsidP="00AC1346">
            <w:pPr>
              <w:spacing w:before="240" w:after="120" w:line="276" w:lineRule="auto"/>
              <w:rPr>
                <w:sz w:val="22"/>
                <w:szCs w:val="22"/>
              </w:rPr>
            </w:pPr>
            <w:r w:rsidRPr="009E1EBE">
              <w:rPr>
                <w:sz w:val="22"/>
                <w:szCs w:val="22"/>
              </w:rPr>
              <w:t>Initial assessment of skill levels including literacy, numeracy, and English language proficiency, as well as aptitudes, abilities, and supportive services</w:t>
            </w:r>
            <w:r w:rsidRPr="009E1EBE">
              <w:rPr>
                <w:rStyle w:val="FootnoteReference"/>
                <w:sz w:val="22"/>
                <w:szCs w:val="22"/>
              </w:rPr>
              <w:footnoteReference w:id="1"/>
            </w:r>
            <w:r w:rsidRPr="009E1EBE">
              <w:rPr>
                <w:sz w:val="22"/>
                <w:szCs w:val="22"/>
              </w:rPr>
              <w:t xml:space="preserve"> needs </w:t>
            </w:r>
          </w:p>
        </w:tc>
        <w:tc>
          <w:tcPr>
            <w:tcW w:w="3978" w:type="dxa"/>
            <w:tcBorders>
              <w:top w:val="nil"/>
              <w:bottom w:val="thinThickMediumGap" w:sz="6" w:space="0" w:color="auto"/>
            </w:tcBorders>
            <w:shd w:val="clear" w:color="auto" w:fill="auto"/>
          </w:tcPr>
          <w:p w14:paraId="229337FD" w14:textId="77777777" w:rsidR="004C606E" w:rsidRPr="009E1EBE" w:rsidRDefault="004C606E" w:rsidP="00AC1346">
            <w:pPr>
              <w:spacing w:after="120" w:line="276" w:lineRule="auto"/>
              <w:rPr>
                <w:sz w:val="22"/>
                <w:szCs w:val="22"/>
              </w:rPr>
            </w:pPr>
          </w:p>
        </w:tc>
      </w:tr>
      <w:tr w:rsidR="004C606E" w:rsidRPr="009E1EBE" w14:paraId="4CCC0728" w14:textId="77777777" w:rsidTr="00773517">
        <w:tc>
          <w:tcPr>
            <w:tcW w:w="5598" w:type="dxa"/>
            <w:tcBorders>
              <w:top w:val="thinThickMediumGap" w:sz="6" w:space="0" w:color="auto"/>
            </w:tcBorders>
            <w:shd w:val="clear" w:color="auto" w:fill="auto"/>
          </w:tcPr>
          <w:p w14:paraId="62F46679" w14:textId="77777777" w:rsidR="004C606E" w:rsidRPr="009E1EBE" w:rsidRDefault="004C606E" w:rsidP="00AC1346">
            <w:pPr>
              <w:spacing w:before="240" w:after="120" w:line="276" w:lineRule="auto"/>
              <w:rPr>
                <w:sz w:val="22"/>
                <w:szCs w:val="22"/>
              </w:rPr>
            </w:pPr>
            <w:r w:rsidRPr="009E1EBE">
              <w:rPr>
                <w:sz w:val="22"/>
                <w:szCs w:val="22"/>
              </w:rPr>
              <w:t xml:space="preserve">Referrals to and coordination of activities with other programs and services </w:t>
            </w:r>
          </w:p>
        </w:tc>
        <w:tc>
          <w:tcPr>
            <w:tcW w:w="3978" w:type="dxa"/>
            <w:tcBorders>
              <w:top w:val="thinThickMediumGap" w:sz="6" w:space="0" w:color="auto"/>
              <w:bottom w:val="nil"/>
            </w:tcBorders>
            <w:shd w:val="clear" w:color="auto" w:fill="auto"/>
          </w:tcPr>
          <w:p w14:paraId="550C1D47" w14:textId="77777777" w:rsidR="004C606E" w:rsidRPr="009E1EBE" w:rsidRDefault="004C606E" w:rsidP="00AC1346">
            <w:pPr>
              <w:spacing w:before="240" w:after="120" w:line="276" w:lineRule="auto"/>
              <w:rPr>
                <w:sz w:val="22"/>
                <w:szCs w:val="22"/>
              </w:rPr>
            </w:pPr>
            <w:r w:rsidRPr="009E1EBE">
              <w:rPr>
                <w:b/>
                <w:sz w:val="22"/>
                <w:szCs w:val="22"/>
              </w:rPr>
              <w:t>Category: Referrals and information dissemination</w:t>
            </w:r>
          </w:p>
        </w:tc>
      </w:tr>
      <w:tr w:rsidR="004C606E" w:rsidRPr="009E1EBE" w14:paraId="61F41E2F" w14:textId="77777777" w:rsidTr="00773517">
        <w:tc>
          <w:tcPr>
            <w:tcW w:w="5598" w:type="dxa"/>
            <w:tcBorders>
              <w:bottom w:val="thinThickMediumGap" w:sz="6" w:space="0" w:color="auto"/>
            </w:tcBorders>
            <w:shd w:val="clear" w:color="auto" w:fill="auto"/>
          </w:tcPr>
          <w:p w14:paraId="4A3B659E" w14:textId="77777777" w:rsidR="004C606E" w:rsidRPr="009E1EBE" w:rsidRDefault="004C606E" w:rsidP="00AC1346">
            <w:pPr>
              <w:spacing w:before="240" w:after="120" w:line="276" w:lineRule="auto"/>
              <w:rPr>
                <w:sz w:val="22"/>
                <w:szCs w:val="22"/>
              </w:rPr>
            </w:pPr>
            <w:r w:rsidRPr="009E1EBE">
              <w:rPr>
                <w:sz w:val="22"/>
                <w:szCs w:val="22"/>
              </w:rPr>
              <w:t xml:space="preserve">Provision of performance information and program cost information on eligible providers of education, training, and workforce services by program and type of provider </w:t>
            </w:r>
          </w:p>
        </w:tc>
        <w:tc>
          <w:tcPr>
            <w:tcW w:w="3978" w:type="dxa"/>
            <w:tcBorders>
              <w:top w:val="nil"/>
              <w:bottom w:val="thinThickMediumGap" w:sz="6" w:space="0" w:color="auto"/>
            </w:tcBorders>
            <w:shd w:val="clear" w:color="auto" w:fill="auto"/>
          </w:tcPr>
          <w:p w14:paraId="63B6414D" w14:textId="77777777" w:rsidR="004C606E" w:rsidRPr="009E1EBE" w:rsidRDefault="004C606E" w:rsidP="00AC1346">
            <w:pPr>
              <w:spacing w:after="120" w:line="276" w:lineRule="auto"/>
              <w:rPr>
                <w:b/>
                <w:sz w:val="22"/>
                <w:szCs w:val="22"/>
              </w:rPr>
            </w:pPr>
          </w:p>
        </w:tc>
      </w:tr>
      <w:tr w:rsidR="004C606E" w:rsidRPr="009E1EBE" w14:paraId="58DE8F39" w14:textId="77777777" w:rsidTr="00773517">
        <w:tc>
          <w:tcPr>
            <w:tcW w:w="5598" w:type="dxa"/>
            <w:tcBorders>
              <w:top w:val="thinThickMediumGap" w:sz="6" w:space="0" w:color="auto"/>
              <w:bottom w:val="thinThickMediumGap" w:sz="6" w:space="0" w:color="auto"/>
            </w:tcBorders>
            <w:shd w:val="clear" w:color="auto" w:fill="auto"/>
          </w:tcPr>
          <w:p w14:paraId="6D36CA89" w14:textId="71344157" w:rsidR="004C606E" w:rsidRPr="009E1EBE" w:rsidRDefault="004C606E" w:rsidP="00AC1346">
            <w:pPr>
              <w:spacing w:before="240" w:after="120" w:line="276" w:lineRule="auto"/>
              <w:rPr>
                <w:sz w:val="22"/>
                <w:szCs w:val="22"/>
              </w:rPr>
            </w:pPr>
            <w:r w:rsidRPr="009E1EBE">
              <w:rPr>
                <w:sz w:val="22"/>
                <w:szCs w:val="22"/>
              </w:rPr>
              <w:t>Provision of information on availability of supportive services or assistance and appropriate referrals (including child care; child support; medical or child health assistance available through the State’s Medicaid program and [Children’s Health Insurance Program] CHIP; [Supplemental Nutrition Assistance Program] SNAP benefits; [Earned Income Tax Credit] EITC; assistance under [Temporary Assistance to Need</w:t>
            </w:r>
            <w:r w:rsidR="00F32F24">
              <w:rPr>
                <w:sz w:val="22"/>
                <w:szCs w:val="22"/>
              </w:rPr>
              <w:t>y</w:t>
            </w:r>
            <w:r w:rsidRPr="009E1EBE">
              <w:rPr>
                <w:sz w:val="22"/>
                <w:szCs w:val="22"/>
              </w:rPr>
              <w:t xml:space="preserve"> Families] TANF, and other supportive services and transportation) </w:t>
            </w:r>
          </w:p>
        </w:tc>
        <w:tc>
          <w:tcPr>
            <w:tcW w:w="3978" w:type="dxa"/>
            <w:tcBorders>
              <w:top w:val="thinThickMediumGap" w:sz="6" w:space="0" w:color="auto"/>
              <w:bottom w:val="thinThickMediumGap" w:sz="6" w:space="0" w:color="auto"/>
            </w:tcBorders>
            <w:shd w:val="clear" w:color="auto" w:fill="auto"/>
          </w:tcPr>
          <w:p w14:paraId="6A04E553" w14:textId="77777777" w:rsidR="004C606E" w:rsidRPr="009E1EBE" w:rsidRDefault="004C606E" w:rsidP="00AC1346">
            <w:pPr>
              <w:spacing w:before="240" w:after="120" w:line="276" w:lineRule="auto"/>
              <w:rPr>
                <w:sz w:val="22"/>
                <w:szCs w:val="22"/>
              </w:rPr>
            </w:pPr>
            <w:r w:rsidRPr="009E1EBE">
              <w:rPr>
                <w:b/>
                <w:sz w:val="22"/>
                <w:szCs w:val="22"/>
              </w:rPr>
              <w:t>Category: Supportive services and assistance</w:t>
            </w:r>
          </w:p>
        </w:tc>
      </w:tr>
      <w:tr w:rsidR="004C606E" w:rsidRPr="009E1EBE" w14:paraId="2472A963" w14:textId="77777777" w:rsidTr="00773517">
        <w:tc>
          <w:tcPr>
            <w:tcW w:w="5598" w:type="dxa"/>
            <w:shd w:val="clear" w:color="auto" w:fill="FFFFFF" w:themeFill="background1"/>
          </w:tcPr>
          <w:p w14:paraId="6D295106" w14:textId="77777777" w:rsidR="004C606E" w:rsidRPr="009E1EBE" w:rsidRDefault="004C606E" w:rsidP="00AC1346">
            <w:pPr>
              <w:spacing w:before="240" w:after="120" w:line="276" w:lineRule="auto"/>
              <w:rPr>
                <w:sz w:val="22"/>
                <w:szCs w:val="22"/>
              </w:rPr>
            </w:pPr>
            <w:r w:rsidRPr="009E1EBE">
              <w:rPr>
                <w:sz w:val="22"/>
                <w:szCs w:val="22"/>
              </w:rPr>
              <w:t>Training costs incurred in Integrated Education and Training (IET) programs</w:t>
            </w:r>
          </w:p>
        </w:tc>
        <w:tc>
          <w:tcPr>
            <w:tcW w:w="3978" w:type="dxa"/>
            <w:shd w:val="clear" w:color="auto" w:fill="auto"/>
          </w:tcPr>
          <w:p w14:paraId="651652C8" w14:textId="77777777" w:rsidR="004C606E" w:rsidRPr="009E1EBE" w:rsidRDefault="004C606E" w:rsidP="00AC1346">
            <w:pPr>
              <w:spacing w:before="240" w:after="120" w:line="276" w:lineRule="auto"/>
              <w:rPr>
                <w:sz w:val="22"/>
                <w:szCs w:val="22"/>
              </w:rPr>
            </w:pPr>
            <w:r w:rsidRPr="009E1EBE">
              <w:rPr>
                <w:b/>
                <w:sz w:val="22"/>
                <w:szCs w:val="22"/>
              </w:rPr>
              <w:t>Category: Training</w:t>
            </w:r>
          </w:p>
        </w:tc>
      </w:tr>
    </w:tbl>
    <w:p w14:paraId="2DC47F30" w14:textId="77777777" w:rsidR="002B0932" w:rsidRPr="009E1EBE" w:rsidRDefault="002B0932">
      <w:pPr>
        <w:rPr>
          <w:rFonts w:eastAsiaTheme="majorEastAsia"/>
          <w:b/>
          <w:bCs/>
          <w:color w:val="4F81BD" w:themeColor="accent1"/>
          <w:sz w:val="26"/>
          <w:szCs w:val="26"/>
        </w:rPr>
      </w:pPr>
      <w:r w:rsidRPr="009E1EBE">
        <w:br w:type="page"/>
      </w:r>
    </w:p>
    <w:p w14:paraId="695F956E" w14:textId="7D6D2E30" w:rsidR="002372D7" w:rsidRPr="009E1EBE" w:rsidRDefault="002372D7" w:rsidP="008227D1">
      <w:pPr>
        <w:pStyle w:val="Heading3"/>
        <w:rPr>
          <w:rFonts w:ascii="Times New Roman" w:hAnsi="Times New Roman" w:cs="Times New Roman"/>
          <w:color w:val="auto"/>
        </w:rPr>
      </w:pPr>
      <w:r w:rsidRPr="009E1EBE">
        <w:rPr>
          <w:rFonts w:ascii="Times New Roman" w:hAnsi="Times New Roman" w:cs="Times New Roman"/>
          <w:color w:val="auto"/>
        </w:rPr>
        <w:lastRenderedPageBreak/>
        <w:t>Category: Outreach, intake</w:t>
      </w:r>
      <w:r w:rsidR="00B6567C" w:rsidRPr="009E1EBE">
        <w:rPr>
          <w:rFonts w:ascii="Times New Roman" w:hAnsi="Times New Roman" w:cs="Times New Roman"/>
          <w:color w:val="auto"/>
        </w:rPr>
        <w:t>,</w:t>
      </w:r>
      <w:r w:rsidRPr="009E1EBE">
        <w:rPr>
          <w:rFonts w:ascii="Times New Roman" w:hAnsi="Times New Roman" w:cs="Times New Roman"/>
          <w:color w:val="auto"/>
        </w:rPr>
        <w:t xml:space="preserve"> and </w:t>
      </w:r>
      <w:r w:rsidR="009365D2" w:rsidRPr="009E1EBE">
        <w:rPr>
          <w:rFonts w:ascii="Times New Roman" w:hAnsi="Times New Roman" w:cs="Times New Roman"/>
          <w:color w:val="auto"/>
        </w:rPr>
        <w:t xml:space="preserve">initial </w:t>
      </w:r>
      <w:r w:rsidRPr="009E1EBE">
        <w:rPr>
          <w:rFonts w:ascii="Times New Roman" w:hAnsi="Times New Roman" w:cs="Times New Roman"/>
          <w:color w:val="auto"/>
        </w:rPr>
        <w:t>assessment</w:t>
      </w:r>
    </w:p>
    <w:p w14:paraId="12F48484" w14:textId="6091DF8C" w:rsidR="002372D7" w:rsidRPr="009E1EBE" w:rsidRDefault="002372D7" w:rsidP="00442CF3">
      <w:pPr>
        <w:spacing w:after="120" w:line="276" w:lineRule="auto"/>
      </w:pPr>
      <w:r w:rsidRPr="009E1EBE">
        <w:t xml:space="preserve">Programs </w:t>
      </w:r>
      <w:r w:rsidR="007A399D" w:rsidRPr="009E1EBE">
        <w:t>may</w:t>
      </w:r>
      <w:r w:rsidRPr="009E1EBE">
        <w:t xml:space="preserve"> deliver these services as integrated or linked services, usually at first or early contact with enrolling students. Programs may calculate these costs based on: </w:t>
      </w:r>
    </w:p>
    <w:p w14:paraId="498C707A" w14:textId="154FA681" w:rsidR="002372D7" w:rsidRPr="009E1EBE" w:rsidRDefault="002372D7" w:rsidP="00442CF3">
      <w:pPr>
        <w:spacing w:after="120" w:line="276" w:lineRule="auto"/>
        <w:ind w:left="720"/>
      </w:pPr>
      <w:r w:rsidRPr="009E1EBE">
        <w:rPr>
          <w:b/>
        </w:rPr>
        <w:t>Materials and services</w:t>
      </w:r>
      <w:r w:rsidRPr="009E1EBE">
        <w:t xml:space="preserve"> purchased to support outreach and assessment activities, tracked as actual costs in budgets and reimbursement requests</w:t>
      </w:r>
      <w:r w:rsidR="006D030E" w:rsidRPr="009E1EBE">
        <w:t>; and</w:t>
      </w:r>
    </w:p>
    <w:p w14:paraId="2BC3DED3" w14:textId="306F92E2" w:rsidR="002372D7" w:rsidRPr="009E1EBE" w:rsidRDefault="002372D7" w:rsidP="00442CF3">
      <w:pPr>
        <w:spacing w:after="120" w:line="276" w:lineRule="auto"/>
        <w:ind w:left="720"/>
      </w:pPr>
      <w:r w:rsidRPr="009E1EBE">
        <w:rPr>
          <w:b/>
        </w:rPr>
        <w:t xml:space="preserve">Percentage of staff time </w:t>
      </w:r>
      <w:r w:rsidRPr="009E1EBE">
        <w:t>(which may include employee benefits) devoted to these activities</w:t>
      </w:r>
      <w:r w:rsidR="006D030E" w:rsidRPr="009E1EBE">
        <w:t>.</w:t>
      </w:r>
      <w:r w:rsidRPr="009E1EBE">
        <w:t xml:space="preserve"> </w:t>
      </w:r>
    </w:p>
    <w:p w14:paraId="7E5C50AA" w14:textId="7E2145FC" w:rsidR="008227D1" w:rsidRPr="009E1EBE" w:rsidRDefault="008227D1" w:rsidP="00B6567C">
      <w:pPr>
        <w:spacing w:after="120"/>
        <w:ind w:left="720"/>
        <w:rPr>
          <w:rFonts w:eastAsia="Calibri"/>
        </w:rPr>
      </w:pPr>
      <w:r w:rsidRPr="009E1EBE">
        <w:rPr>
          <w:rFonts w:eastAsia="Calibri"/>
          <w:b/>
        </w:rPr>
        <w:t>Examples of allowable costs and budget codes under this category</w:t>
      </w:r>
      <w:r w:rsidR="00B6567C" w:rsidRPr="009E1EBE">
        <w:rPr>
          <w:rFonts w:eastAsia="Calibri"/>
        </w:rPr>
        <w:t>:</w:t>
      </w:r>
    </w:p>
    <w:p w14:paraId="368F8E88" w14:textId="4E6BE732" w:rsidR="008227D1" w:rsidRPr="009E1EBE" w:rsidRDefault="008227D1" w:rsidP="008227D1">
      <w:pPr>
        <w:spacing w:after="120"/>
        <w:ind w:left="3600" w:hanging="2160"/>
        <w:rPr>
          <w:rFonts w:eastAsia="Calibri"/>
        </w:rPr>
      </w:pPr>
      <w:r w:rsidRPr="009E1EBE">
        <w:rPr>
          <w:rFonts w:eastAsia="Calibri"/>
        </w:rPr>
        <w:t>Object Code 1000:</w:t>
      </w:r>
      <w:r w:rsidRPr="009E1EBE">
        <w:rPr>
          <w:rFonts w:eastAsia="Calibri"/>
        </w:rPr>
        <w:tab/>
      </w:r>
      <w:r w:rsidR="00F6011A" w:rsidRPr="009E1EBE">
        <w:rPr>
          <w:rFonts w:eastAsia="Calibri"/>
        </w:rPr>
        <w:t xml:space="preserve">Percentage </w:t>
      </w:r>
      <w:r w:rsidRPr="009E1EBE">
        <w:rPr>
          <w:rFonts w:eastAsia="Calibri"/>
        </w:rPr>
        <w:t xml:space="preserve">of salary of staff performing </w:t>
      </w:r>
      <w:r w:rsidR="00E63594" w:rsidRPr="009E1EBE">
        <w:rPr>
          <w:rFonts w:eastAsia="Calibri"/>
        </w:rPr>
        <w:t>outreach, i</w:t>
      </w:r>
      <w:r w:rsidRPr="009E1EBE">
        <w:rPr>
          <w:rFonts w:eastAsia="Calibri"/>
        </w:rPr>
        <w:t>ntake</w:t>
      </w:r>
      <w:r w:rsidR="00B6567C" w:rsidRPr="009E1EBE">
        <w:rPr>
          <w:rFonts w:eastAsia="Calibri"/>
        </w:rPr>
        <w:t>,</w:t>
      </w:r>
      <w:r w:rsidRPr="009E1EBE">
        <w:rPr>
          <w:rFonts w:eastAsia="Calibri"/>
        </w:rPr>
        <w:t xml:space="preserve"> or </w:t>
      </w:r>
      <w:r w:rsidR="006D030E" w:rsidRPr="009E1EBE">
        <w:rPr>
          <w:rFonts w:eastAsia="Calibri"/>
        </w:rPr>
        <w:t xml:space="preserve">initial </w:t>
      </w:r>
      <w:r w:rsidR="00E63594" w:rsidRPr="009E1EBE">
        <w:rPr>
          <w:rFonts w:eastAsia="Calibri"/>
        </w:rPr>
        <w:t>a</w:t>
      </w:r>
      <w:r w:rsidRPr="009E1EBE">
        <w:rPr>
          <w:rFonts w:eastAsia="Calibri"/>
        </w:rPr>
        <w:t>ssessment activities</w:t>
      </w:r>
    </w:p>
    <w:p w14:paraId="3C5BCC27" w14:textId="1C91549D" w:rsidR="008227D1" w:rsidRPr="009E1EBE" w:rsidRDefault="008227D1" w:rsidP="008227D1">
      <w:pPr>
        <w:spacing w:after="120"/>
        <w:ind w:left="3600" w:hanging="2160"/>
        <w:rPr>
          <w:rFonts w:eastAsia="Calibri"/>
        </w:rPr>
      </w:pPr>
      <w:r w:rsidRPr="009E1EBE">
        <w:rPr>
          <w:rFonts w:eastAsia="Calibri"/>
        </w:rPr>
        <w:t>Object Code 2000:</w:t>
      </w:r>
      <w:r w:rsidRPr="009E1EBE">
        <w:rPr>
          <w:rFonts w:eastAsia="Calibri"/>
        </w:rPr>
        <w:tab/>
      </w:r>
      <w:r w:rsidR="00BE4AA6" w:rsidRPr="009E1EBE">
        <w:rPr>
          <w:rFonts w:eastAsia="Calibri"/>
        </w:rPr>
        <w:t xml:space="preserve">Percentage of </w:t>
      </w:r>
      <w:r w:rsidR="004101C0" w:rsidRPr="009E1EBE">
        <w:rPr>
          <w:rFonts w:eastAsia="Calibri"/>
        </w:rPr>
        <w:t>FICA</w:t>
      </w:r>
      <w:r w:rsidR="00BE4AA6" w:rsidRPr="009E1EBE">
        <w:rPr>
          <w:rFonts w:eastAsia="Calibri"/>
        </w:rPr>
        <w:t xml:space="preserve"> </w:t>
      </w:r>
      <w:r w:rsidR="006D030E" w:rsidRPr="009E1EBE">
        <w:rPr>
          <w:rFonts w:eastAsia="Calibri"/>
        </w:rPr>
        <w:t>of staff performing outreach, intake</w:t>
      </w:r>
      <w:r w:rsidR="00B6567C" w:rsidRPr="009E1EBE">
        <w:rPr>
          <w:rFonts w:eastAsia="Calibri"/>
        </w:rPr>
        <w:t>,</w:t>
      </w:r>
      <w:r w:rsidR="006D030E" w:rsidRPr="009E1EBE">
        <w:rPr>
          <w:rFonts w:eastAsia="Calibri"/>
        </w:rPr>
        <w:t xml:space="preserve"> or initial assessment activities</w:t>
      </w:r>
    </w:p>
    <w:p w14:paraId="28B3B85B" w14:textId="6980FEC4" w:rsidR="008227D1" w:rsidRPr="009E1EBE" w:rsidRDefault="008227D1" w:rsidP="008227D1">
      <w:pPr>
        <w:spacing w:after="120"/>
        <w:ind w:left="3600" w:hanging="2160"/>
        <w:rPr>
          <w:rFonts w:eastAsia="Calibri"/>
        </w:rPr>
      </w:pPr>
      <w:r w:rsidRPr="009E1EBE">
        <w:rPr>
          <w:rFonts w:eastAsia="Calibri"/>
        </w:rPr>
        <w:t xml:space="preserve">Object Code 3000 </w:t>
      </w:r>
      <w:r w:rsidRPr="009E1EBE">
        <w:rPr>
          <w:rFonts w:eastAsia="Calibri"/>
        </w:rPr>
        <w:tab/>
      </w:r>
      <w:r w:rsidR="0050270A" w:rsidRPr="009E1EBE">
        <w:rPr>
          <w:rFonts w:eastAsia="Calibri"/>
        </w:rPr>
        <w:t>M</w:t>
      </w:r>
      <w:r w:rsidR="00F868D3" w:rsidRPr="009E1EBE">
        <w:rPr>
          <w:rFonts w:eastAsia="Calibri"/>
        </w:rPr>
        <w:t>edia</w:t>
      </w:r>
      <w:r w:rsidR="0050270A" w:rsidRPr="009E1EBE">
        <w:rPr>
          <w:rFonts w:eastAsia="Calibri"/>
        </w:rPr>
        <w:t xml:space="preserve">, radio, and print ads; </w:t>
      </w:r>
      <w:r w:rsidRPr="009E1EBE">
        <w:rPr>
          <w:rFonts w:eastAsia="Calibri"/>
        </w:rPr>
        <w:t>website design</w:t>
      </w:r>
      <w:r w:rsidR="0050270A" w:rsidRPr="009E1EBE">
        <w:rPr>
          <w:rFonts w:eastAsia="Calibri"/>
        </w:rPr>
        <w:t xml:space="preserve">; </w:t>
      </w:r>
      <w:r w:rsidRPr="009E1EBE">
        <w:rPr>
          <w:rFonts w:eastAsia="Calibri"/>
        </w:rPr>
        <w:t>bus signs</w:t>
      </w:r>
      <w:r w:rsidR="00E63594" w:rsidRPr="009E1EBE">
        <w:rPr>
          <w:rFonts w:eastAsia="Calibri"/>
        </w:rPr>
        <w:t xml:space="preserve"> or</w:t>
      </w:r>
      <w:r w:rsidRPr="009E1EBE">
        <w:rPr>
          <w:rFonts w:eastAsia="Calibri"/>
        </w:rPr>
        <w:t xml:space="preserve"> billboards</w:t>
      </w:r>
      <w:r w:rsidR="0050270A" w:rsidRPr="009E1EBE">
        <w:rPr>
          <w:rFonts w:eastAsia="Calibri"/>
        </w:rPr>
        <w:t>; email outreach services; video design; copier services to be used for outreach activities</w:t>
      </w:r>
    </w:p>
    <w:p w14:paraId="11B439C7" w14:textId="2A217C19" w:rsidR="008227D1" w:rsidRPr="009E1EBE" w:rsidRDefault="008227D1" w:rsidP="00E02448">
      <w:pPr>
        <w:spacing w:after="120"/>
        <w:ind w:left="3600" w:hanging="2160"/>
        <w:rPr>
          <w:rFonts w:eastAsia="Calibri"/>
        </w:rPr>
      </w:pPr>
      <w:r w:rsidRPr="009E1EBE">
        <w:rPr>
          <w:rFonts w:eastAsia="Calibri"/>
        </w:rPr>
        <w:t xml:space="preserve">Object Code 4000 </w:t>
      </w:r>
      <w:r w:rsidRPr="009E1EBE">
        <w:rPr>
          <w:rFonts w:eastAsia="Calibri"/>
        </w:rPr>
        <w:tab/>
      </w:r>
      <w:r w:rsidR="004101C0" w:rsidRPr="009E1EBE">
        <w:rPr>
          <w:rFonts w:eastAsia="Calibri"/>
        </w:rPr>
        <w:t>I</w:t>
      </w:r>
      <w:r w:rsidRPr="009E1EBE">
        <w:rPr>
          <w:rFonts w:eastAsia="Calibri"/>
        </w:rPr>
        <w:t xml:space="preserve">nternal printing to aid in </w:t>
      </w:r>
      <w:r w:rsidR="00E61D8E" w:rsidRPr="009E1EBE">
        <w:rPr>
          <w:rFonts w:eastAsia="Calibri"/>
        </w:rPr>
        <w:t>outreach, i</w:t>
      </w:r>
      <w:r w:rsidRPr="009E1EBE">
        <w:rPr>
          <w:rFonts w:eastAsia="Calibri"/>
        </w:rPr>
        <w:t xml:space="preserve">ntake, and </w:t>
      </w:r>
      <w:r w:rsidR="00E61D8E" w:rsidRPr="009E1EBE">
        <w:rPr>
          <w:rFonts w:eastAsia="Calibri"/>
        </w:rPr>
        <w:t>a</w:t>
      </w:r>
      <w:r w:rsidRPr="009E1EBE">
        <w:rPr>
          <w:rFonts w:eastAsia="Calibri"/>
        </w:rPr>
        <w:t>ssessments</w:t>
      </w:r>
    </w:p>
    <w:p w14:paraId="4A193C0B" w14:textId="194BF389" w:rsidR="008227D1" w:rsidRPr="009E1EBE" w:rsidRDefault="008227D1" w:rsidP="008227D1">
      <w:pPr>
        <w:spacing w:after="120"/>
        <w:ind w:left="3600" w:hanging="2160"/>
        <w:rPr>
          <w:rFonts w:eastAsia="Calibri"/>
        </w:rPr>
      </w:pPr>
      <w:r w:rsidRPr="009E1EBE">
        <w:rPr>
          <w:rFonts w:eastAsia="Calibri"/>
        </w:rPr>
        <w:t>Object Code 5000</w:t>
      </w:r>
      <w:r w:rsidRPr="009E1EBE">
        <w:rPr>
          <w:rFonts w:eastAsia="Calibri"/>
        </w:rPr>
        <w:tab/>
      </w:r>
      <w:r w:rsidR="00E02448" w:rsidRPr="009E1EBE">
        <w:rPr>
          <w:rFonts w:eastAsia="Calibri"/>
        </w:rPr>
        <w:t>Percentage</w:t>
      </w:r>
      <w:r w:rsidR="00E02448" w:rsidRPr="009E1EBE" w:rsidDel="00E02448">
        <w:rPr>
          <w:rFonts w:eastAsia="Calibri"/>
        </w:rPr>
        <w:t xml:space="preserve"> </w:t>
      </w:r>
      <w:r w:rsidRPr="009E1EBE">
        <w:rPr>
          <w:rFonts w:eastAsia="Calibri"/>
        </w:rPr>
        <w:t>of internet</w:t>
      </w:r>
      <w:r w:rsidR="00B6567C" w:rsidRPr="009E1EBE">
        <w:rPr>
          <w:rFonts w:eastAsia="Calibri"/>
        </w:rPr>
        <w:t xml:space="preserve"> and</w:t>
      </w:r>
      <w:r w:rsidRPr="009E1EBE">
        <w:rPr>
          <w:rFonts w:eastAsia="Calibri"/>
        </w:rPr>
        <w:t>/</w:t>
      </w:r>
      <w:r w:rsidR="00B6567C" w:rsidRPr="009E1EBE">
        <w:rPr>
          <w:rFonts w:eastAsia="Calibri"/>
        </w:rPr>
        <w:t xml:space="preserve">or </w:t>
      </w:r>
      <w:r w:rsidRPr="009E1EBE">
        <w:rPr>
          <w:rFonts w:eastAsia="Calibri"/>
        </w:rPr>
        <w:t xml:space="preserve">phone connections; postage used for </w:t>
      </w:r>
      <w:r w:rsidR="00E61D8E" w:rsidRPr="009E1EBE">
        <w:rPr>
          <w:rFonts w:eastAsia="Calibri"/>
        </w:rPr>
        <w:t>o</w:t>
      </w:r>
      <w:r w:rsidRPr="009E1EBE">
        <w:rPr>
          <w:rFonts w:eastAsia="Calibri"/>
        </w:rPr>
        <w:t xml:space="preserve">utreach; </w:t>
      </w:r>
      <w:r w:rsidR="004101C0" w:rsidRPr="009E1EBE">
        <w:rPr>
          <w:rFonts w:eastAsia="Calibri"/>
        </w:rPr>
        <w:t xml:space="preserve">percentage of </w:t>
      </w:r>
      <w:r w:rsidRPr="009E1EBE">
        <w:rPr>
          <w:rFonts w:eastAsia="Calibri"/>
        </w:rPr>
        <w:t>classroom space r</w:t>
      </w:r>
      <w:r w:rsidR="00E61D8E" w:rsidRPr="009E1EBE">
        <w:rPr>
          <w:rFonts w:eastAsia="Calibri"/>
        </w:rPr>
        <w:t>ental for assessment and intake</w:t>
      </w:r>
    </w:p>
    <w:p w14:paraId="513A4DE5" w14:textId="438EFD32" w:rsidR="004101C0" w:rsidRPr="009E1EBE" w:rsidRDefault="008227D1" w:rsidP="004101C0">
      <w:pPr>
        <w:spacing w:after="120"/>
        <w:ind w:left="3600" w:hanging="2160"/>
        <w:rPr>
          <w:rFonts w:eastAsia="Calibri"/>
        </w:rPr>
      </w:pPr>
      <w:r w:rsidRPr="009E1EBE">
        <w:rPr>
          <w:rFonts w:eastAsia="Calibri"/>
        </w:rPr>
        <w:t>Object Code 6000</w:t>
      </w:r>
      <w:r w:rsidRPr="009E1EBE">
        <w:rPr>
          <w:rFonts w:eastAsia="Calibri"/>
        </w:rPr>
        <w:tab/>
      </w:r>
      <w:r w:rsidR="004101C0" w:rsidRPr="009E1EBE">
        <w:rPr>
          <w:rFonts w:eastAsia="Calibri"/>
        </w:rPr>
        <w:t>C</w:t>
      </w:r>
      <w:r w:rsidRPr="009E1EBE">
        <w:rPr>
          <w:rFonts w:eastAsia="Calibri"/>
        </w:rPr>
        <w:t>ost of</w:t>
      </w:r>
      <w:r w:rsidR="009365D2" w:rsidRPr="009E1EBE">
        <w:rPr>
          <w:rFonts w:eastAsia="Calibri"/>
        </w:rPr>
        <w:t xml:space="preserve"> initial </w:t>
      </w:r>
      <w:r w:rsidRPr="009E1EBE">
        <w:rPr>
          <w:rFonts w:eastAsia="Calibri"/>
        </w:rPr>
        <w:t>assessment materials; materials and supplies used for intake; cost of computers</w:t>
      </w:r>
      <w:r w:rsidR="004101C0" w:rsidRPr="009E1EBE">
        <w:rPr>
          <w:rFonts w:eastAsia="Calibri"/>
        </w:rPr>
        <w:t>,</w:t>
      </w:r>
      <w:r w:rsidR="004815B6" w:rsidRPr="009E1EBE">
        <w:rPr>
          <w:rFonts w:eastAsia="Calibri"/>
        </w:rPr>
        <w:t xml:space="preserve"> printers</w:t>
      </w:r>
      <w:r w:rsidR="004101C0" w:rsidRPr="009E1EBE">
        <w:rPr>
          <w:rFonts w:eastAsia="Calibri"/>
        </w:rPr>
        <w:t>, and supplies</w:t>
      </w:r>
      <w:r w:rsidRPr="009E1EBE">
        <w:rPr>
          <w:rFonts w:eastAsia="Calibri"/>
        </w:rPr>
        <w:t xml:space="preserve"> used </w:t>
      </w:r>
      <w:r w:rsidR="004101C0" w:rsidRPr="009E1EBE">
        <w:rPr>
          <w:rFonts w:eastAsia="Calibri"/>
        </w:rPr>
        <w:t xml:space="preserve">exclusively </w:t>
      </w:r>
      <w:r w:rsidRPr="009E1EBE">
        <w:rPr>
          <w:rFonts w:eastAsia="Calibri"/>
        </w:rPr>
        <w:t>for intake and</w:t>
      </w:r>
      <w:r w:rsidR="009365D2" w:rsidRPr="009E1EBE">
        <w:rPr>
          <w:rFonts w:eastAsia="Calibri"/>
        </w:rPr>
        <w:t xml:space="preserve"> initial </w:t>
      </w:r>
      <w:r w:rsidRPr="009E1EBE">
        <w:rPr>
          <w:rFonts w:eastAsia="Calibri"/>
        </w:rPr>
        <w:t>assessments</w:t>
      </w:r>
    </w:p>
    <w:p w14:paraId="302492F3" w14:textId="77777777" w:rsidR="007A399D" w:rsidRPr="009E1EBE" w:rsidRDefault="00CB0F0E" w:rsidP="008227D1">
      <w:pPr>
        <w:pStyle w:val="Heading3"/>
        <w:rPr>
          <w:rFonts w:ascii="Times New Roman" w:hAnsi="Times New Roman" w:cs="Times New Roman"/>
          <w:color w:val="auto"/>
        </w:rPr>
      </w:pPr>
      <w:r w:rsidRPr="009E1EBE">
        <w:rPr>
          <w:rFonts w:ascii="Times New Roman" w:hAnsi="Times New Roman" w:cs="Times New Roman"/>
          <w:color w:val="auto"/>
        </w:rPr>
        <w:t>Category: Referrals and information dissemination</w:t>
      </w:r>
    </w:p>
    <w:p w14:paraId="06264DBF" w14:textId="12683099" w:rsidR="00CB0F0E" w:rsidRPr="009E1EBE" w:rsidRDefault="00CB0F0E" w:rsidP="00442CF3">
      <w:pPr>
        <w:spacing w:after="120" w:line="276" w:lineRule="auto"/>
      </w:pPr>
      <w:r w:rsidRPr="009E1EBE">
        <w:t xml:space="preserve">Programs </w:t>
      </w:r>
      <w:r w:rsidR="007A399D" w:rsidRPr="009E1EBE">
        <w:t>may</w:t>
      </w:r>
      <w:r w:rsidRPr="009E1EBE">
        <w:t xml:space="preserve"> deliver these interrelated services through staff positions variously titled counselors, transition specialist, liaison, </w:t>
      </w:r>
      <w:r w:rsidR="00B6567C" w:rsidRPr="009E1EBE">
        <w:t>or</w:t>
      </w:r>
      <w:r w:rsidRPr="009E1EBE">
        <w:t xml:space="preserve"> navigators as well as by instructors at satellite classes. Programs may calculate the cost of these services based on: </w:t>
      </w:r>
    </w:p>
    <w:p w14:paraId="06814739" w14:textId="36D61838" w:rsidR="00CB0F0E" w:rsidRPr="009E1EBE" w:rsidRDefault="00CB0F0E" w:rsidP="00442CF3">
      <w:pPr>
        <w:spacing w:after="120" w:line="276" w:lineRule="auto"/>
        <w:ind w:left="720"/>
      </w:pPr>
      <w:r w:rsidRPr="009E1EBE">
        <w:rPr>
          <w:b/>
        </w:rPr>
        <w:t>Materials</w:t>
      </w:r>
      <w:r w:rsidRPr="009E1EBE">
        <w:t xml:space="preserve"> provided to students with this information, tracked as cost estimates in budget</w:t>
      </w:r>
      <w:r w:rsidR="00B6567C" w:rsidRPr="009E1EBE">
        <w:t xml:space="preserve"> workbook</w:t>
      </w:r>
      <w:r w:rsidRPr="009E1EBE">
        <w:t>s and as actual costs in reimbursement requests</w:t>
      </w:r>
      <w:r w:rsidR="006D030E" w:rsidRPr="009E1EBE">
        <w:t>; and</w:t>
      </w:r>
    </w:p>
    <w:p w14:paraId="2895F6FA" w14:textId="4DEDD36B" w:rsidR="00CB0F0E" w:rsidRPr="009E1EBE" w:rsidRDefault="00CB0F0E" w:rsidP="00442CF3">
      <w:pPr>
        <w:spacing w:after="120" w:line="276" w:lineRule="auto"/>
        <w:ind w:left="720"/>
      </w:pPr>
      <w:r w:rsidRPr="009E1EBE">
        <w:rPr>
          <w:b/>
        </w:rPr>
        <w:t>Percentage of staff time</w:t>
      </w:r>
      <w:r w:rsidRPr="009E1EBE">
        <w:t xml:space="preserve"> (which may include employee benefits) devoted to these activities</w:t>
      </w:r>
      <w:r w:rsidR="006D030E" w:rsidRPr="009E1EBE">
        <w:t>.</w:t>
      </w:r>
    </w:p>
    <w:p w14:paraId="7C95003E" w14:textId="71EC26F9" w:rsidR="00CB0F0E" w:rsidRPr="009E1EBE" w:rsidRDefault="00CB0F0E" w:rsidP="00B6567C">
      <w:pPr>
        <w:spacing w:after="120" w:line="276" w:lineRule="auto"/>
        <w:ind w:left="720"/>
      </w:pPr>
      <w:r w:rsidRPr="009E1EBE">
        <w:rPr>
          <w:b/>
        </w:rPr>
        <w:t>Examples of allowable costs</w:t>
      </w:r>
      <w:r w:rsidR="00355395" w:rsidRPr="009E1EBE">
        <w:rPr>
          <w:b/>
        </w:rPr>
        <w:t xml:space="preserve"> and budget codes</w:t>
      </w:r>
      <w:r w:rsidR="0074252E" w:rsidRPr="009E1EBE">
        <w:rPr>
          <w:b/>
        </w:rPr>
        <w:t xml:space="preserve"> </w:t>
      </w:r>
      <w:r w:rsidR="0074252E" w:rsidRPr="009E1EBE">
        <w:rPr>
          <w:rFonts w:eastAsia="Calibri"/>
          <w:b/>
        </w:rPr>
        <w:t>under this category</w:t>
      </w:r>
      <w:r w:rsidRPr="009E1EBE">
        <w:rPr>
          <w:b/>
        </w:rPr>
        <w:t>:</w:t>
      </w:r>
    </w:p>
    <w:p w14:paraId="3D2806E0" w14:textId="087B6D9B" w:rsidR="00E61D8E" w:rsidRPr="009E1EBE" w:rsidRDefault="00E61D8E" w:rsidP="00E61D8E">
      <w:pPr>
        <w:spacing w:after="120"/>
        <w:ind w:left="3600" w:hanging="2160"/>
        <w:rPr>
          <w:rFonts w:eastAsia="Calibri"/>
        </w:rPr>
      </w:pPr>
      <w:r w:rsidRPr="009E1EBE">
        <w:rPr>
          <w:rFonts w:eastAsia="Calibri"/>
        </w:rPr>
        <w:t>Object Code 1000</w:t>
      </w:r>
      <w:r w:rsidRPr="009E1EBE">
        <w:rPr>
          <w:rFonts w:eastAsia="Calibri"/>
        </w:rPr>
        <w:tab/>
        <w:t>Percentage of salary of staff performing referral and information dissemination activities</w:t>
      </w:r>
    </w:p>
    <w:p w14:paraId="3466145C" w14:textId="5BC703C3" w:rsidR="00E61D8E" w:rsidRPr="009E1EBE" w:rsidRDefault="00E61D8E" w:rsidP="00E61D8E">
      <w:pPr>
        <w:spacing w:after="120"/>
        <w:ind w:left="3600" w:hanging="2160"/>
        <w:rPr>
          <w:rFonts w:eastAsia="Calibri"/>
        </w:rPr>
      </w:pPr>
      <w:r w:rsidRPr="009E1EBE">
        <w:rPr>
          <w:rFonts w:eastAsia="Calibri"/>
        </w:rPr>
        <w:t>Object Code 2000</w:t>
      </w:r>
      <w:r w:rsidRPr="009E1EBE">
        <w:rPr>
          <w:rFonts w:eastAsia="Calibri"/>
        </w:rPr>
        <w:tab/>
      </w:r>
      <w:r w:rsidR="00BE4AA6" w:rsidRPr="009E1EBE">
        <w:rPr>
          <w:rFonts w:eastAsia="Calibri"/>
        </w:rPr>
        <w:t>P</w:t>
      </w:r>
      <w:r w:rsidRPr="009E1EBE">
        <w:rPr>
          <w:rFonts w:eastAsia="Calibri"/>
        </w:rPr>
        <w:t xml:space="preserve">ercentage of </w:t>
      </w:r>
      <w:r w:rsidR="004101C0" w:rsidRPr="009E1EBE">
        <w:rPr>
          <w:rFonts w:eastAsia="Calibri"/>
        </w:rPr>
        <w:t>FICA</w:t>
      </w:r>
      <w:r w:rsidR="00BE4AA6" w:rsidRPr="009E1EBE">
        <w:rPr>
          <w:rFonts w:eastAsia="Calibri"/>
        </w:rPr>
        <w:t xml:space="preserve"> </w:t>
      </w:r>
      <w:r w:rsidR="006D030E" w:rsidRPr="009E1EBE">
        <w:rPr>
          <w:rFonts w:eastAsia="Calibri"/>
        </w:rPr>
        <w:t>of staff performing referral and information dissemination activities</w:t>
      </w:r>
    </w:p>
    <w:p w14:paraId="5643C77E" w14:textId="79ACB0A8" w:rsidR="001B7C6B" w:rsidRPr="009E1EBE" w:rsidRDefault="001B7C6B" w:rsidP="001B7C6B">
      <w:pPr>
        <w:spacing w:after="120"/>
        <w:ind w:left="3600" w:hanging="2160"/>
        <w:rPr>
          <w:rFonts w:eastAsia="Calibri"/>
        </w:rPr>
      </w:pPr>
      <w:r w:rsidRPr="009E1EBE">
        <w:rPr>
          <w:rFonts w:eastAsia="Calibri"/>
        </w:rPr>
        <w:lastRenderedPageBreak/>
        <w:t>Object Code 3000</w:t>
      </w:r>
      <w:r w:rsidRPr="009E1EBE">
        <w:rPr>
          <w:rFonts w:eastAsia="Calibri"/>
        </w:rPr>
        <w:tab/>
      </w:r>
      <w:r w:rsidR="004815B6" w:rsidRPr="009E1EBE">
        <w:rPr>
          <w:rFonts w:eastAsia="Calibri"/>
        </w:rPr>
        <w:t>Contracted copier services</w:t>
      </w:r>
      <w:r w:rsidR="009E1EBE" w:rsidRPr="009E1EBE">
        <w:rPr>
          <w:rFonts w:eastAsia="Calibri"/>
        </w:rPr>
        <w:t>;</w:t>
      </w:r>
      <w:r w:rsidR="004815B6" w:rsidRPr="009E1EBE">
        <w:rPr>
          <w:rFonts w:eastAsia="Calibri"/>
        </w:rPr>
        <w:t xml:space="preserve"> contracted printing</w:t>
      </w:r>
      <w:r w:rsidR="009E1EBE" w:rsidRPr="009E1EBE">
        <w:rPr>
          <w:rFonts w:eastAsia="Calibri"/>
        </w:rPr>
        <w:t>;</w:t>
      </w:r>
      <w:r w:rsidR="004815B6" w:rsidRPr="009E1EBE">
        <w:rPr>
          <w:rFonts w:eastAsia="Calibri"/>
        </w:rPr>
        <w:t xml:space="preserve"> video creation for </w:t>
      </w:r>
      <w:r w:rsidR="00A8504F" w:rsidRPr="009E1EBE">
        <w:rPr>
          <w:rFonts w:eastAsia="Calibri"/>
        </w:rPr>
        <w:t xml:space="preserve">orientation or </w:t>
      </w:r>
      <w:r w:rsidR="004815B6" w:rsidRPr="009E1EBE">
        <w:rPr>
          <w:rFonts w:eastAsia="Calibri"/>
        </w:rPr>
        <w:t>dissemination of referrals and information</w:t>
      </w:r>
    </w:p>
    <w:p w14:paraId="47DFDC68" w14:textId="61F0A2BD" w:rsidR="001B7C6B" w:rsidRPr="009E1EBE" w:rsidRDefault="001B7C6B" w:rsidP="001B7C6B">
      <w:pPr>
        <w:spacing w:after="120"/>
        <w:ind w:left="3600" w:hanging="2160"/>
        <w:rPr>
          <w:rFonts w:eastAsia="Calibri"/>
        </w:rPr>
      </w:pPr>
      <w:r w:rsidRPr="009E1EBE">
        <w:rPr>
          <w:rFonts w:eastAsia="Calibri"/>
        </w:rPr>
        <w:t xml:space="preserve">Object Code 4000 </w:t>
      </w:r>
      <w:r w:rsidRPr="009E1EBE">
        <w:rPr>
          <w:rFonts w:eastAsia="Calibri"/>
        </w:rPr>
        <w:tab/>
      </w:r>
      <w:r w:rsidR="004101C0" w:rsidRPr="009E1EBE">
        <w:rPr>
          <w:rFonts w:eastAsia="Calibri"/>
        </w:rPr>
        <w:t>I</w:t>
      </w:r>
      <w:r w:rsidRPr="009E1EBE">
        <w:rPr>
          <w:rFonts w:eastAsia="Calibri"/>
        </w:rPr>
        <w:t>nternal printing to aid in referrals and information dissemination</w:t>
      </w:r>
    </w:p>
    <w:p w14:paraId="439C8C7A" w14:textId="29B0A817" w:rsidR="00E61D8E" w:rsidRPr="009E1EBE" w:rsidRDefault="00E61D8E" w:rsidP="00E61D8E">
      <w:pPr>
        <w:spacing w:after="120"/>
        <w:ind w:left="3600" w:hanging="2160"/>
        <w:rPr>
          <w:rFonts w:eastAsia="Calibri"/>
        </w:rPr>
      </w:pPr>
      <w:r w:rsidRPr="009E1EBE">
        <w:rPr>
          <w:rFonts w:eastAsia="Calibri"/>
        </w:rPr>
        <w:t xml:space="preserve">Object Code </w:t>
      </w:r>
      <w:r w:rsidR="001B7C6B" w:rsidRPr="009E1EBE">
        <w:rPr>
          <w:rFonts w:eastAsia="Calibri"/>
        </w:rPr>
        <w:t>5</w:t>
      </w:r>
      <w:r w:rsidRPr="009E1EBE">
        <w:rPr>
          <w:rFonts w:eastAsia="Calibri"/>
        </w:rPr>
        <w:t>000</w:t>
      </w:r>
      <w:r w:rsidRPr="009E1EBE">
        <w:rPr>
          <w:rFonts w:eastAsia="Calibri"/>
        </w:rPr>
        <w:tab/>
      </w:r>
      <w:r w:rsidR="001B7C6B" w:rsidRPr="009E1EBE">
        <w:rPr>
          <w:rFonts w:eastAsia="Calibri"/>
        </w:rPr>
        <w:t>Percentage</w:t>
      </w:r>
      <w:r w:rsidR="001B7C6B" w:rsidRPr="009E1EBE" w:rsidDel="00E02448">
        <w:rPr>
          <w:rFonts w:eastAsia="Calibri"/>
        </w:rPr>
        <w:t xml:space="preserve"> </w:t>
      </w:r>
      <w:r w:rsidR="001B7C6B" w:rsidRPr="009E1EBE">
        <w:rPr>
          <w:rFonts w:eastAsia="Calibri"/>
        </w:rPr>
        <w:t>of internet</w:t>
      </w:r>
      <w:r w:rsidR="00B6567C" w:rsidRPr="009E1EBE">
        <w:rPr>
          <w:rFonts w:eastAsia="Calibri"/>
        </w:rPr>
        <w:t xml:space="preserve"> and/or </w:t>
      </w:r>
      <w:r w:rsidR="001B7C6B" w:rsidRPr="009E1EBE">
        <w:rPr>
          <w:rFonts w:eastAsia="Calibri"/>
        </w:rPr>
        <w:t xml:space="preserve">phone connections; postage used for referrals and information dissemination; </w:t>
      </w:r>
      <w:r w:rsidR="009417D7" w:rsidRPr="009E1EBE">
        <w:rPr>
          <w:rFonts w:eastAsia="Calibri"/>
        </w:rPr>
        <w:t>p</w:t>
      </w:r>
      <w:r w:rsidR="001B7C6B" w:rsidRPr="009E1EBE">
        <w:rPr>
          <w:rFonts w:eastAsia="Calibri"/>
        </w:rPr>
        <w:t>ercentage of office space rental</w:t>
      </w:r>
      <w:r w:rsidR="00B6567C" w:rsidRPr="009E1EBE">
        <w:rPr>
          <w:rFonts w:eastAsia="Calibri"/>
        </w:rPr>
        <w:t xml:space="preserve"> and/or </w:t>
      </w:r>
      <w:r w:rsidR="004815B6" w:rsidRPr="009E1EBE">
        <w:rPr>
          <w:rFonts w:eastAsia="Calibri"/>
        </w:rPr>
        <w:t>utilities</w:t>
      </w:r>
      <w:r w:rsidR="001B7C6B" w:rsidRPr="009E1EBE">
        <w:rPr>
          <w:rFonts w:eastAsia="Calibri"/>
        </w:rPr>
        <w:t xml:space="preserve"> for referrals and information dissemination</w:t>
      </w:r>
      <w:r w:rsidR="004815B6" w:rsidRPr="009E1EBE">
        <w:rPr>
          <w:rFonts w:eastAsia="Calibri"/>
        </w:rPr>
        <w:t>; orientation resources</w:t>
      </w:r>
    </w:p>
    <w:p w14:paraId="4A51FDF7" w14:textId="6901DE8D" w:rsidR="001B7C6B" w:rsidRPr="009E1EBE" w:rsidRDefault="001B7C6B" w:rsidP="00E61D8E">
      <w:pPr>
        <w:spacing w:after="120"/>
        <w:ind w:left="3600" w:hanging="2160"/>
        <w:rPr>
          <w:rFonts w:eastAsia="Calibri"/>
        </w:rPr>
      </w:pPr>
      <w:r w:rsidRPr="009E1EBE">
        <w:rPr>
          <w:rFonts w:eastAsia="Calibri"/>
        </w:rPr>
        <w:t>Object Code 6000</w:t>
      </w:r>
      <w:r w:rsidRPr="009E1EBE">
        <w:rPr>
          <w:rFonts w:eastAsia="Calibri"/>
        </w:rPr>
        <w:tab/>
      </w:r>
      <w:r w:rsidR="004101C0" w:rsidRPr="009E1EBE">
        <w:rPr>
          <w:rFonts w:eastAsia="Calibri"/>
        </w:rPr>
        <w:t>C</w:t>
      </w:r>
      <w:r w:rsidRPr="009E1EBE">
        <w:rPr>
          <w:rFonts w:eastAsia="Calibri"/>
        </w:rPr>
        <w:t>ost of materials and supplies used for referrals and information dissemination</w:t>
      </w:r>
    </w:p>
    <w:p w14:paraId="12E17741" w14:textId="77777777" w:rsidR="00CB0F0E" w:rsidRPr="009E1EBE" w:rsidRDefault="00CB0F0E" w:rsidP="008227D1">
      <w:pPr>
        <w:pStyle w:val="Heading3"/>
        <w:rPr>
          <w:rFonts w:ascii="Times New Roman" w:hAnsi="Times New Roman" w:cs="Times New Roman"/>
          <w:color w:val="auto"/>
        </w:rPr>
      </w:pPr>
      <w:r w:rsidRPr="009E1EBE">
        <w:rPr>
          <w:rFonts w:ascii="Times New Roman" w:hAnsi="Times New Roman" w:cs="Times New Roman"/>
          <w:color w:val="auto"/>
        </w:rPr>
        <w:t>Category: Supportive services and assistance</w:t>
      </w:r>
    </w:p>
    <w:p w14:paraId="6EA8B860" w14:textId="0AA439E2" w:rsidR="00CB0F0E" w:rsidRPr="009E1EBE" w:rsidRDefault="00CB0F0E" w:rsidP="00442CF3">
      <w:pPr>
        <w:spacing w:after="120" w:line="276" w:lineRule="auto"/>
      </w:pPr>
      <w:r w:rsidRPr="009E1EBE">
        <w:t>Programs may deliver and</w:t>
      </w:r>
      <w:r w:rsidR="00BE4AA6" w:rsidRPr="009E1EBE">
        <w:t>/or</w:t>
      </w:r>
      <w:r w:rsidRPr="009E1EBE">
        <w:t xml:space="preserve"> arrange for these supportive services</w:t>
      </w:r>
      <w:r w:rsidR="00E63594" w:rsidRPr="009E1EBE">
        <w:t xml:space="preserve"> to be delivered</w:t>
      </w:r>
      <w:r w:rsidRPr="009E1EBE">
        <w:t xml:space="preserve"> in various ways and with a variety of partner agencies. </w:t>
      </w:r>
      <w:r w:rsidR="00BE4AA6" w:rsidRPr="009E1EBE">
        <w:t xml:space="preserve">Programs are encouraged to partner with other WIOA and community partners to offer these supportive services to students. </w:t>
      </w:r>
      <w:r w:rsidRPr="009E1EBE">
        <w:t>Programs may calculate the cost of these services based on:</w:t>
      </w:r>
    </w:p>
    <w:p w14:paraId="59B62AD1" w14:textId="792D450E" w:rsidR="00CB0F0E" w:rsidRPr="009E1EBE" w:rsidRDefault="00CB0F0E" w:rsidP="00442CF3">
      <w:pPr>
        <w:spacing w:after="120" w:line="276" w:lineRule="auto"/>
        <w:ind w:left="720"/>
      </w:pPr>
      <w:r w:rsidRPr="009E1EBE">
        <w:rPr>
          <w:b/>
        </w:rPr>
        <w:t xml:space="preserve">Materials </w:t>
      </w:r>
      <w:r w:rsidRPr="009E1EBE">
        <w:t>provided to students with this information, tracked as actual costs in budget</w:t>
      </w:r>
      <w:r w:rsidR="00B6567C" w:rsidRPr="009E1EBE">
        <w:t xml:space="preserve"> workbook</w:t>
      </w:r>
      <w:r w:rsidRPr="009E1EBE">
        <w:t>s and reimbursement requests</w:t>
      </w:r>
      <w:r w:rsidR="006D030E" w:rsidRPr="009E1EBE">
        <w:t>; and</w:t>
      </w:r>
    </w:p>
    <w:p w14:paraId="3C957C27" w14:textId="7120CF0E" w:rsidR="00CB0F0E" w:rsidRPr="009E1EBE" w:rsidRDefault="00CB0F0E" w:rsidP="00442CF3">
      <w:pPr>
        <w:spacing w:after="120" w:line="276" w:lineRule="auto"/>
        <w:ind w:left="720"/>
      </w:pPr>
      <w:r w:rsidRPr="009E1EBE">
        <w:rPr>
          <w:b/>
        </w:rPr>
        <w:t>Percentage of staff time</w:t>
      </w:r>
      <w:r w:rsidRPr="009E1EBE">
        <w:t xml:space="preserve"> (which may include employee benefits) devoted to these activities</w:t>
      </w:r>
      <w:r w:rsidR="006D030E" w:rsidRPr="009E1EBE">
        <w:t>.</w:t>
      </w:r>
    </w:p>
    <w:p w14:paraId="64A1A75C" w14:textId="3AF3EA7D" w:rsidR="00CB0F0E" w:rsidRPr="009E1EBE" w:rsidRDefault="00CB0F0E" w:rsidP="00442CF3">
      <w:pPr>
        <w:spacing w:after="120" w:line="276" w:lineRule="auto"/>
        <w:ind w:left="720"/>
        <w:rPr>
          <w:b/>
        </w:rPr>
      </w:pPr>
      <w:r w:rsidRPr="009E1EBE">
        <w:rPr>
          <w:b/>
        </w:rPr>
        <w:t>Examples of allowable costs</w:t>
      </w:r>
      <w:r w:rsidR="00355395" w:rsidRPr="009E1EBE">
        <w:rPr>
          <w:b/>
        </w:rPr>
        <w:t xml:space="preserve"> and budget codes</w:t>
      </w:r>
      <w:r w:rsidR="0074252E" w:rsidRPr="009E1EBE">
        <w:rPr>
          <w:b/>
        </w:rPr>
        <w:t xml:space="preserve"> </w:t>
      </w:r>
      <w:r w:rsidR="0074252E" w:rsidRPr="009E1EBE">
        <w:rPr>
          <w:rFonts w:eastAsia="Calibri"/>
          <w:b/>
        </w:rPr>
        <w:t>under this category</w:t>
      </w:r>
      <w:r w:rsidRPr="009E1EBE">
        <w:rPr>
          <w:b/>
        </w:rPr>
        <w:t>:</w:t>
      </w:r>
    </w:p>
    <w:p w14:paraId="2E8A589E" w14:textId="1A0BF740" w:rsidR="001B5071" w:rsidRPr="009E1EBE" w:rsidRDefault="001B5071" w:rsidP="00FF157D">
      <w:pPr>
        <w:spacing w:after="120" w:line="276" w:lineRule="auto"/>
        <w:ind w:left="3600" w:hanging="2160"/>
      </w:pPr>
      <w:r w:rsidRPr="009E1EBE">
        <w:t>Object Code 1000</w:t>
      </w:r>
      <w:r w:rsidR="004815B6" w:rsidRPr="009E1EBE">
        <w:tab/>
      </w:r>
      <w:r w:rsidR="00BE4AA6" w:rsidRPr="009E1EBE">
        <w:rPr>
          <w:rFonts w:eastAsia="Calibri"/>
        </w:rPr>
        <w:t xml:space="preserve">Percentage of salary of staff performing </w:t>
      </w:r>
      <w:r w:rsidR="00FF157D" w:rsidRPr="009E1EBE">
        <w:rPr>
          <w:rFonts w:eastAsia="Calibri"/>
        </w:rPr>
        <w:t>or coordinat</w:t>
      </w:r>
      <w:r w:rsidR="00B6567C" w:rsidRPr="009E1EBE">
        <w:rPr>
          <w:rFonts w:eastAsia="Calibri"/>
        </w:rPr>
        <w:t>ing</w:t>
      </w:r>
      <w:r w:rsidR="00FF157D" w:rsidRPr="009E1EBE">
        <w:rPr>
          <w:rFonts w:eastAsia="Calibri"/>
        </w:rPr>
        <w:t xml:space="preserve"> </w:t>
      </w:r>
      <w:r w:rsidR="00BE4AA6" w:rsidRPr="009E1EBE">
        <w:rPr>
          <w:rFonts w:eastAsia="Calibri"/>
        </w:rPr>
        <w:t>supportive services</w:t>
      </w:r>
    </w:p>
    <w:p w14:paraId="36081AD8" w14:textId="0B63FC1D" w:rsidR="001B5071" w:rsidRPr="009E1EBE" w:rsidRDefault="001B5071" w:rsidP="00BE4AA6">
      <w:pPr>
        <w:spacing w:after="120" w:line="276" w:lineRule="auto"/>
        <w:ind w:left="3600" w:hanging="2160"/>
      </w:pPr>
      <w:r w:rsidRPr="009E1EBE">
        <w:t>Object Code 2000</w:t>
      </w:r>
      <w:r w:rsidR="004815B6" w:rsidRPr="009E1EBE">
        <w:tab/>
      </w:r>
      <w:r w:rsidR="00BE4AA6" w:rsidRPr="009E1EBE">
        <w:rPr>
          <w:rFonts w:eastAsia="Calibri"/>
        </w:rPr>
        <w:t xml:space="preserve">Percentage of </w:t>
      </w:r>
      <w:r w:rsidR="004101C0" w:rsidRPr="009E1EBE">
        <w:rPr>
          <w:rFonts w:eastAsia="Calibri"/>
        </w:rPr>
        <w:t>FICA</w:t>
      </w:r>
      <w:r w:rsidR="00BE4AA6" w:rsidRPr="009E1EBE">
        <w:rPr>
          <w:rFonts w:eastAsia="Calibri"/>
        </w:rPr>
        <w:t xml:space="preserve"> </w:t>
      </w:r>
      <w:r w:rsidR="006D030E" w:rsidRPr="009E1EBE">
        <w:rPr>
          <w:rFonts w:eastAsia="Calibri"/>
        </w:rPr>
        <w:t>of staff performing or coordinati</w:t>
      </w:r>
      <w:r w:rsidR="00B6567C" w:rsidRPr="009E1EBE">
        <w:rPr>
          <w:rFonts w:eastAsia="Calibri"/>
        </w:rPr>
        <w:t>ng</w:t>
      </w:r>
      <w:r w:rsidR="006D030E" w:rsidRPr="009E1EBE">
        <w:rPr>
          <w:rFonts w:eastAsia="Calibri"/>
        </w:rPr>
        <w:t xml:space="preserve"> supportive services</w:t>
      </w:r>
    </w:p>
    <w:p w14:paraId="5C38B17E" w14:textId="77777777" w:rsidR="00CB0F0E" w:rsidRPr="009E1EBE" w:rsidRDefault="00355395" w:rsidP="008227D1">
      <w:pPr>
        <w:pStyle w:val="Heading3"/>
        <w:rPr>
          <w:rFonts w:ascii="Times New Roman" w:hAnsi="Times New Roman" w:cs="Times New Roman"/>
          <w:color w:val="auto"/>
        </w:rPr>
      </w:pPr>
      <w:r w:rsidRPr="009E1EBE">
        <w:rPr>
          <w:rFonts w:ascii="Times New Roman" w:hAnsi="Times New Roman" w:cs="Times New Roman"/>
          <w:color w:val="auto"/>
        </w:rPr>
        <w:t>Category: Training</w:t>
      </w:r>
    </w:p>
    <w:p w14:paraId="05FE1E0C" w14:textId="421D1B9F" w:rsidR="00355395" w:rsidRPr="009E1EBE" w:rsidRDefault="00D04BE9" w:rsidP="00442CF3">
      <w:pPr>
        <w:spacing w:after="120" w:line="276" w:lineRule="auto"/>
      </w:pPr>
      <w:r w:rsidRPr="009E1EBE">
        <w:t>Under WIOA</w:t>
      </w:r>
      <w:r w:rsidR="00BB2E16" w:rsidRPr="009E1EBE">
        <w:t xml:space="preserve">, title II providers </w:t>
      </w:r>
      <w:r w:rsidRPr="009E1EBE">
        <w:t>are expected to</w:t>
      </w:r>
      <w:r w:rsidR="00BB2E16" w:rsidRPr="009E1EBE">
        <w:t xml:space="preserve"> establish partnerships w</w:t>
      </w:r>
      <w:r w:rsidR="00C12EF0" w:rsidRPr="009E1EBE">
        <w:t xml:space="preserve">ith </w:t>
      </w:r>
      <w:r w:rsidR="006D030E" w:rsidRPr="009E1EBE">
        <w:t>occupational</w:t>
      </w:r>
      <w:r w:rsidR="00C12EF0" w:rsidRPr="009E1EBE">
        <w:t xml:space="preserve"> training providers</w:t>
      </w:r>
      <w:r w:rsidR="00BB2E16" w:rsidRPr="009E1EBE">
        <w:t xml:space="preserve"> </w:t>
      </w:r>
      <w:r w:rsidR="00C239A2">
        <w:t xml:space="preserve">and other workforce partners </w:t>
      </w:r>
      <w:r w:rsidR="00C12EF0" w:rsidRPr="009E1EBE">
        <w:t>to</w:t>
      </w:r>
      <w:r w:rsidR="00AD4DF2" w:rsidRPr="009E1EBE">
        <w:t xml:space="preserve"> </w:t>
      </w:r>
      <w:r w:rsidR="00161A87" w:rsidRPr="009E1EBE">
        <w:t>deliver</w:t>
      </w:r>
      <w:r w:rsidR="00AD4DF2" w:rsidRPr="009E1EBE">
        <w:t xml:space="preserve"> </w:t>
      </w:r>
      <w:r w:rsidR="003A0A58" w:rsidRPr="009E1EBE">
        <w:t>Integrated Education and T</w:t>
      </w:r>
      <w:r w:rsidR="00AD4DF2" w:rsidRPr="009E1EBE">
        <w:t>raining</w:t>
      </w:r>
      <w:r w:rsidR="003A0A58" w:rsidRPr="009E1EBE">
        <w:t xml:space="preserve"> (IET</w:t>
      </w:r>
      <w:r w:rsidR="004D5D81" w:rsidRPr="009E1EBE">
        <w:t>) when possible</w:t>
      </w:r>
      <w:r w:rsidR="00AD4DF2" w:rsidRPr="009E1EBE">
        <w:t xml:space="preserve">. </w:t>
      </w:r>
      <w:r w:rsidR="003A0A58" w:rsidRPr="009E1EBE">
        <w:t xml:space="preserve">Title II funds may be used to support the following costs in support of IET programs: </w:t>
      </w:r>
      <w:r w:rsidR="00355395" w:rsidRPr="009E1EBE">
        <w:t xml:space="preserve">student tuition </w:t>
      </w:r>
      <w:r w:rsidR="007A399D" w:rsidRPr="009E1EBE">
        <w:t>(termed “tuition” whether the training is offered at an institution of higher education or other qualified training provider)</w:t>
      </w:r>
      <w:r w:rsidR="00161A87" w:rsidRPr="009E1EBE">
        <w:t>;</w:t>
      </w:r>
      <w:r w:rsidR="00066BF0" w:rsidRPr="009E1EBE">
        <w:t xml:space="preserve"> </w:t>
      </w:r>
      <w:r w:rsidR="006D030E" w:rsidRPr="009E1EBE">
        <w:t xml:space="preserve">participant support costs such as </w:t>
      </w:r>
      <w:r w:rsidR="00066BF0" w:rsidRPr="009E1EBE">
        <w:t xml:space="preserve">student or </w:t>
      </w:r>
      <w:r w:rsidR="00C12EF0" w:rsidRPr="009E1EBE">
        <w:t>activity</w:t>
      </w:r>
      <w:r w:rsidR="00066BF0" w:rsidRPr="009E1EBE">
        <w:t xml:space="preserve"> fees</w:t>
      </w:r>
      <w:r w:rsidR="00161A87" w:rsidRPr="009E1EBE">
        <w:t>;</w:t>
      </w:r>
      <w:r w:rsidR="00355395" w:rsidRPr="009E1EBE">
        <w:t xml:space="preserve"> </w:t>
      </w:r>
      <w:r w:rsidR="003A0A58" w:rsidRPr="009E1EBE">
        <w:t>materials</w:t>
      </w:r>
      <w:r w:rsidR="00DD5D8B" w:rsidRPr="009E1EBE">
        <w:t>, supplies,</w:t>
      </w:r>
      <w:r w:rsidR="003A0A58" w:rsidRPr="009E1EBE">
        <w:t xml:space="preserve"> and equipment</w:t>
      </w:r>
      <w:r w:rsidR="00161A87" w:rsidRPr="009E1EBE">
        <w:t xml:space="preserve"> used for instruction;</w:t>
      </w:r>
      <w:r w:rsidR="003A0A58" w:rsidRPr="009E1EBE">
        <w:t xml:space="preserve"> </w:t>
      </w:r>
      <w:r w:rsidR="00355395" w:rsidRPr="009E1EBE">
        <w:t xml:space="preserve">and </w:t>
      </w:r>
      <w:r w:rsidR="00BE4AA6" w:rsidRPr="009E1EBE">
        <w:t>procured</w:t>
      </w:r>
      <w:r w:rsidR="00C12EF0" w:rsidRPr="009E1EBE">
        <w:t xml:space="preserve"> training instructor</w:t>
      </w:r>
      <w:r w:rsidR="00BE4AA6" w:rsidRPr="009E1EBE">
        <w:t xml:space="preserve"> costs</w:t>
      </w:r>
      <w:r w:rsidR="00355395" w:rsidRPr="009E1EBE">
        <w:t>.</w:t>
      </w:r>
      <w:r w:rsidR="003A0A58" w:rsidRPr="009E1EBE">
        <w:t xml:space="preserve"> </w:t>
      </w:r>
      <w:r w:rsidR="00161A87" w:rsidRPr="009E1EBE">
        <w:t>Title II funds may be used to purchase credential assessments</w:t>
      </w:r>
      <w:r w:rsidR="00C239A2">
        <w:t xml:space="preserve"> for recognized postsecondary credentials</w:t>
      </w:r>
      <w:r w:rsidR="00161A87" w:rsidRPr="009E1EBE">
        <w:t>.</w:t>
      </w:r>
    </w:p>
    <w:p w14:paraId="012E131E" w14:textId="77777777" w:rsidR="009B2971" w:rsidRDefault="009B2971" w:rsidP="00442CF3">
      <w:pPr>
        <w:spacing w:after="120" w:line="276" w:lineRule="auto"/>
        <w:ind w:left="720"/>
        <w:rPr>
          <w:b/>
        </w:rPr>
      </w:pPr>
      <w:r>
        <w:rPr>
          <w:b/>
        </w:rPr>
        <w:br w:type="page"/>
      </w:r>
    </w:p>
    <w:p w14:paraId="477285DF" w14:textId="3E13303B" w:rsidR="00355395" w:rsidRPr="009E1EBE" w:rsidRDefault="00355395" w:rsidP="00442CF3">
      <w:pPr>
        <w:spacing w:after="120" w:line="276" w:lineRule="auto"/>
        <w:ind w:left="720"/>
        <w:rPr>
          <w:b/>
        </w:rPr>
      </w:pPr>
      <w:r w:rsidRPr="009E1EBE">
        <w:rPr>
          <w:b/>
        </w:rPr>
        <w:lastRenderedPageBreak/>
        <w:t>Examples of allowable costs and budget codes</w:t>
      </w:r>
      <w:r w:rsidR="0074252E" w:rsidRPr="009E1EBE">
        <w:rPr>
          <w:b/>
        </w:rPr>
        <w:t xml:space="preserve"> </w:t>
      </w:r>
      <w:r w:rsidR="0074252E" w:rsidRPr="009E1EBE">
        <w:rPr>
          <w:rFonts w:eastAsia="Calibri"/>
          <w:b/>
        </w:rPr>
        <w:t>under this category</w:t>
      </w:r>
      <w:r w:rsidRPr="009E1EBE">
        <w:rPr>
          <w:b/>
        </w:rPr>
        <w:t>:</w:t>
      </w:r>
    </w:p>
    <w:p w14:paraId="4D6EB770" w14:textId="19669937" w:rsidR="004C606E" w:rsidRPr="009E1EBE" w:rsidRDefault="004C606E" w:rsidP="004C606E">
      <w:pPr>
        <w:spacing w:after="120" w:line="276" w:lineRule="auto"/>
        <w:ind w:left="3600" w:hanging="2160"/>
        <w:rPr>
          <w:rFonts w:eastAsia="Calibri"/>
        </w:rPr>
      </w:pPr>
      <w:r w:rsidRPr="009E1EBE">
        <w:t>Object Code 1000</w:t>
      </w:r>
      <w:r w:rsidRPr="009E1EBE">
        <w:tab/>
      </w:r>
      <w:r w:rsidRPr="009E1EBE">
        <w:rPr>
          <w:rFonts w:eastAsia="Calibri"/>
        </w:rPr>
        <w:t>Percentage of salary of staff delivering the occupational training course</w:t>
      </w:r>
    </w:p>
    <w:p w14:paraId="101094C5" w14:textId="3C588BDA" w:rsidR="004C606E" w:rsidRPr="009E1EBE" w:rsidRDefault="004C606E" w:rsidP="004C606E">
      <w:pPr>
        <w:spacing w:after="120" w:line="276" w:lineRule="auto"/>
        <w:ind w:left="3600" w:hanging="2160"/>
        <w:rPr>
          <w:rFonts w:eastAsia="Calibri"/>
        </w:rPr>
      </w:pPr>
      <w:r w:rsidRPr="009E1EBE">
        <w:rPr>
          <w:rFonts w:eastAsia="Calibri"/>
        </w:rPr>
        <w:t>Object Code 2000</w:t>
      </w:r>
      <w:r w:rsidRPr="009E1EBE">
        <w:rPr>
          <w:rFonts w:eastAsia="Calibri"/>
        </w:rPr>
        <w:tab/>
      </w:r>
      <w:r w:rsidR="00FF157D" w:rsidRPr="009E1EBE">
        <w:rPr>
          <w:rFonts w:eastAsia="Calibri"/>
        </w:rPr>
        <w:t>Percentage of FICA</w:t>
      </w:r>
      <w:r w:rsidRPr="009E1EBE">
        <w:rPr>
          <w:rFonts w:eastAsia="Calibri"/>
        </w:rPr>
        <w:t xml:space="preserve"> paid for the percentage of staff time used to deliver occupational training course</w:t>
      </w:r>
    </w:p>
    <w:p w14:paraId="7C384673" w14:textId="29DB13CB" w:rsidR="004C606E" w:rsidRPr="009E1EBE" w:rsidRDefault="004C606E" w:rsidP="004C606E">
      <w:pPr>
        <w:spacing w:after="120" w:line="276" w:lineRule="auto"/>
        <w:ind w:left="3600" w:hanging="2160"/>
        <w:rPr>
          <w:rFonts w:eastAsia="Calibri"/>
        </w:rPr>
      </w:pPr>
      <w:r w:rsidRPr="009E1EBE">
        <w:rPr>
          <w:rFonts w:eastAsia="Calibri"/>
        </w:rPr>
        <w:t>Object Code 3000</w:t>
      </w:r>
      <w:r w:rsidRPr="009E1EBE">
        <w:rPr>
          <w:rFonts w:eastAsia="Calibri"/>
        </w:rPr>
        <w:tab/>
        <w:t xml:space="preserve">Tuition </w:t>
      </w:r>
      <w:r w:rsidR="00E44F78" w:rsidRPr="009E1EBE">
        <w:rPr>
          <w:rFonts w:eastAsia="Calibri"/>
        </w:rPr>
        <w:t xml:space="preserve">and </w:t>
      </w:r>
      <w:r w:rsidR="00FF157D" w:rsidRPr="009E1EBE">
        <w:rPr>
          <w:rFonts w:eastAsia="Calibri"/>
        </w:rPr>
        <w:t>participant support costs (such as activity</w:t>
      </w:r>
      <w:r w:rsidR="00E44F78" w:rsidRPr="009E1EBE">
        <w:rPr>
          <w:rFonts w:eastAsia="Calibri"/>
        </w:rPr>
        <w:t xml:space="preserve"> fees</w:t>
      </w:r>
      <w:r w:rsidR="00FF157D" w:rsidRPr="009E1EBE">
        <w:rPr>
          <w:rFonts w:eastAsia="Calibri"/>
        </w:rPr>
        <w:t>)</w:t>
      </w:r>
      <w:r w:rsidR="00E44F78" w:rsidRPr="009E1EBE">
        <w:rPr>
          <w:rFonts w:eastAsia="Calibri"/>
        </w:rPr>
        <w:t xml:space="preserve"> </w:t>
      </w:r>
      <w:r w:rsidR="007F7458" w:rsidRPr="009E1EBE">
        <w:rPr>
          <w:rFonts w:eastAsia="Calibri"/>
        </w:rPr>
        <w:t>for</w:t>
      </w:r>
      <w:r w:rsidRPr="009E1EBE">
        <w:rPr>
          <w:rFonts w:eastAsia="Calibri"/>
        </w:rPr>
        <w:t xml:space="preserve"> training program at postsecondary or training institution</w:t>
      </w:r>
      <w:r w:rsidR="00F01197" w:rsidRPr="009E1EBE">
        <w:rPr>
          <w:rFonts w:eastAsia="Calibri"/>
        </w:rPr>
        <w:t xml:space="preserve">; transportation </w:t>
      </w:r>
      <w:r w:rsidR="00FF157D" w:rsidRPr="009E1EBE">
        <w:rPr>
          <w:rFonts w:eastAsia="Calibri"/>
        </w:rPr>
        <w:t>for</w:t>
      </w:r>
      <w:r w:rsidR="00F01197" w:rsidRPr="009E1EBE">
        <w:rPr>
          <w:rFonts w:eastAsia="Calibri"/>
        </w:rPr>
        <w:t xml:space="preserve"> training</w:t>
      </w:r>
      <w:r w:rsidR="00B32C06" w:rsidRPr="009E1EBE">
        <w:rPr>
          <w:rFonts w:eastAsia="Calibri"/>
        </w:rPr>
        <w:t>-</w:t>
      </w:r>
      <w:r w:rsidR="00FF157D" w:rsidRPr="009E1EBE">
        <w:rPr>
          <w:rFonts w:eastAsia="Calibri"/>
        </w:rPr>
        <w:t>related job-site visits; contracted training instructional services</w:t>
      </w:r>
      <w:r w:rsidR="00C239A2">
        <w:rPr>
          <w:rFonts w:eastAsia="Calibri"/>
        </w:rPr>
        <w:t>; cost of credentials, certifications, or licenses</w:t>
      </w:r>
    </w:p>
    <w:p w14:paraId="7685D2B0" w14:textId="28277C2D" w:rsidR="00727245" w:rsidRPr="009E1EBE" w:rsidRDefault="00727245" w:rsidP="00FF157D">
      <w:pPr>
        <w:spacing w:after="120" w:line="276" w:lineRule="auto"/>
        <w:ind w:left="3600" w:hanging="2160"/>
        <w:rPr>
          <w:rFonts w:eastAsia="Calibri"/>
        </w:rPr>
      </w:pPr>
      <w:r w:rsidRPr="009E1EBE">
        <w:t>Object Code 4000</w:t>
      </w:r>
      <w:r w:rsidR="00F01197" w:rsidRPr="009E1EBE">
        <w:tab/>
      </w:r>
      <w:r w:rsidR="00FF157D" w:rsidRPr="009E1EBE">
        <w:rPr>
          <w:rFonts w:eastAsia="Calibri"/>
        </w:rPr>
        <w:t xml:space="preserve">Internal printing to deliver occupational training instruction </w:t>
      </w:r>
    </w:p>
    <w:p w14:paraId="372C3A96" w14:textId="0F240B65" w:rsidR="00C84A92" w:rsidRPr="009E1EBE" w:rsidRDefault="00C84A92" w:rsidP="00FF157D">
      <w:pPr>
        <w:spacing w:after="120" w:line="276" w:lineRule="auto"/>
        <w:ind w:left="3600" w:hanging="2160"/>
        <w:rPr>
          <w:rFonts w:eastAsia="Calibri"/>
        </w:rPr>
      </w:pPr>
      <w:r w:rsidRPr="009E1EBE">
        <w:rPr>
          <w:rFonts w:eastAsia="Calibri"/>
        </w:rPr>
        <w:t>Object Code 5000</w:t>
      </w:r>
      <w:r w:rsidRPr="009E1EBE">
        <w:rPr>
          <w:rFonts w:eastAsia="Calibri"/>
        </w:rPr>
        <w:tab/>
        <w:t>Percentage</w:t>
      </w:r>
      <w:r w:rsidRPr="009E1EBE" w:rsidDel="00E02448">
        <w:rPr>
          <w:rFonts w:eastAsia="Calibri"/>
        </w:rPr>
        <w:t xml:space="preserve"> </w:t>
      </w:r>
      <w:r w:rsidRPr="009E1EBE">
        <w:rPr>
          <w:rFonts w:eastAsia="Calibri"/>
        </w:rPr>
        <w:t>of classroom space rental for training instruction</w:t>
      </w:r>
    </w:p>
    <w:p w14:paraId="5EC1A628" w14:textId="7A7B9C5B" w:rsidR="006D030E" w:rsidRDefault="006D030E" w:rsidP="00FF157D">
      <w:pPr>
        <w:spacing w:after="120" w:line="276" w:lineRule="auto"/>
        <w:ind w:left="3600" w:hanging="2160"/>
        <w:rPr>
          <w:rFonts w:eastAsia="Calibri"/>
        </w:rPr>
      </w:pPr>
      <w:r w:rsidRPr="009E1EBE">
        <w:rPr>
          <w:rFonts w:eastAsia="Calibri"/>
        </w:rPr>
        <w:t>Object Code 6000</w:t>
      </w:r>
      <w:r w:rsidRPr="009E1EBE">
        <w:rPr>
          <w:rFonts w:eastAsia="Calibri"/>
        </w:rPr>
        <w:tab/>
        <w:t>Cost of materials</w:t>
      </w:r>
      <w:r w:rsidR="006D7C0C">
        <w:rPr>
          <w:rFonts w:eastAsia="Calibri"/>
        </w:rPr>
        <w:t>,</w:t>
      </w:r>
      <w:r w:rsidRPr="009E1EBE">
        <w:rPr>
          <w:rFonts w:eastAsia="Calibri"/>
        </w:rPr>
        <w:t xml:space="preserve"> supplies</w:t>
      </w:r>
      <w:r w:rsidR="006D7C0C">
        <w:rPr>
          <w:rFonts w:eastAsia="Calibri"/>
        </w:rPr>
        <w:t>, and equipment (under $5,000)</w:t>
      </w:r>
      <w:r w:rsidRPr="009E1EBE">
        <w:rPr>
          <w:rFonts w:eastAsia="Calibri"/>
        </w:rPr>
        <w:t xml:space="preserve"> used for training instruction</w:t>
      </w:r>
    </w:p>
    <w:p w14:paraId="2F83288E" w14:textId="11516425" w:rsidR="006D7C0C" w:rsidRPr="009E1EBE" w:rsidRDefault="006D7C0C" w:rsidP="00FF157D">
      <w:pPr>
        <w:spacing w:after="120" w:line="276" w:lineRule="auto"/>
        <w:ind w:left="3600" w:hanging="2160"/>
      </w:pPr>
      <w:r>
        <w:rPr>
          <w:rFonts w:eastAsia="Calibri"/>
        </w:rPr>
        <w:t>Object Code 8000</w:t>
      </w:r>
      <w:r>
        <w:rPr>
          <w:rFonts w:eastAsia="Calibri"/>
        </w:rPr>
        <w:tab/>
        <w:t>Costs of equipment (over $5,000) used for training instruction</w:t>
      </w:r>
    </w:p>
    <w:sectPr w:rsidR="006D7C0C" w:rsidRPr="009E1EBE" w:rsidSect="005E4E97">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2793" w14:textId="77777777" w:rsidR="00B02888" w:rsidRDefault="00B02888" w:rsidP="00A7553A">
      <w:r>
        <w:separator/>
      </w:r>
    </w:p>
  </w:endnote>
  <w:endnote w:type="continuationSeparator" w:id="0">
    <w:p w14:paraId="3AE1286B" w14:textId="77777777" w:rsidR="00B02888" w:rsidRDefault="00B02888"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2801"/>
      <w:docPartObj>
        <w:docPartGallery w:val="Page Numbers (Bottom of Page)"/>
        <w:docPartUnique/>
      </w:docPartObj>
    </w:sdtPr>
    <w:sdtEndPr>
      <w:rPr>
        <w:noProof/>
      </w:rPr>
    </w:sdtEndPr>
    <w:sdtContent>
      <w:p w14:paraId="5D868F47" w14:textId="48B13CD4" w:rsidR="00AC1346" w:rsidRDefault="00AC1346">
        <w:pPr>
          <w:pStyle w:val="Footer"/>
          <w:jc w:val="right"/>
        </w:pPr>
        <w:r>
          <w:fldChar w:fldCharType="begin"/>
        </w:r>
        <w:r>
          <w:instrText xml:space="preserve"> PAGE   \* MERGEFORMAT </w:instrText>
        </w:r>
        <w:r>
          <w:fldChar w:fldCharType="separate"/>
        </w:r>
        <w:r w:rsidR="00DB69CD">
          <w:rPr>
            <w:noProof/>
          </w:rPr>
          <w:t>1</w:t>
        </w:r>
        <w:r>
          <w:rPr>
            <w:noProof/>
          </w:rPr>
          <w:fldChar w:fldCharType="end"/>
        </w:r>
      </w:p>
    </w:sdtContent>
  </w:sdt>
  <w:p w14:paraId="0E337F06" w14:textId="77777777" w:rsidR="00AC1346" w:rsidRDefault="00AC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C523" w14:textId="77777777" w:rsidR="00B02888" w:rsidRDefault="00B02888" w:rsidP="00A7553A">
      <w:r>
        <w:separator/>
      </w:r>
    </w:p>
  </w:footnote>
  <w:footnote w:type="continuationSeparator" w:id="0">
    <w:p w14:paraId="65C0338A" w14:textId="77777777" w:rsidR="00B02888" w:rsidRDefault="00B02888" w:rsidP="00A7553A">
      <w:r>
        <w:continuationSeparator/>
      </w:r>
    </w:p>
  </w:footnote>
  <w:footnote w:id="1">
    <w:p w14:paraId="666B54C8" w14:textId="1C0632DD" w:rsidR="00AC1346" w:rsidRDefault="00B02888" w:rsidP="004C606E">
      <w:pPr>
        <w:pStyle w:val="FootnoteText"/>
      </w:pPr>
      <w:hyperlink r:id="rId1" w:history="1">
        <w:r w:rsidR="00AC1346" w:rsidRPr="009E1EBE">
          <w:rPr>
            <w:rStyle w:val="Hyperlink"/>
            <w:vertAlign w:val="superscript"/>
          </w:rPr>
          <w:footnoteRef/>
        </w:r>
        <w:r w:rsidR="00AC1346" w:rsidRPr="009E1EBE">
          <w:rPr>
            <w:rStyle w:val="Hyperlink"/>
          </w:rPr>
          <w:t xml:space="preserve"> Supportive Services</w:t>
        </w:r>
        <w:r w:rsidR="009E1EBE" w:rsidRPr="009E1EBE">
          <w:rPr>
            <w:rStyle w:val="Hyperlink"/>
          </w:rPr>
          <w:t xml:space="preserve"> Desk Reference from the U.S. Department of Labor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D5F3" w14:textId="7B2CAFAE" w:rsidR="00AC1346" w:rsidRPr="00C12EF0" w:rsidRDefault="00AC1346" w:rsidP="00C12EF0">
    <w:pPr>
      <w:spacing w:after="120" w:line="276" w:lineRule="auto"/>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0113" w14:textId="7E981F4D" w:rsidR="00AC1346" w:rsidRPr="004D5D81" w:rsidRDefault="00AC1346" w:rsidP="004D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2EE6"/>
    <w:multiLevelType w:val="hybridMultilevel"/>
    <w:tmpl w:val="993C2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CA78EA"/>
    <w:multiLevelType w:val="hybridMultilevel"/>
    <w:tmpl w:val="5698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01"/>
    <w:rsid w:val="00042F7F"/>
    <w:rsid w:val="00053004"/>
    <w:rsid w:val="00066BF0"/>
    <w:rsid w:val="000A5354"/>
    <w:rsid w:val="00101A2C"/>
    <w:rsid w:val="00125FE7"/>
    <w:rsid w:val="00161A87"/>
    <w:rsid w:val="001B5071"/>
    <w:rsid w:val="001B7C6B"/>
    <w:rsid w:val="001E657F"/>
    <w:rsid w:val="001F2478"/>
    <w:rsid w:val="002372D7"/>
    <w:rsid w:val="0026762C"/>
    <w:rsid w:val="00293589"/>
    <w:rsid w:val="00295669"/>
    <w:rsid w:val="002A3D67"/>
    <w:rsid w:val="002B0932"/>
    <w:rsid w:val="002D18C5"/>
    <w:rsid w:val="00312B4F"/>
    <w:rsid w:val="00327FE3"/>
    <w:rsid w:val="00337994"/>
    <w:rsid w:val="0035079F"/>
    <w:rsid w:val="00352A0C"/>
    <w:rsid w:val="00355395"/>
    <w:rsid w:val="00371682"/>
    <w:rsid w:val="00376659"/>
    <w:rsid w:val="003A0A58"/>
    <w:rsid w:val="003D2998"/>
    <w:rsid w:val="003F60E6"/>
    <w:rsid w:val="00400931"/>
    <w:rsid w:val="00400A01"/>
    <w:rsid w:val="004101C0"/>
    <w:rsid w:val="00425FAE"/>
    <w:rsid w:val="00427B49"/>
    <w:rsid w:val="00442CF3"/>
    <w:rsid w:val="004815B6"/>
    <w:rsid w:val="004B13A4"/>
    <w:rsid w:val="004B60BC"/>
    <w:rsid w:val="004C606E"/>
    <w:rsid w:val="004D5D81"/>
    <w:rsid w:val="004F05EF"/>
    <w:rsid w:val="004F43D6"/>
    <w:rsid w:val="0050270A"/>
    <w:rsid w:val="00506D11"/>
    <w:rsid w:val="00507834"/>
    <w:rsid w:val="005343C9"/>
    <w:rsid w:val="005430D7"/>
    <w:rsid w:val="005436D7"/>
    <w:rsid w:val="0054475D"/>
    <w:rsid w:val="005627E3"/>
    <w:rsid w:val="0058395E"/>
    <w:rsid w:val="005A25BF"/>
    <w:rsid w:val="005A61E7"/>
    <w:rsid w:val="005B2826"/>
    <w:rsid w:val="005D0C5C"/>
    <w:rsid w:val="005D3802"/>
    <w:rsid w:val="005E4E97"/>
    <w:rsid w:val="005E6284"/>
    <w:rsid w:val="00630801"/>
    <w:rsid w:val="00662484"/>
    <w:rsid w:val="00677DD9"/>
    <w:rsid w:val="006A28F0"/>
    <w:rsid w:val="006B1ADD"/>
    <w:rsid w:val="006B1B29"/>
    <w:rsid w:val="006B486C"/>
    <w:rsid w:val="006C2818"/>
    <w:rsid w:val="006D030E"/>
    <w:rsid w:val="006D64AD"/>
    <w:rsid w:val="006D7C0C"/>
    <w:rsid w:val="00701AF2"/>
    <w:rsid w:val="00727245"/>
    <w:rsid w:val="007369C3"/>
    <w:rsid w:val="0074252E"/>
    <w:rsid w:val="00743775"/>
    <w:rsid w:val="00750EB4"/>
    <w:rsid w:val="00757C5A"/>
    <w:rsid w:val="00773517"/>
    <w:rsid w:val="00781E01"/>
    <w:rsid w:val="007850EB"/>
    <w:rsid w:val="00791FAF"/>
    <w:rsid w:val="0079759B"/>
    <w:rsid w:val="00797C42"/>
    <w:rsid w:val="007A1583"/>
    <w:rsid w:val="007A399D"/>
    <w:rsid w:val="007C7C1E"/>
    <w:rsid w:val="007E7118"/>
    <w:rsid w:val="007F7458"/>
    <w:rsid w:val="008227D1"/>
    <w:rsid w:val="008711D1"/>
    <w:rsid w:val="008800A6"/>
    <w:rsid w:val="00891879"/>
    <w:rsid w:val="008E6883"/>
    <w:rsid w:val="00915D2E"/>
    <w:rsid w:val="0092019B"/>
    <w:rsid w:val="009365D2"/>
    <w:rsid w:val="009417D7"/>
    <w:rsid w:val="00965AE4"/>
    <w:rsid w:val="00993BA7"/>
    <w:rsid w:val="009B2786"/>
    <w:rsid w:val="009B2971"/>
    <w:rsid w:val="009E1EBE"/>
    <w:rsid w:val="009F755F"/>
    <w:rsid w:val="00A00AD6"/>
    <w:rsid w:val="00A21865"/>
    <w:rsid w:val="00A230D9"/>
    <w:rsid w:val="00A27FD2"/>
    <w:rsid w:val="00A40AFD"/>
    <w:rsid w:val="00A436D0"/>
    <w:rsid w:val="00A7553A"/>
    <w:rsid w:val="00A8504F"/>
    <w:rsid w:val="00A87047"/>
    <w:rsid w:val="00A87DAF"/>
    <w:rsid w:val="00AC1346"/>
    <w:rsid w:val="00AD4DF2"/>
    <w:rsid w:val="00B02888"/>
    <w:rsid w:val="00B271E1"/>
    <w:rsid w:val="00B32690"/>
    <w:rsid w:val="00B32C06"/>
    <w:rsid w:val="00B6567C"/>
    <w:rsid w:val="00B70631"/>
    <w:rsid w:val="00B86A86"/>
    <w:rsid w:val="00BB2E16"/>
    <w:rsid w:val="00BE4587"/>
    <w:rsid w:val="00BE4AA6"/>
    <w:rsid w:val="00C12EF0"/>
    <w:rsid w:val="00C239A2"/>
    <w:rsid w:val="00C45646"/>
    <w:rsid w:val="00C5541A"/>
    <w:rsid w:val="00C7310C"/>
    <w:rsid w:val="00C82A0A"/>
    <w:rsid w:val="00C84A92"/>
    <w:rsid w:val="00C87082"/>
    <w:rsid w:val="00CA515C"/>
    <w:rsid w:val="00CB0F0E"/>
    <w:rsid w:val="00CC71BC"/>
    <w:rsid w:val="00D04BE9"/>
    <w:rsid w:val="00D248A7"/>
    <w:rsid w:val="00D43DD6"/>
    <w:rsid w:val="00D4453E"/>
    <w:rsid w:val="00D877A6"/>
    <w:rsid w:val="00DB1E22"/>
    <w:rsid w:val="00DB69CD"/>
    <w:rsid w:val="00DD3A7C"/>
    <w:rsid w:val="00DD5D8B"/>
    <w:rsid w:val="00DE7494"/>
    <w:rsid w:val="00E02448"/>
    <w:rsid w:val="00E12819"/>
    <w:rsid w:val="00E348C3"/>
    <w:rsid w:val="00E44F78"/>
    <w:rsid w:val="00E50F2C"/>
    <w:rsid w:val="00E61D8E"/>
    <w:rsid w:val="00E63594"/>
    <w:rsid w:val="00F01197"/>
    <w:rsid w:val="00F32F24"/>
    <w:rsid w:val="00F42542"/>
    <w:rsid w:val="00F6011A"/>
    <w:rsid w:val="00F80F47"/>
    <w:rsid w:val="00F868D3"/>
    <w:rsid w:val="00FA3A81"/>
    <w:rsid w:val="00FE064D"/>
    <w:rsid w:val="00FE4BDF"/>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F6048"/>
  <w15:docId w15:val="{C39850D8-6CD4-4C10-A252-B03A2550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E3"/>
  </w:style>
  <w:style w:type="paragraph" w:styleId="Heading1">
    <w:name w:val="heading 1"/>
    <w:basedOn w:val="Normal"/>
    <w:next w:val="Normal"/>
    <w:link w:val="Heading1Char"/>
    <w:qFormat/>
    <w:rsid w:val="008227D1"/>
    <w:pPr>
      <w:keepNext/>
      <w:jc w:val="center"/>
      <w:outlineLvl w:val="0"/>
    </w:pPr>
    <w:rPr>
      <w:rFonts w:eastAsia="Times New Roman"/>
      <w:b/>
      <w:sz w:val="28"/>
      <w:szCs w:val="20"/>
    </w:rPr>
  </w:style>
  <w:style w:type="paragraph" w:styleId="Heading2">
    <w:name w:val="heading 2"/>
    <w:basedOn w:val="Normal"/>
    <w:next w:val="Normal"/>
    <w:link w:val="Heading2Char"/>
    <w:uiPriority w:val="9"/>
    <w:unhideWhenUsed/>
    <w:qFormat/>
    <w:rsid w:val="00A00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7D1"/>
    <w:pPr>
      <w:keepNext/>
      <w:keepLines/>
      <w:spacing w:before="200" w:line="276"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0AD6"/>
    <w:pPr>
      <w:ind w:left="720"/>
      <w:contextualSpacing/>
    </w:pPr>
  </w:style>
  <w:style w:type="table" w:styleId="TableGrid">
    <w:name w:val="Table Grid"/>
    <w:basedOn w:val="TableNormal"/>
    <w:uiPriority w:val="59"/>
    <w:rsid w:val="0063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53A"/>
    <w:pPr>
      <w:tabs>
        <w:tab w:val="center" w:pos="4680"/>
        <w:tab w:val="right" w:pos="9360"/>
      </w:tabs>
    </w:pPr>
  </w:style>
  <w:style w:type="character" w:customStyle="1" w:styleId="HeaderChar">
    <w:name w:val="Header Char"/>
    <w:basedOn w:val="DefaultParagraphFont"/>
    <w:link w:val="Header"/>
    <w:uiPriority w:val="99"/>
    <w:rsid w:val="00A7553A"/>
  </w:style>
  <w:style w:type="paragraph" w:styleId="Footer">
    <w:name w:val="footer"/>
    <w:basedOn w:val="Normal"/>
    <w:link w:val="FooterChar"/>
    <w:uiPriority w:val="99"/>
    <w:unhideWhenUsed/>
    <w:rsid w:val="00A7553A"/>
    <w:pPr>
      <w:tabs>
        <w:tab w:val="center" w:pos="4680"/>
        <w:tab w:val="right" w:pos="9360"/>
      </w:tabs>
    </w:pPr>
  </w:style>
  <w:style w:type="character" w:customStyle="1" w:styleId="FooterChar">
    <w:name w:val="Footer Char"/>
    <w:basedOn w:val="DefaultParagraphFont"/>
    <w:link w:val="Footer"/>
    <w:uiPriority w:val="99"/>
    <w:rsid w:val="00A7553A"/>
  </w:style>
  <w:style w:type="paragraph" w:styleId="BalloonText">
    <w:name w:val="Balloon Text"/>
    <w:basedOn w:val="Normal"/>
    <w:link w:val="BalloonTextChar"/>
    <w:uiPriority w:val="99"/>
    <w:semiHidden/>
    <w:unhideWhenUsed/>
    <w:rsid w:val="00A7553A"/>
    <w:rPr>
      <w:rFonts w:ascii="Tahoma" w:hAnsi="Tahoma" w:cs="Tahoma"/>
      <w:sz w:val="16"/>
      <w:szCs w:val="16"/>
    </w:rPr>
  </w:style>
  <w:style w:type="character" w:customStyle="1" w:styleId="BalloonTextChar">
    <w:name w:val="Balloon Text Char"/>
    <w:basedOn w:val="DefaultParagraphFont"/>
    <w:link w:val="BalloonText"/>
    <w:uiPriority w:val="99"/>
    <w:semiHidden/>
    <w:rsid w:val="00A7553A"/>
    <w:rPr>
      <w:rFonts w:ascii="Tahoma" w:hAnsi="Tahoma" w:cs="Tahoma"/>
      <w:sz w:val="16"/>
      <w:szCs w:val="16"/>
    </w:rPr>
  </w:style>
  <w:style w:type="paragraph" w:styleId="EndnoteText">
    <w:name w:val="endnote text"/>
    <w:basedOn w:val="Normal"/>
    <w:link w:val="EndnoteTextChar"/>
    <w:uiPriority w:val="99"/>
    <w:semiHidden/>
    <w:unhideWhenUsed/>
    <w:rsid w:val="005E6284"/>
    <w:rPr>
      <w:sz w:val="20"/>
      <w:szCs w:val="20"/>
    </w:rPr>
  </w:style>
  <w:style w:type="character" w:customStyle="1" w:styleId="EndnoteTextChar">
    <w:name w:val="Endnote Text Char"/>
    <w:basedOn w:val="DefaultParagraphFont"/>
    <w:link w:val="EndnoteText"/>
    <w:uiPriority w:val="99"/>
    <w:semiHidden/>
    <w:rsid w:val="005E6284"/>
    <w:rPr>
      <w:sz w:val="20"/>
      <w:szCs w:val="20"/>
    </w:rPr>
  </w:style>
  <w:style w:type="character" w:styleId="EndnoteReference">
    <w:name w:val="endnote reference"/>
    <w:basedOn w:val="DefaultParagraphFont"/>
    <w:uiPriority w:val="99"/>
    <w:semiHidden/>
    <w:unhideWhenUsed/>
    <w:rsid w:val="005E6284"/>
    <w:rPr>
      <w:vertAlign w:val="superscript"/>
    </w:rPr>
  </w:style>
  <w:style w:type="character" w:styleId="Hyperlink">
    <w:name w:val="Hyperlink"/>
    <w:basedOn w:val="DefaultParagraphFont"/>
    <w:uiPriority w:val="99"/>
    <w:unhideWhenUsed/>
    <w:rsid w:val="004F43D6"/>
    <w:rPr>
      <w:color w:val="0000FF" w:themeColor="hyperlink"/>
      <w:u w:val="single"/>
    </w:rPr>
  </w:style>
  <w:style w:type="paragraph" w:styleId="FootnoteText">
    <w:name w:val="footnote text"/>
    <w:basedOn w:val="Normal"/>
    <w:link w:val="FootnoteTextChar"/>
    <w:uiPriority w:val="99"/>
    <w:semiHidden/>
    <w:unhideWhenUsed/>
    <w:rsid w:val="00355395"/>
    <w:rPr>
      <w:sz w:val="20"/>
      <w:szCs w:val="20"/>
    </w:rPr>
  </w:style>
  <w:style w:type="character" w:customStyle="1" w:styleId="FootnoteTextChar">
    <w:name w:val="Footnote Text Char"/>
    <w:basedOn w:val="DefaultParagraphFont"/>
    <w:link w:val="FootnoteText"/>
    <w:uiPriority w:val="99"/>
    <w:semiHidden/>
    <w:rsid w:val="00355395"/>
    <w:rPr>
      <w:sz w:val="20"/>
      <w:szCs w:val="20"/>
    </w:rPr>
  </w:style>
  <w:style w:type="character" w:styleId="FootnoteReference">
    <w:name w:val="footnote reference"/>
    <w:basedOn w:val="DefaultParagraphFont"/>
    <w:uiPriority w:val="99"/>
    <w:semiHidden/>
    <w:unhideWhenUsed/>
    <w:rsid w:val="00355395"/>
    <w:rPr>
      <w:vertAlign w:val="superscript"/>
    </w:rPr>
  </w:style>
  <w:style w:type="character" w:customStyle="1" w:styleId="Heading1Char">
    <w:name w:val="Heading 1 Char"/>
    <w:basedOn w:val="DefaultParagraphFont"/>
    <w:link w:val="Heading1"/>
    <w:rsid w:val="008227D1"/>
    <w:rPr>
      <w:rFonts w:eastAsia="Times New Roman"/>
      <w:b/>
      <w:sz w:val="28"/>
      <w:szCs w:val="20"/>
    </w:rPr>
  </w:style>
  <w:style w:type="character" w:customStyle="1" w:styleId="Heading3Char">
    <w:name w:val="Heading 3 Char"/>
    <w:basedOn w:val="DefaultParagraphFont"/>
    <w:link w:val="Heading3"/>
    <w:uiPriority w:val="9"/>
    <w:rsid w:val="008227D1"/>
    <w:rPr>
      <w:rFonts w:asciiTheme="majorHAnsi" w:eastAsiaTheme="majorEastAsia" w:hAnsiTheme="majorHAnsi" w:cstheme="majorBidi"/>
      <w:b/>
      <w:bCs/>
      <w:color w:val="4F81BD" w:themeColor="accent1"/>
      <w:szCs w:val="22"/>
    </w:rPr>
  </w:style>
  <w:style w:type="paragraph" w:styleId="NormalWeb">
    <w:name w:val="Normal (Web)"/>
    <w:basedOn w:val="Normal"/>
    <w:rsid w:val="008227D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93BA7"/>
    <w:rPr>
      <w:sz w:val="16"/>
      <w:szCs w:val="16"/>
    </w:rPr>
  </w:style>
  <w:style w:type="paragraph" w:styleId="CommentText">
    <w:name w:val="annotation text"/>
    <w:basedOn w:val="Normal"/>
    <w:link w:val="CommentTextChar"/>
    <w:uiPriority w:val="99"/>
    <w:semiHidden/>
    <w:unhideWhenUsed/>
    <w:rsid w:val="00993BA7"/>
    <w:rPr>
      <w:sz w:val="20"/>
      <w:szCs w:val="20"/>
    </w:rPr>
  </w:style>
  <w:style w:type="character" w:customStyle="1" w:styleId="CommentTextChar">
    <w:name w:val="Comment Text Char"/>
    <w:basedOn w:val="DefaultParagraphFont"/>
    <w:link w:val="CommentText"/>
    <w:uiPriority w:val="99"/>
    <w:semiHidden/>
    <w:rsid w:val="00993BA7"/>
    <w:rPr>
      <w:sz w:val="20"/>
      <w:szCs w:val="20"/>
    </w:rPr>
  </w:style>
  <w:style w:type="paragraph" w:styleId="CommentSubject">
    <w:name w:val="annotation subject"/>
    <w:basedOn w:val="CommentText"/>
    <w:next w:val="CommentText"/>
    <w:link w:val="CommentSubjectChar"/>
    <w:uiPriority w:val="99"/>
    <w:semiHidden/>
    <w:unhideWhenUsed/>
    <w:rsid w:val="00993BA7"/>
    <w:rPr>
      <w:b/>
      <w:bCs/>
    </w:rPr>
  </w:style>
  <w:style w:type="character" w:customStyle="1" w:styleId="CommentSubjectChar">
    <w:name w:val="Comment Subject Char"/>
    <w:basedOn w:val="CommentTextChar"/>
    <w:link w:val="CommentSubject"/>
    <w:uiPriority w:val="99"/>
    <w:semiHidden/>
    <w:rsid w:val="00993BA7"/>
    <w:rPr>
      <w:b/>
      <w:bCs/>
      <w:sz w:val="20"/>
      <w:szCs w:val="20"/>
    </w:rPr>
  </w:style>
  <w:style w:type="character" w:styleId="FollowedHyperlink">
    <w:name w:val="FollowedHyperlink"/>
    <w:basedOn w:val="DefaultParagraphFont"/>
    <w:uiPriority w:val="99"/>
    <w:semiHidden/>
    <w:unhideWhenUsed/>
    <w:rsid w:val="00936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vae/pi/AdultEd/octae-program-memo-17-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vae/pi/AdultEd/octae-program-memo-17-2.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on.workforcegps.org/resources/2017/07/14/09/22/Supportive_Services_Desk_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029F-3CA5-4350-8FC1-C331F76C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Adult Education Memo No. 006-18</vt:lpstr>
    </vt:vector>
  </TitlesOfParts>
  <Company>Virginia IT Infrastructure Partnership</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Memo No. 006-18</dc:title>
  <dc:creator>Silver-Pacuilla, Heidi (DOE)</dc:creator>
  <cp:lastModifiedBy>Acuff, Sharon (DOE)</cp:lastModifiedBy>
  <cp:revision>2</cp:revision>
  <cp:lastPrinted>2019-06-27T13:38:00Z</cp:lastPrinted>
  <dcterms:created xsi:type="dcterms:W3CDTF">2021-08-27T19:05:00Z</dcterms:created>
  <dcterms:modified xsi:type="dcterms:W3CDTF">2021-08-27T19:05:00Z</dcterms:modified>
</cp:coreProperties>
</file>