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E1" w:rsidRDefault="008A66E1" w:rsidP="008A66E1">
      <w:pPr>
        <w:spacing w:after="0" w:line="240" w:lineRule="auto"/>
        <w:jc w:val="center"/>
      </w:pPr>
      <w:bookmarkStart w:id="0" w:name="_GoBack"/>
      <w:bookmarkEnd w:id="0"/>
      <w:r>
        <w:t>VIRGINIA DEPARTMENT OF EDUCATION</w:t>
      </w:r>
    </w:p>
    <w:p w:rsidR="008A66E1" w:rsidRDefault="008A66E1" w:rsidP="008A66E1">
      <w:pPr>
        <w:spacing w:after="0" w:line="240" w:lineRule="auto"/>
        <w:jc w:val="center"/>
      </w:pPr>
      <w:r>
        <w:t xml:space="preserve">Office of </w:t>
      </w:r>
      <w:r w:rsidR="001029B3">
        <w:t xml:space="preserve">Career, Technical, and </w:t>
      </w:r>
      <w:r>
        <w:t>Adult Education</w:t>
      </w:r>
    </w:p>
    <w:p w:rsidR="008A66E1" w:rsidRDefault="008A66E1" w:rsidP="00157737">
      <w:pPr>
        <w:spacing w:after="0" w:line="240" w:lineRule="auto"/>
      </w:pPr>
    </w:p>
    <w:p w:rsidR="008A66E1" w:rsidRDefault="008A66E1" w:rsidP="00157737">
      <w:pPr>
        <w:spacing w:after="0" w:line="240" w:lineRule="auto"/>
        <w:jc w:val="center"/>
      </w:pPr>
      <w:r>
        <w:rPr>
          <w:b/>
          <w:bCs/>
          <w:sz w:val="24"/>
          <w:szCs w:val="24"/>
        </w:rPr>
        <w:t xml:space="preserve">HIGH SCHOOL EQUIVALENCY </w:t>
      </w:r>
      <w:r w:rsidR="00A81E22">
        <w:rPr>
          <w:b/>
          <w:bCs/>
          <w:sz w:val="24"/>
          <w:szCs w:val="24"/>
        </w:rPr>
        <w:t>EXAMINATION</w:t>
      </w:r>
      <w:r w:rsidRPr="00A30DBC">
        <w:rPr>
          <w:b/>
          <w:bCs/>
          <w:sz w:val="24"/>
          <w:szCs w:val="24"/>
        </w:rPr>
        <w:t xml:space="preserve"> GUIDELINES FOR VIRGINIA</w:t>
      </w:r>
    </w:p>
    <w:p w:rsidR="00157737" w:rsidRDefault="00157737" w:rsidP="00157737">
      <w:pPr>
        <w:spacing w:after="0" w:line="240" w:lineRule="auto"/>
      </w:pPr>
    </w:p>
    <w:p w:rsidR="008A66E1" w:rsidRDefault="008A66E1" w:rsidP="00157737">
      <w:pPr>
        <w:spacing w:after="0" w:line="240" w:lineRule="auto"/>
      </w:pPr>
    </w:p>
    <w:p w:rsidR="008A66E1" w:rsidRDefault="007D2818" w:rsidP="008A66E1">
      <w:pPr>
        <w:spacing w:after="0" w:line="240" w:lineRule="auto"/>
      </w:pPr>
      <w:r>
        <w:t>The Virginia Department of Education</w:t>
      </w:r>
      <w:r w:rsidRPr="00A30DBC">
        <w:t xml:space="preserve"> </w:t>
      </w:r>
      <w:r w:rsidR="00B82F40">
        <w:t xml:space="preserve">(VDOE) </w:t>
      </w:r>
      <w:r>
        <w:t xml:space="preserve">will </w:t>
      </w:r>
      <w:r w:rsidR="00B82F40">
        <w:t xml:space="preserve">use </w:t>
      </w:r>
      <w:r>
        <w:t>these guidelines to review all applications received from</w:t>
      </w:r>
      <w:r w:rsidRPr="00A30DBC">
        <w:t xml:space="preserve"> </w:t>
      </w:r>
      <w:r>
        <w:t xml:space="preserve">any High School Equivalency (HSE) </w:t>
      </w:r>
      <w:r w:rsidR="00414598">
        <w:t xml:space="preserve">examination </w:t>
      </w:r>
      <w:r>
        <w:t xml:space="preserve">provider.  </w:t>
      </w:r>
      <w:r w:rsidR="008A66E1" w:rsidRPr="00A30DBC">
        <w:t>All vendors seeking approval for the use of</w:t>
      </w:r>
      <w:r w:rsidR="00A81E22">
        <w:t xml:space="preserve"> a</w:t>
      </w:r>
      <w:r w:rsidR="00B82F40">
        <w:t>n</w:t>
      </w:r>
      <w:r w:rsidR="008A66E1" w:rsidRPr="00A30DBC">
        <w:t xml:space="preserve"> HSE </w:t>
      </w:r>
      <w:r w:rsidR="00A81E22">
        <w:t>examination</w:t>
      </w:r>
      <w:r w:rsidR="008A66E1" w:rsidRPr="00A30DBC">
        <w:t xml:space="preserve"> in Virginia shall meet all of the following guidelines.</w:t>
      </w:r>
      <w:r>
        <w:t xml:space="preserve">  The</w:t>
      </w:r>
      <w:r w:rsidR="00B82F40">
        <w:t xml:space="preserve"> VDOE </w:t>
      </w:r>
      <w:r>
        <w:t>shall be the agency to determine whether an HSE</w:t>
      </w:r>
      <w:r w:rsidR="00414598">
        <w:t xml:space="preserve"> examination</w:t>
      </w:r>
      <w:r>
        <w:t xml:space="preserve"> provider is approved. </w:t>
      </w:r>
      <w:r w:rsidR="008A66E1" w:rsidRPr="00A30DBC">
        <w:t xml:space="preserve">If </w:t>
      </w:r>
      <w:r w:rsidR="008A66E1">
        <w:t xml:space="preserve">an HSE </w:t>
      </w:r>
      <w:r w:rsidR="00A81E22">
        <w:t>examination</w:t>
      </w:r>
      <w:r w:rsidR="008A66E1">
        <w:t xml:space="preserve"> is </w:t>
      </w:r>
      <w:r w:rsidR="008A66E1" w:rsidRPr="00A30DBC">
        <w:t>approved</w:t>
      </w:r>
      <w:r w:rsidR="008A66E1">
        <w:t xml:space="preserve"> for use in Virginia</w:t>
      </w:r>
      <w:r w:rsidR="008A66E1" w:rsidRPr="00A30DBC">
        <w:t xml:space="preserve">, the approval will </w:t>
      </w:r>
      <w:r w:rsidR="008A66E1">
        <w:t>remain</w:t>
      </w:r>
      <w:r w:rsidR="008A66E1" w:rsidRPr="00A30DBC">
        <w:t xml:space="preserve"> in effect for five</w:t>
      </w:r>
      <w:r w:rsidR="008A66E1">
        <w:t xml:space="preserve"> </w:t>
      </w:r>
      <w:r w:rsidR="008A66E1" w:rsidRPr="00A30DBC">
        <w:t>year</w:t>
      </w:r>
      <w:r w:rsidR="008A66E1">
        <w:t>s</w:t>
      </w:r>
      <w:r w:rsidR="008A66E1" w:rsidRPr="00A30DBC">
        <w:t xml:space="preserve">.  Those </w:t>
      </w:r>
      <w:r w:rsidR="008A66E1">
        <w:t xml:space="preserve">vendors whose </w:t>
      </w:r>
      <w:r w:rsidR="00A81E22">
        <w:t>examination is</w:t>
      </w:r>
      <w:r w:rsidR="008A66E1">
        <w:t xml:space="preserve"> </w:t>
      </w:r>
      <w:r w:rsidR="008A66E1" w:rsidRPr="00A30DBC">
        <w:t xml:space="preserve">not approved </w:t>
      </w:r>
      <w:r w:rsidR="008A66E1">
        <w:t>may reapply</w:t>
      </w:r>
      <w:r w:rsidR="008A66E1" w:rsidRPr="00A30DBC">
        <w:t xml:space="preserve"> </w:t>
      </w:r>
      <w:r w:rsidR="008A66E1">
        <w:t>during an open application period set by the VDOE.</w:t>
      </w:r>
    </w:p>
    <w:p w:rsidR="008A66E1" w:rsidRDefault="008A66E1" w:rsidP="008A66E1">
      <w:pPr>
        <w:spacing w:after="0" w:line="240" w:lineRule="auto"/>
        <w:jc w:val="center"/>
      </w:pPr>
    </w:p>
    <w:tbl>
      <w:tblPr>
        <w:tblStyle w:val="TableGrid"/>
        <w:tblW w:w="0" w:type="auto"/>
        <w:tblInd w:w="-72" w:type="dxa"/>
        <w:tblLook w:val="04A0" w:firstRow="1" w:lastRow="0" w:firstColumn="1" w:lastColumn="0" w:noHBand="0" w:noVBand="1"/>
        <w:tblCaption w:val="HSE Examination Guidelines for VA"/>
        <w:tblDescription w:val="This table has two columns.  The left hand column is the generic guideline topics to be evaluated while the right hand column provides very specific qualities of the guideline topics to be considered during the evaluation of an HSE application."/>
      </w:tblPr>
      <w:tblGrid>
        <w:gridCol w:w="3060"/>
        <w:gridCol w:w="6588"/>
      </w:tblGrid>
      <w:tr w:rsidR="00CF71B6" w:rsidRPr="00A30DBC" w:rsidTr="00C5735A">
        <w:trPr>
          <w:trHeight w:val="287"/>
          <w:tblHeader/>
        </w:trPr>
        <w:tc>
          <w:tcPr>
            <w:tcW w:w="3060" w:type="dxa"/>
            <w:tcBorders>
              <w:right w:val="nil"/>
            </w:tcBorders>
            <w:shd w:val="clear" w:color="auto" w:fill="D9D9D9" w:themeFill="background1" w:themeFillShade="D9"/>
            <w:noWrap/>
          </w:tcPr>
          <w:p w:rsidR="00CF71B6" w:rsidRPr="00A30DBC" w:rsidRDefault="00CF71B6" w:rsidP="00CF71B6">
            <w:pPr>
              <w:jc w:val="center"/>
              <w:rPr>
                <w:b/>
                <w:bCs/>
              </w:rPr>
            </w:pPr>
            <w:r>
              <w:rPr>
                <w:b/>
                <w:bCs/>
              </w:rPr>
              <w:t>Guideline Topics</w:t>
            </w:r>
          </w:p>
        </w:tc>
        <w:tc>
          <w:tcPr>
            <w:tcW w:w="6588" w:type="dxa"/>
            <w:tcBorders>
              <w:left w:val="nil"/>
            </w:tcBorders>
            <w:shd w:val="clear" w:color="auto" w:fill="D9D9D9" w:themeFill="background1" w:themeFillShade="D9"/>
            <w:noWrap/>
          </w:tcPr>
          <w:p w:rsidR="00CF71B6" w:rsidRPr="00CF71B6" w:rsidRDefault="00CF71B6" w:rsidP="00CF71B6">
            <w:pPr>
              <w:jc w:val="center"/>
              <w:rPr>
                <w:b/>
              </w:rPr>
            </w:pPr>
            <w:r w:rsidRPr="00CF71B6">
              <w:rPr>
                <w:b/>
              </w:rPr>
              <w:t>Specific Qualities to be Evaluated</w:t>
            </w:r>
          </w:p>
        </w:tc>
      </w:tr>
      <w:tr w:rsidR="00A30DBC" w:rsidRPr="00A30DBC" w:rsidTr="007A5EAA">
        <w:trPr>
          <w:trHeight w:val="287"/>
        </w:trPr>
        <w:tc>
          <w:tcPr>
            <w:tcW w:w="3060" w:type="dxa"/>
            <w:tcBorders>
              <w:right w:val="nil"/>
            </w:tcBorders>
            <w:shd w:val="clear" w:color="auto" w:fill="D9D9D9" w:themeFill="background1" w:themeFillShade="D9"/>
            <w:noWrap/>
            <w:hideMark/>
          </w:tcPr>
          <w:p w:rsidR="00A30DBC" w:rsidRPr="00A30DBC" w:rsidRDefault="00A30DBC" w:rsidP="0057606A">
            <w:pPr>
              <w:rPr>
                <w:b/>
                <w:bCs/>
              </w:rPr>
            </w:pPr>
            <w:r w:rsidRPr="00A30DBC">
              <w:rPr>
                <w:b/>
                <w:bCs/>
              </w:rPr>
              <w:t>Quality of the HSE Test:</w:t>
            </w:r>
          </w:p>
        </w:tc>
        <w:tc>
          <w:tcPr>
            <w:tcW w:w="6588" w:type="dxa"/>
            <w:tcBorders>
              <w:left w:val="nil"/>
            </w:tcBorders>
            <w:shd w:val="clear" w:color="auto" w:fill="D9D9D9" w:themeFill="background1" w:themeFillShade="D9"/>
            <w:noWrap/>
            <w:hideMark/>
          </w:tcPr>
          <w:p w:rsidR="00A30DBC" w:rsidRPr="00A30DBC" w:rsidRDefault="00A30DBC" w:rsidP="0057606A"/>
        </w:tc>
      </w:tr>
      <w:tr w:rsidR="004D20B8" w:rsidRPr="00A30DBC" w:rsidTr="007A5EAA">
        <w:trPr>
          <w:trHeight w:val="764"/>
        </w:trPr>
        <w:tc>
          <w:tcPr>
            <w:tcW w:w="3060" w:type="dxa"/>
            <w:noWrap/>
          </w:tcPr>
          <w:p w:rsidR="004D20B8" w:rsidRPr="00A30DBC" w:rsidRDefault="004D20B8" w:rsidP="0057606A">
            <w:r w:rsidRPr="00A30DBC">
              <w:t>Alignment</w:t>
            </w:r>
          </w:p>
        </w:tc>
        <w:tc>
          <w:tcPr>
            <w:tcW w:w="6588" w:type="dxa"/>
          </w:tcPr>
          <w:p w:rsidR="004D20B8" w:rsidRPr="00A30DBC" w:rsidRDefault="004D20B8" w:rsidP="00B82F40">
            <w:r w:rsidRPr="00A30DBC">
              <w:t xml:space="preserve">The vendor must </w:t>
            </w:r>
            <w:r w:rsidRPr="007A5EAA">
              <w:t>provide evidence from a third party evaluator to show</w:t>
            </w:r>
            <w:r>
              <w:rPr>
                <w:color w:val="FF0000"/>
              </w:rPr>
              <w:t xml:space="preserve"> </w:t>
            </w:r>
            <w:r w:rsidRPr="00A30DBC">
              <w:t xml:space="preserve">that the HSE </w:t>
            </w:r>
            <w:r>
              <w:t>examination</w:t>
            </w:r>
            <w:r w:rsidRPr="00A30DBC">
              <w:t xml:space="preserve"> is aligned to the </w:t>
            </w:r>
            <w:r w:rsidRPr="00C51CB4">
              <w:rPr>
                <w:i/>
              </w:rPr>
              <w:t>College &amp; Career Readiness Standards</w:t>
            </w:r>
            <w:r>
              <w:rPr>
                <w:i/>
              </w:rPr>
              <w:t xml:space="preserve"> (CCRS)</w:t>
            </w:r>
            <w:r w:rsidRPr="00C51CB4">
              <w:rPr>
                <w:i/>
              </w:rPr>
              <w:t xml:space="preserve"> for Adult </w:t>
            </w:r>
            <w:r>
              <w:rPr>
                <w:i/>
              </w:rPr>
              <w:t xml:space="preserve">Education </w:t>
            </w:r>
            <w:r>
              <w:t xml:space="preserve">and </w:t>
            </w:r>
            <w:r w:rsidRPr="007A5EAA">
              <w:t xml:space="preserve">to the </w:t>
            </w:r>
            <w:r>
              <w:t>Virginia Standards of Learning (SOL) for high school English, Grade 8 Mathematics, Algebra I, and Geometry.</w:t>
            </w:r>
          </w:p>
        </w:tc>
      </w:tr>
      <w:tr w:rsidR="004D20B8" w:rsidRPr="00A30DBC" w:rsidTr="007A5EAA">
        <w:trPr>
          <w:trHeight w:val="764"/>
        </w:trPr>
        <w:tc>
          <w:tcPr>
            <w:tcW w:w="3060" w:type="dxa"/>
            <w:noWrap/>
            <w:hideMark/>
          </w:tcPr>
          <w:p w:rsidR="004D20B8" w:rsidRPr="00A30DBC" w:rsidRDefault="004D20B8" w:rsidP="0057606A">
            <w:r w:rsidRPr="00A30DBC">
              <w:t>Rigor</w:t>
            </w:r>
          </w:p>
        </w:tc>
        <w:tc>
          <w:tcPr>
            <w:tcW w:w="6588" w:type="dxa"/>
            <w:hideMark/>
          </w:tcPr>
          <w:p w:rsidR="004D20B8" w:rsidRDefault="004D20B8" w:rsidP="00B82F40">
            <w:pPr>
              <w:pStyle w:val="ListParagraph"/>
              <w:numPr>
                <w:ilvl w:val="0"/>
                <w:numId w:val="3"/>
              </w:numPr>
            </w:pPr>
            <w:r w:rsidRPr="00A30DBC">
              <w:t xml:space="preserve">The vendor must provide </w:t>
            </w:r>
            <w:r>
              <w:t xml:space="preserve">evidence that its </w:t>
            </w:r>
            <w:r w:rsidRPr="00A30DBC">
              <w:t xml:space="preserve">HSE </w:t>
            </w:r>
            <w:r>
              <w:t>examination</w:t>
            </w:r>
            <w:r w:rsidRPr="00A30DBC">
              <w:t xml:space="preserve"> </w:t>
            </w:r>
            <w:r>
              <w:t xml:space="preserve">meets or </w:t>
            </w:r>
            <w:r w:rsidRPr="00A30DBC">
              <w:t>exceed</w:t>
            </w:r>
            <w:r>
              <w:t>s</w:t>
            </w:r>
            <w:r w:rsidRPr="00A30DBC">
              <w:t xml:space="preserve"> the most recent content and technical standards established by the 2014 edition of </w:t>
            </w:r>
            <w:r>
              <w:t xml:space="preserve">the </w:t>
            </w:r>
            <w:r w:rsidRPr="00073ADC">
              <w:rPr>
                <w:bCs/>
                <w:i/>
              </w:rPr>
              <w:t>Standards for Education and Psychological Testing</w:t>
            </w:r>
            <w:r w:rsidRPr="00073ADC">
              <w:rPr>
                <w:b/>
                <w:bCs/>
              </w:rPr>
              <w:t xml:space="preserve"> </w:t>
            </w:r>
            <w:r w:rsidRPr="00A30DBC">
              <w:t>(</w:t>
            </w:r>
            <w:r>
              <w:t>SEPT</w:t>
            </w:r>
            <w:r w:rsidRPr="00A30DBC">
              <w:t>)</w:t>
            </w:r>
            <w:r>
              <w:t>,</w:t>
            </w:r>
            <w:r w:rsidRPr="00A30DBC">
              <w:t xml:space="preserve"> </w:t>
            </w:r>
            <w:r w:rsidRPr="006D7C6B">
              <w:t>a product of the American Educational Research Association, the American Psychological Association (APA), and the National Council on Measurement in Education (NCME)</w:t>
            </w:r>
            <w:r>
              <w:t>.</w:t>
            </w:r>
          </w:p>
          <w:p w:rsidR="004D20B8" w:rsidRDefault="004D20B8" w:rsidP="00B82F40">
            <w:pPr>
              <w:pStyle w:val="ListParagraph"/>
              <w:numPr>
                <w:ilvl w:val="0"/>
                <w:numId w:val="3"/>
              </w:numPr>
            </w:pPr>
            <w:r w:rsidRPr="00A30DBC">
              <w:t xml:space="preserve">The vendor </w:t>
            </w:r>
            <w:r>
              <w:t xml:space="preserve">must provide evidence </w:t>
            </w:r>
            <w:r w:rsidRPr="00A30DBC">
              <w:t xml:space="preserve">that </w:t>
            </w:r>
            <w:r>
              <w:t>80 percent</w:t>
            </w:r>
            <w:r w:rsidRPr="00A30DBC">
              <w:t xml:space="preserve"> of the HSE </w:t>
            </w:r>
            <w:r>
              <w:t>examination</w:t>
            </w:r>
            <w:r w:rsidRPr="00A30DBC">
              <w:t xml:space="preserve"> include</w:t>
            </w:r>
            <w:r>
              <w:t>s</w:t>
            </w:r>
            <w:r w:rsidRPr="00A30DBC">
              <w:t xml:space="preserve"> </w:t>
            </w:r>
            <w:r>
              <w:t>items using Depth of Knowledge L</w:t>
            </w:r>
            <w:r w:rsidRPr="00A30DBC">
              <w:t>evels 2</w:t>
            </w:r>
            <w:r>
              <w:t xml:space="preserve"> and </w:t>
            </w:r>
            <w:r w:rsidR="00C62A80">
              <w:t>3.</w:t>
            </w:r>
          </w:p>
          <w:p w:rsidR="004D20B8" w:rsidRPr="00C12836" w:rsidRDefault="004D20B8" w:rsidP="00C62A80">
            <w:pPr>
              <w:pStyle w:val="ListParagraph"/>
              <w:numPr>
                <w:ilvl w:val="0"/>
                <w:numId w:val="3"/>
              </w:numPr>
            </w:pPr>
            <w:r w:rsidRPr="00A30DBC">
              <w:t xml:space="preserve">The </w:t>
            </w:r>
            <w:r>
              <w:t xml:space="preserve">vendor will provide evidence that the </w:t>
            </w:r>
            <w:r w:rsidRPr="00A30DBC">
              <w:t xml:space="preserve">HSE </w:t>
            </w:r>
            <w:r>
              <w:t>examination</w:t>
            </w:r>
            <w:r w:rsidRPr="00A30DBC">
              <w:t xml:space="preserve"> will measure </w:t>
            </w:r>
            <w:r>
              <w:t xml:space="preserve">test- takers’ </w:t>
            </w:r>
            <w:r w:rsidRPr="00A30DBC">
              <w:t>skills in interpreting, analyzing, reasoning</w:t>
            </w:r>
            <w:r>
              <w:t>,</w:t>
            </w:r>
            <w:r w:rsidRPr="00A30DBC">
              <w:t xml:space="preserve"> and problem solving, as appropriate for the subject and standard.</w:t>
            </w:r>
          </w:p>
        </w:tc>
      </w:tr>
      <w:tr w:rsidR="004D20B8" w:rsidRPr="00A30DBC" w:rsidTr="00CF71B6">
        <w:trPr>
          <w:trHeight w:val="1295"/>
        </w:trPr>
        <w:tc>
          <w:tcPr>
            <w:tcW w:w="3060" w:type="dxa"/>
            <w:noWrap/>
            <w:hideMark/>
          </w:tcPr>
          <w:p w:rsidR="004D20B8" w:rsidRPr="00A30DBC" w:rsidRDefault="004D20B8" w:rsidP="0057606A">
            <w:r w:rsidRPr="00A30DBC">
              <w:t>Test Development: Initial &amp; Future</w:t>
            </w:r>
          </w:p>
        </w:tc>
        <w:tc>
          <w:tcPr>
            <w:tcW w:w="6588" w:type="dxa"/>
            <w:hideMark/>
          </w:tcPr>
          <w:p w:rsidR="004D20B8" w:rsidRDefault="004D20B8" w:rsidP="0057606A">
            <w:pPr>
              <w:pStyle w:val="ListParagraph"/>
              <w:numPr>
                <w:ilvl w:val="0"/>
                <w:numId w:val="4"/>
              </w:numPr>
            </w:pPr>
            <w:r w:rsidRPr="00A30DBC">
              <w:t xml:space="preserve">The </w:t>
            </w:r>
            <w:r>
              <w:t xml:space="preserve">vendor must provide evidence that the HSE examination’s </w:t>
            </w:r>
            <w:r w:rsidRPr="00A30DBC">
              <w:t xml:space="preserve">design process </w:t>
            </w:r>
            <w:r>
              <w:t xml:space="preserve">is </w:t>
            </w:r>
            <w:r w:rsidRPr="00A30DBC">
              <w:t xml:space="preserve">based on the </w:t>
            </w:r>
            <w:r>
              <w:t>SEPT.</w:t>
            </w:r>
          </w:p>
          <w:p w:rsidR="004D20B8" w:rsidRPr="00A30DBC" w:rsidRDefault="004D20B8" w:rsidP="00C62A80">
            <w:pPr>
              <w:pStyle w:val="ListParagraph"/>
              <w:numPr>
                <w:ilvl w:val="0"/>
                <w:numId w:val="4"/>
              </w:numPr>
            </w:pPr>
            <w:r w:rsidRPr="00A30DBC">
              <w:t xml:space="preserve">The vendor will </w:t>
            </w:r>
            <w:r>
              <w:t xml:space="preserve">describe the plan for </w:t>
            </w:r>
            <w:r w:rsidRPr="00A30DBC">
              <w:t>review</w:t>
            </w:r>
            <w:r>
              <w:t>ing</w:t>
            </w:r>
            <w:r w:rsidRPr="00A30DBC">
              <w:t xml:space="preserve"> and updat</w:t>
            </w:r>
            <w:r>
              <w:t>ing</w:t>
            </w:r>
            <w:r w:rsidRPr="00A30DBC">
              <w:t xml:space="preserve"> its question pool</w:t>
            </w:r>
            <w:r>
              <w:t>.</w:t>
            </w:r>
          </w:p>
        </w:tc>
      </w:tr>
      <w:tr w:rsidR="004D20B8" w:rsidRPr="00A30DBC" w:rsidTr="00CF71B6">
        <w:trPr>
          <w:trHeight w:val="2240"/>
        </w:trPr>
        <w:tc>
          <w:tcPr>
            <w:tcW w:w="3060" w:type="dxa"/>
            <w:noWrap/>
            <w:hideMark/>
          </w:tcPr>
          <w:p w:rsidR="004D20B8" w:rsidRPr="00A30DBC" w:rsidRDefault="004D20B8" w:rsidP="0057606A">
            <w:r w:rsidRPr="00A30DBC">
              <w:t>Reliability</w:t>
            </w:r>
          </w:p>
        </w:tc>
        <w:tc>
          <w:tcPr>
            <w:tcW w:w="6588" w:type="dxa"/>
            <w:hideMark/>
          </w:tcPr>
          <w:p w:rsidR="004D20B8" w:rsidRDefault="004D20B8" w:rsidP="006D7C6B">
            <w:pPr>
              <w:pStyle w:val="ListParagraph"/>
              <w:numPr>
                <w:ilvl w:val="0"/>
                <w:numId w:val="5"/>
              </w:numPr>
            </w:pPr>
            <w:r w:rsidRPr="00A30DBC">
              <w:t xml:space="preserve">The vendor </w:t>
            </w:r>
            <w:r>
              <w:t xml:space="preserve">will </w:t>
            </w:r>
            <w:r w:rsidRPr="00A30DBC">
              <w:t>provide results of reliability studies to show the consistency and st</w:t>
            </w:r>
            <w:r>
              <w:t>ability of the HSE examination.</w:t>
            </w:r>
          </w:p>
          <w:p w:rsidR="004D20B8" w:rsidRDefault="004D20B8" w:rsidP="006D7C6B">
            <w:pPr>
              <w:pStyle w:val="ListParagraph"/>
              <w:numPr>
                <w:ilvl w:val="0"/>
                <w:numId w:val="5"/>
              </w:numPr>
            </w:pPr>
            <w:r w:rsidRPr="00A30DBC">
              <w:t>The vendor will describe the psychometrics</w:t>
            </w:r>
            <w:r>
              <w:t xml:space="preserve"> used to determine reliability.</w:t>
            </w:r>
          </w:p>
          <w:p w:rsidR="004D20B8" w:rsidRPr="00A30DBC" w:rsidRDefault="004D20B8" w:rsidP="00C62A80">
            <w:pPr>
              <w:pStyle w:val="ListParagraph"/>
              <w:numPr>
                <w:ilvl w:val="0"/>
                <w:numId w:val="5"/>
              </w:numPr>
            </w:pPr>
            <w:r w:rsidRPr="00A30DBC">
              <w:t xml:space="preserve">The vendor will </w:t>
            </w:r>
            <w:r>
              <w:t>describe the</w:t>
            </w:r>
            <w:r w:rsidRPr="00A30DBC">
              <w:t xml:space="preserve"> plan for maintaining and measuring reliability over time.</w:t>
            </w:r>
          </w:p>
        </w:tc>
      </w:tr>
      <w:tr w:rsidR="00CF71B6" w:rsidRPr="00A30DBC" w:rsidTr="007A5EAA">
        <w:trPr>
          <w:trHeight w:val="1601"/>
        </w:trPr>
        <w:tc>
          <w:tcPr>
            <w:tcW w:w="3060" w:type="dxa"/>
            <w:noWrap/>
            <w:hideMark/>
          </w:tcPr>
          <w:p w:rsidR="00CF71B6" w:rsidRPr="00A30DBC" w:rsidRDefault="00CF71B6" w:rsidP="0057606A">
            <w:r w:rsidRPr="00A30DBC">
              <w:lastRenderedPageBreak/>
              <w:t>Validity</w:t>
            </w:r>
          </w:p>
        </w:tc>
        <w:tc>
          <w:tcPr>
            <w:tcW w:w="6588" w:type="dxa"/>
            <w:hideMark/>
          </w:tcPr>
          <w:p w:rsidR="00CF71B6" w:rsidRDefault="00CF71B6" w:rsidP="006D7C6B">
            <w:pPr>
              <w:pStyle w:val="ListParagraph"/>
              <w:numPr>
                <w:ilvl w:val="0"/>
                <w:numId w:val="6"/>
              </w:numPr>
            </w:pPr>
            <w:r w:rsidRPr="00A30DBC">
              <w:t xml:space="preserve">The vendor </w:t>
            </w:r>
            <w:r>
              <w:t xml:space="preserve">will </w:t>
            </w:r>
            <w:r w:rsidRPr="00A30DBC">
              <w:t xml:space="preserve">provide results of validity studies to show that the HSE </w:t>
            </w:r>
            <w:r>
              <w:t>examination</w:t>
            </w:r>
            <w:r w:rsidRPr="00A30DBC">
              <w:t xml:space="preserve"> measu</w:t>
            </w:r>
            <w:r>
              <w:t>res what it intends to measure.</w:t>
            </w:r>
          </w:p>
          <w:p w:rsidR="00CF71B6" w:rsidRDefault="00CF71B6" w:rsidP="006D7C6B">
            <w:pPr>
              <w:pStyle w:val="ListParagraph"/>
              <w:numPr>
                <w:ilvl w:val="0"/>
                <w:numId w:val="6"/>
              </w:numPr>
            </w:pPr>
            <w:r w:rsidRPr="00A30DBC">
              <w:t>The vendor will describe the psychometr</w:t>
            </w:r>
            <w:r>
              <w:t>ics used to determine validity.</w:t>
            </w:r>
          </w:p>
          <w:p w:rsidR="00CF71B6" w:rsidRPr="00A30DBC" w:rsidRDefault="00CF71B6" w:rsidP="00C62A80">
            <w:pPr>
              <w:pStyle w:val="ListParagraph"/>
              <w:numPr>
                <w:ilvl w:val="0"/>
                <w:numId w:val="6"/>
              </w:numPr>
            </w:pPr>
            <w:r w:rsidRPr="00A30DBC">
              <w:t xml:space="preserve">The vendor will </w:t>
            </w:r>
            <w:r>
              <w:t>describe the</w:t>
            </w:r>
            <w:r w:rsidRPr="00A30DBC">
              <w:t xml:space="preserve"> plan for maintaining and measuring validity over time.</w:t>
            </w:r>
          </w:p>
        </w:tc>
      </w:tr>
      <w:tr w:rsidR="00CF71B6" w:rsidRPr="00A30DBC" w:rsidTr="009909E3">
        <w:trPr>
          <w:trHeight w:val="440"/>
        </w:trPr>
        <w:tc>
          <w:tcPr>
            <w:tcW w:w="3060" w:type="dxa"/>
            <w:noWrap/>
            <w:hideMark/>
          </w:tcPr>
          <w:p w:rsidR="00CF71B6" w:rsidRPr="00A30DBC" w:rsidRDefault="00CF71B6" w:rsidP="006D7C6B">
            <w:r w:rsidRPr="00A30DBC">
              <w:t xml:space="preserve">Norming of </w:t>
            </w:r>
            <w:r>
              <w:t>T</w:t>
            </w:r>
            <w:r w:rsidRPr="00A30DBC">
              <w:t>ests</w:t>
            </w:r>
          </w:p>
        </w:tc>
        <w:tc>
          <w:tcPr>
            <w:tcW w:w="6588" w:type="dxa"/>
            <w:hideMark/>
          </w:tcPr>
          <w:p w:rsidR="00CF71B6" w:rsidRDefault="00CF71B6" w:rsidP="006D7C6B">
            <w:pPr>
              <w:pStyle w:val="ListParagraph"/>
              <w:numPr>
                <w:ilvl w:val="0"/>
                <w:numId w:val="7"/>
              </w:numPr>
            </w:pPr>
            <w:r w:rsidRPr="00A30DBC">
              <w:t xml:space="preserve">The vendor must </w:t>
            </w:r>
            <w:r>
              <w:t xml:space="preserve">provide evidence that it has </w:t>
            </w:r>
            <w:r w:rsidRPr="00A30DBC">
              <w:t xml:space="preserve">completed a norming </w:t>
            </w:r>
            <w:r>
              <w:t xml:space="preserve">study </w:t>
            </w:r>
            <w:r w:rsidRPr="00A30DBC">
              <w:t xml:space="preserve">of its HSE </w:t>
            </w:r>
            <w:r>
              <w:t xml:space="preserve">examination with graduating high school seniors </w:t>
            </w:r>
            <w:r w:rsidRPr="00A30DBC">
              <w:t>within the last two years of test development</w:t>
            </w:r>
            <w:r>
              <w:t>.</w:t>
            </w:r>
          </w:p>
          <w:p w:rsidR="00CF71B6" w:rsidRDefault="00CF71B6" w:rsidP="006D7C6B">
            <w:pPr>
              <w:pStyle w:val="ListParagraph"/>
              <w:numPr>
                <w:ilvl w:val="0"/>
                <w:numId w:val="7"/>
              </w:numPr>
            </w:pPr>
            <w:r w:rsidRPr="00A30DBC">
              <w:t xml:space="preserve">The vendor will </w:t>
            </w:r>
            <w:r>
              <w:t xml:space="preserve">provide evidence </w:t>
            </w:r>
            <w:r w:rsidRPr="00A30DBC">
              <w:t xml:space="preserve">that the norming study </w:t>
            </w:r>
            <w:r>
              <w:t xml:space="preserve">was </w:t>
            </w:r>
            <w:r w:rsidRPr="00A30DBC">
              <w:t xml:space="preserve">conducted </w:t>
            </w:r>
            <w:r>
              <w:t xml:space="preserve">in accordance with </w:t>
            </w:r>
            <w:r w:rsidRPr="00A30DBC">
              <w:t xml:space="preserve">the </w:t>
            </w:r>
            <w:r>
              <w:t>SEPT.</w:t>
            </w:r>
          </w:p>
          <w:p w:rsidR="00CF71B6" w:rsidRPr="00A30DBC" w:rsidRDefault="00CF71B6" w:rsidP="00C62A80">
            <w:pPr>
              <w:pStyle w:val="ListParagraph"/>
              <w:numPr>
                <w:ilvl w:val="0"/>
                <w:numId w:val="7"/>
              </w:numPr>
            </w:pPr>
            <w:r w:rsidRPr="00A30DBC">
              <w:t xml:space="preserve">The vendor will </w:t>
            </w:r>
            <w:r>
              <w:t>describe its</w:t>
            </w:r>
            <w:r w:rsidRPr="00A30DBC">
              <w:t xml:space="preserve"> plan for future norming studies</w:t>
            </w:r>
            <w:r>
              <w:t>,</w:t>
            </w:r>
            <w:r w:rsidRPr="00A30DBC">
              <w:t xml:space="preserve"> </w:t>
            </w:r>
            <w:r>
              <w:t xml:space="preserve">for </w:t>
            </w:r>
            <w:r w:rsidRPr="00A30DBC">
              <w:t>both new test items</w:t>
            </w:r>
            <w:r>
              <w:t xml:space="preserve"> and for</w:t>
            </w:r>
            <w:r w:rsidRPr="00A30DBC">
              <w:t xml:space="preserve"> overall HSE </w:t>
            </w:r>
            <w:r>
              <w:t>examination</w:t>
            </w:r>
            <w:r w:rsidRPr="00A30DBC">
              <w:t xml:space="preserve"> norming</w:t>
            </w:r>
            <w:r>
              <w:t>,</w:t>
            </w:r>
            <w:r w:rsidRPr="00A30DBC">
              <w:t xml:space="preserve"> to ensure that the set </w:t>
            </w:r>
            <w:r>
              <w:t xml:space="preserve">cut </w:t>
            </w:r>
            <w:r w:rsidRPr="00A30DBC">
              <w:t xml:space="preserve">scores on the HSE </w:t>
            </w:r>
            <w:r>
              <w:t>examination</w:t>
            </w:r>
            <w:r w:rsidRPr="00A30DBC">
              <w:t xml:space="preserve"> remain consistent with high school completion requirements.</w:t>
            </w:r>
          </w:p>
        </w:tc>
      </w:tr>
      <w:tr w:rsidR="00CF71B6" w:rsidRPr="00A30DBC" w:rsidTr="007A5EAA">
        <w:trPr>
          <w:trHeight w:val="2420"/>
        </w:trPr>
        <w:tc>
          <w:tcPr>
            <w:tcW w:w="3060" w:type="dxa"/>
            <w:noWrap/>
            <w:hideMark/>
          </w:tcPr>
          <w:p w:rsidR="00CF71B6" w:rsidRPr="00A30DBC" w:rsidRDefault="00CF71B6" w:rsidP="002B2D42">
            <w:r>
              <w:t xml:space="preserve"> Cut </w:t>
            </w:r>
            <w:r w:rsidRPr="00A30DBC">
              <w:t>Scores</w:t>
            </w:r>
          </w:p>
        </w:tc>
        <w:tc>
          <w:tcPr>
            <w:tcW w:w="6588" w:type="dxa"/>
            <w:hideMark/>
          </w:tcPr>
          <w:p w:rsidR="00CF71B6" w:rsidRPr="00A30DBC" w:rsidRDefault="00CF71B6" w:rsidP="00C62A80">
            <w:r w:rsidRPr="00A30DBC">
              <w:t xml:space="preserve">The vendor will </w:t>
            </w:r>
            <w:r>
              <w:t xml:space="preserve">provide evidence that it has </w:t>
            </w:r>
            <w:r w:rsidRPr="00A30DBC">
              <w:t>identif</w:t>
            </w:r>
            <w:r>
              <w:t>ied</w:t>
            </w:r>
            <w:r w:rsidRPr="00A30DBC">
              <w:t xml:space="preserve"> a minimum of two cut scores:  one for high school equivalency and another for college </w:t>
            </w:r>
            <w:r>
              <w:t>and</w:t>
            </w:r>
            <w:r w:rsidRPr="00A30DBC">
              <w:t xml:space="preserve"> career readiness.</w:t>
            </w:r>
          </w:p>
        </w:tc>
      </w:tr>
      <w:tr w:rsidR="00CF71B6" w:rsidRPr="00A30DBC" w:rsidTr="007A5EAA">
        <w:trPr>
          <w:trHeight w:val="539"/>
        </w:trPr>
        <w:tc>
          <w:tcPr>
            <w:tcW w:w="3060" w:type="dxa"/>
            <w:noWrap/>
            <w:hideMark/>
          </w:tcPr>
          <w:p w:rsidR="00CF71B6" w:rsidRPr="00A30DBC" w:rsidRDefault="00CF71B6" w:rsidP="0057606A">
            <w:r w:rsidRPr="00A30DBC">
              <w:t>Test forms</w:t>
            </w:r>
          </w:p>
        </w:tc>
        <w:tc>
          <w:tcPr>
            <w:tcW w:w="6588" w:type="dxa"/>
            <w:hideMark/>
          </w:tcPr>
          <w:p w:rsidR="00CF71B6" w:rsidRDefault="00CF71B6" w:rsidP="005349C8">
            <w:r>
              <w:t xml:space="preserve">1)   </w:t>
            </w:r>
            <w:r w:rsidRPr="00A30DBC">
              <w:t xml:space="preserve">The vendor will </w:t>
            </w:r>
            <w:r>
              <w:t xml:space="preserve">describe the process for providing </w:t>
            </w:r>
            <w:r w:rsidRPr="00A30DBC">
              <w:t xml:space="preserve">a minimum of three </w:t>
            </w:r>
            <w:r>
              <w:t xml:space="preserve">English language </w:t>
            </w:r>
            <w:r w:rsidRPr="00A30DBC">
              <w:t xml:space="preserve">HSE </w:t>
            </w:r>
            <w:r>
              <w:t>examination</w:t>
            </w:r>
            <w:r w:rsidRPr="00A30DBC">
              <w:t xml:space="preserve"> forms </w:t>
            </w:r>
            <w:r>
              <w:t>each</w:t>
            </w:r>
            <w:r w:rsidRPr="00A30DBC">
              <w:t xml:space="preserve"> year.</w:t>
            </w:r>
            <w:r>
              <w:t xml:space="preserve"> </w:t>
            </w:r>
          </w:p>
          <w:p w:rsidR="00CF71B6" w:rsidRPr="00A30DBC" w:rsidRDefault="00CF71B6" w:rsidP="003619A8">
            <w:r>
              <w:t xml:space="preserve">2)   </w:t>
            </w:r>
            <w:r w:rsidRPr="00A30DBC">
              <w:t xml:space="preserve">The </w:t>
            </w:r>
            <w:r>
              <w:t xml:space="preserve">vendor will provide evidence that the </w:t>
            </w:r>
            <w:r w:rsidRPr="00A30DBC">
              <w:t xml:space="preserve">HSE </w:t>
            </w:r>
            <w:r>
              <w:t>examination</w:t>
            </w:r>
            <w:r w:rsidRPr="00A30DBC">
              <w:t xml:space="preserve"> </w:t>
            </w:r>
            <w:r>
              <w:t xml:space="preserve">contains subtests </w:t>
            </w:r>
            <w:r w:rsidRPr="00A30DBC">
              <w:t>in the areas of writing, reading, math, science</w:t>
            </w:r>
            <w:r>
              <w:t>,</w:t>
            </w:r>
            <w:r w:rsidRPr="00A30DBC">
              <w:t xml:space="preserve"> and social studies.</w:t>
            </w:r>
          </w:p>
        </w:tc>
      </w:tr>
      <w:tr w:rsidR="00CF71B6" w:rsidRPr="00A30DBC" w:rsidTr="00CF71B6">
        <w:trPr>
          <w:trHeight w:val="4211"/>
        </w:trPr>
        <w:tc>
          <w:tcPr>
            <w:tcW w:w="3060" w:type="dxa"/>
            <w:noWrap/>
            <w:hideMark/>
          </w:tcPr>
          <w:p w:rsidR="00CF71B6" w:rsidRPr="00A30DBC" w:rsidRDefault="00CF71B6" w:rsidP="00B84C21">
            <w:r w:rsidRPr="00A30DBC">
              <w:t>Test Security</w:t>
            </w:r>
          </w:p>
        </w:tc>
        <w:tc>
          <w:tcPr>
            <w:tcW w:w="6588" w:type="dxa"/>
            <w:hideMark/>
          </w:tcPr>
          <w:p w:rsidR="00CF71B6" w:rsidRDefault="00CF71B6" w:rsidP="006721F8">
            <w:pPr>
              <w:pStyle w:val="ListParagraph"/>
              <w:numPr>
                <w:ilvl w:val="0"/>
                <w:numId w:val="10"/>
              </w:numPr>
            </w:pPr>
            <w:r w:rsidRPr="00A30DBC">
              <w:t xml:space="preserve">The vendor </w:t>
            </w:r>
            <w:r>
              <w:t xml:space="preserve">must provide evidence of </w:t>
            </w:r>
            <w:r w:rsidRPr="00A30DBC">
              <w:t xml:space="preserve">measures </w:t>
            </w:r>
            <w:r>
              <w:t>that</w:t>
            </w:r>
            <w:r w:rsidRPr="00A30DBC">
              <w:t xml:space="preserve"> ensure the security</w:t>
            </w:r>
            <w:r>
              <w:t xml:space="preserve"> and</w:t>
            </w:r>
            <w:r w:rsidRPr="00A30DBC">
              <w:t xml:space="preserve"> integrity of its HSE </w:t>
            </w:r>
            <w:r>
              <w:t>examination</w:t>
            </w:r>
            <w:r w:rsidRPr="00A30DBC">
              <w:t xml:space="preserve">, </w:t>
            </w:r>
            <w:r>
              <w:t xml:space="preserve">taking into </w:t>
            </w:r>
            <w:r w:rsidRPr="00A30DBC">
              <w:t>consider</w:t>
            </w:r>
            <w:r>
              <w:t>ation</w:t>
            </w:r>
            <w:r w:rsidRPr="00A30DBC">
              <w:t xml:space="preserve"> local testing center</w:t>
            </w:r>
            <w:r>
              <w:t>s’</w:t>
            </w:r>
            <w:r w:rsidRPr="00A30DBC">
              <w:t xml:space="preserve"> capabilities.</w:t>
            </w:r>
          </w:p>
          <w:p w:rsidR="00CF71B6" w:rsidRDefault="00CF71B6" w:rsidP="006721F8">
            <w:pPr>
              <w:pStyle w:val="ListParagraph"/>
              <w:numPr>
                <w:ilvl w:val="0"/>
                <w:numId w:val="10"/>
              </w:numPr>
            </w:pPr>
            <w:r w:rsidRPr="00A30DBC">
              <w:t xml:space="preserve">The CBT HSE </w:t>
            </w:r>
            <w:r>
              <w:t>examination</w:t>
            </w:r>
            <w:r w:rsidRPr="00A30DBC">
              <w:t xml:space="preserve"> must be secure </w:t>
            </w:r>
            <w:r>
              <w:t xml:space="preserve">on the Internet </w:t>
            </w:r>
            <w:r w:rsidRPr="00A30DBC">
              <w:t xml:space="preserve">and be </w:t>
            </w:r>
            <w:r>
              <w:t xml:space="preserve">accessible </w:t>
            </w:r>
            <w:r w:rsidRPr="00A30DBC">
              <w:t>by testing administrators only.</w:t>
            </w:r>
            <w:r>
              <w:t xml:space="preserve"> </w:t>
            </w:r>
          </w:p>
          <w:p w:rsidR="00CF71B6" w:rsidRDefault="00CF71B6" w:rsidP="006721F8">
            <w:pPr>
              <w:pStyle w:val="ListParagraph"/>
              <w:numPr>
                <w:ilvl w:val="0"/>
                <w:numId w:val="10"/>
              </w:numPr>
            </w:pPr>
            <w:r w:rsidRPr="00A30DBC">
              <w:t xml:space="preserve">The vendor must provide </w:t>
            </w:r>
            <w:r>
              <w:t xml:space="preserve">evidence of procedures </w:t>
            </w:r>
            <w:r w:rsidRPr="00A30DBC">
              <w:t>for testing centers</w:t>
            </w:r>
            <w:r>
              <w:t xml:space="preserve"> to follow when test irregularities occur during testing administration.</w:t>
            </w:r>
          </w:p>
          <w:p w:rsidR="00CF71B6" w:rsidRDefault="00CF71B6" w:rsidP="006721F8">
            <w:pPr>
              <w:pStyle w:val="ListParagraph"/>
              <w:numPr>
                <w:ilvl w:val="0"/>
                <w:numId w:val="10"/>
              </w:numPr>
            </w:pPr>
            <w:r w:rsidRPr="00A30DBC">
              <w:t xml:space="preserve">The vendor must provide </w:t>
            </w:r>
            <w:r>
              <w:t xml:space="preserve">evidence of procedures for addressing </w:t>
            </w:r>
            <w:r w:rsidRPr="00A30DBC">
              <w:t>national, state</w:t>
            </w:r>
            <w:r>
              <w:t xml:space="preserve">, </w:t>
            </w:r>
            <w:r w:rsidRPr="00A30DBC">
              <w:t>or local breach</w:t>
            </w:r>
            <w:r>
              <w:t>es</w:t>
            </w:r>
            <w:r w:rsidRPr="00A30DBC">
              <w:t xml:space="preserve"> in security with the HSE </w:t>
            </w:r>
            <w:r>
              <w:t xml:space="preserve">examination and the actions the vendor will take. </w:t>
            </w:r>
          </w:p>
          <w:p w:rsidR="00CF71B6" w:rsidRPr="00A30DBC" w:rsidRDefault="00CF71B6" w:rsidP="00C62A80">
            <w:pPr>
              <w:pStyle w:val="ListParagraph"/>
              <w:numPr>
                <w:ilvl w:val="0"/>
                <w:numId w:val="10"/>
              </w:numPr>
            </w:pPr>
            <w:r w:rsidRPr="00A30DBC">
              <w:t xml:space="preserve">The vendor </w:t>
            </w:r>
            <w:r>
              <w:t>must provide evidence of procedures for informing</w:t>
            </w:r>
            <w:r w:rsidRPr="00A30DBC">
              <w:t xml:space="preserve"> the VDOE and local testing centers of any problem</w:t>
            </w:r>
            <w:r>
              <w:t xml:space="preserve"> concerning test security</w:t>
            </w:r>
            <w:r w:rsidRPr="00A30DBC">
              <w:t xml:space="preserve">, including </w:t>
            </w:r>
            <w:r>
              <w:t>its</w:t>
            </w:r>
            <w:r w:rsidRPr="00A30DBC">
              <w:t xml:space="preserve"> resolution</w:t>
            </w:r>
            <w:r>
              <w:t xml:space="preserve"> process. </w:t>
            </w:r>
          </w:p>
        </w:tc>
      </w:tr>
      <w:tr w:rsidR="00CF71B6" w:rsidRPr="00A30DBC" w:rsidTr="007A5EAA">
        <w:trPr>
          <w:trHeight w:val="2681"/>
        </w:trPr>
        <w:tc>
          <w:tcPr>
            <w:tcW w:w="3060" w:type="dxa"/>
            <w:noWrap/>
            <w:hideMark/>
          </w:tcPr>
          <w:p w:rsidR="00CF71B6" w:rsidRPr="00A30DBC" w:rsidRDefault="00CF71B6" w:rsidP="0057606A">
            <w:r w:rsidRPr="00A30DBC">
              <w:lastRenderedPageBreak/>
              <w:t>Official Practice Tests (OPT)</w:t>
            </w:r>
          </w:p>
        </w:tc>
        <w:tc>
          <w:tcPr>
            <w:tcW w:w="6588" w:type="dxa"/>
            <w:hideMark/>
          </w:tcPr>
          <w:p w:rsidR="00CF71B6" w:rsidRDefault="00CF71B6" w:rsidP="004849B2">
            <w:pPr>
              <w:pStyle w:val="ListParagraph"/>
              <w:numPr>
                <w:ilvl w:val="0"/>
                <w:numId w:val="12"/>
              </w:numPr>
            </w:pPr>
            <w:r>
              <w:t>The vendor must provide evidence of a</w:t>
            </w:r>
            <w:r w:rsidRPr="00A30DBC">
              <w:t xml:space="preserve"> minimum of three </w:t>
            </w:r>
            <w:r>
              <w:t xml:space="preserve">English language </w:t>
            </w:r>
            <w:r w:rsidRPr="00A30DBC">
              <w:t>Official Practice Test (OPT)</w:t>
            </w:r>
            <w:r>
              <w:t xml:space="preserve"> </w:t>
            </w:r>
            <w:r w:rsidRPr="00A30DBC">
              <w:t>forms</w:t>
            </w:r>
            <w:r>
              <w:t xml:space="preserve">. </w:t>
            </w:r>
          </w:p>
          <w:p w:rsidR="00CF71B6" w:rsidRDefault="00CF71B6" w:rsidP="004849B2">
            <w:pPr>
              <w:pStyle w:val="ListParagraph"/>
              <w:numPr>
                <w:ilvl w:val="0"/>
                <w:numId w:val="12"/>
              </w:numPr>
            </w:pPr>
            <w:r>
              <w:t xml:space="preserve">The vendor must provide evidence that the </w:t>
            </w:r>
            <w:r w:rsidRPr="00A30DBC">
              <w:t xml:space="preserve">OPTs </w:t>
            </w:r>
            <w:r>
              <w:t xml:space="preserve">are </w:t>
            </w:r>
            <w:r w:rsidRPr="00A30DBC">
              <w:t xml:space="preserve">aligned to the operational HSE </w:t>
            </w:r>
            <w:r>
              <w:t>examination</w:t>
            </w:r>
            <w:r w:rsidRPr="00A30DBC">
              <w:t xml:space="preserve"> and</w:t>
            </w:r>
            <w:r>
              <w:rPr>
                <w:color w:val="FF0000"/>
              </w:rPr>
              <w:t xml:space="preserve"> </w:t>
            </w:r>
            <w:r>
              <w:t xml:space="preserve">be </w:t>
            </w:r>
            <w:r w:rsidRPr="00A30DBC">
              <w:t xml:space="preserve">predictive of </w:t>
            </w:r>
            <w:r>
              <w:t xml:space="preserve">  an examinee’s performance </w:t>
            </w:r>
            <w:r w:rsidRPr="00A30DBC">
              <w:t xml:space="preserve">on the </w:t>
            </w:r>
            <w:r>
              <w:t xml:space="preserve">operational </w:t>
            </w:r>
            <w:r w:rsidRPr="00A30DBC">
              <w:t xml:space="preserve">HSE </w:t>
            </w:r>
            <w:r>
              <w:t>examination</w:t>
            </w:r>
            <w:r w:rsidRPr="00A30DBC">
              <w:t>.</w:t>
            </w:r>
          </w:p>
          <w:p w:rsidR="00CF71B6" w:rsidRPr="00A30DBC" w:rsidRDefault="00CF71B6" w:rsidP="00C62A80">
            <w:pPr>
              <w:pStyle w:val="ListParagraph"/>
              <w:numPr>
                <w:ilvl w:val="0"/>
                <w:numId w:val="12"/>
              </w:numPr>
            </w:pPr>
            <w:r>
              <w:t xml:space="preserve">The vendor must provide evidence of a diagnostic report from the </w:t>
            </w:r>
            <w:r w:rsidRPr="00A30DBC">
              <w:t>OPT</w:t>
            </w:r>
            <w:r>
              <w:t>s</w:t>
            </w:r>
            <w:r w:rsidRPr="00A30DBC">
              <w:t xml:space="preserve"> </w:t>
            </w:r>
            <w:r>
              <w:t>that</w:t>
            </w:r>
            <w:r w:rsidRPr="00A30DBC">
              <w:t xml:space="preserve"> </w:t>
            </w:r>
            <w:proofErr w:type="gramStart"/>
            <w:r w:rsidRPr="00A30DBC">
              <w:t>assist</w:t>
            </w:r>
            <w:r>
              <w:t>s</w:t>
            </w:r>
            <w:proofErr w:type="gramEnd"/>
            <w:r w:rsidRPr="00A30DBC">
              <w:t xml:space="preserve"> the </w:t>
            </w:r>
            <w:r>
              <w:t xml:space="preserve">examinee </w:t>
            </w:r>
            <w:r w:rsidRPr="00A30DBC">
              <w:t xml:space="preserve">in preparing for the HSE </w:t>
            </w:r>
            <w:r>
              <w:t>examination</w:t>
            </w:r>
            <w:r w:rsidRPr="00A30DBC">
              <w:t>.</w:t>
            </w:r>
          </w:p>
        </w:tc>
      </w:tr>
      <w:tr w:rsidR="00CF71B6" w:rsidRPr="00A30DBC" w:rsidTr="007A5EAA">
        <w:trPr>
          <w:trHeight w:val="1880"/>
        </w:trPr>
        <w:tc>
          <w:tcPr>
            <w:tcW w:w="3060" w:type="dxa"/>
            <w:noWrap/>
            <w:hideMark/>
          </w:tcPr>
          <w:p w:rsidR="00CF71B6" w:rsidRPr="00A30DBC" w:rsidRDefault="00CF71B6" w:rsidP="0057606A">
            <w:r w:rsidRPr="00A30DBC">
              <w:t>Credibility/Recognition of Test Name</w:t>
            </w:r>
          </w:p>
        </w:tc>
        <w:tc>
          <w:tcPr>
            <w:tcW w:w="6588" w:type="dxa"/>
            <w:hideMark/>
          </w:tcPr>
          <w:p w:rsidR="00CF71B6" w:rsidRDefault="00CF71B6" w:rsidP="00D6350D">
            <w:pPr>
              <w:pStyle w:val="ListParagraph"/>
              <w:numPr>
                <w:ilvl w:val="0"/>
                <w:numId w:val="13"/>
              </w:numPr>
            </w:pPr>
            <w:r w:rsidRPr="00A30DBC">
              <w:t xml:space="preserve">The vendor </w:t>
            </w:r>
            <w:r>
              <w:t xml:space="preserve">must </w:t>
            </w:r>
            <w:r w:rsidRPr="00A30DBC">
              <w:t xml:space="preserve">provide evidence that the HSE </w:t>
            </w:r>
            <w:r>
              <w:t>examination</w:t>
            </w:r>
            <w:r w:rsidRPr="00A30DBC">
              <w:t xml:space="preserve"> is nationally portable and broadly accepted by employers a</w:t>
            </w:r>
            <w:r>
              <w:t>nd postsecondary institutions.</w:t>
            </w:r>
          </w:p>
          <w:p w:rsidR="00CF71B6" w:rsidRPr="00A30DBC" w:rsidRDefault="00CF71B6" w:rsidP="00C62A80">
            <w:pPr>
              <w:pStyle w:val="ListParagraph"/>
              <w:numPr>
                <w:ilvl w:val="0"/>
                <w:numId w:val="13"/>
              </w:numPr>
            </w:pPr>
            <w:r w:rsidRPr="00A30DBC">
              <w:t xml:space="preserve">The vendor </w:t>
            </w:r>
            <w:r>
              <w:t>must describe the</w:t>
            </w:r>
            <w:r w:rsidRPr="00A30DBC">
              <w:t xml:space="preserve"> plan to </w:t>
            </w:r>
            <w:r>
              <w:t xml:space="preserve">increase the </w:t>
            </w:r>
            <w:r w:rsidRPr="00A30DBC">
              <w:t xml:space="preserve">HSE </w:t>
            </w:r>
            <w:r>
              <w:t>examination’s</w:t>
            </w:r>
            <w:r w:rsidRPr="00A30DBC">
              <w:t xml:space="preserve"> name recognition to all stakeholders.</w:t>
            </w:r>
          </w:p>
        </w:tc>
      </w:tr>
      <w:tr w:rsidR="00CF71B6" w:rsidRPr="00A30DBC" w:rsidTr="00223033">
        <w:trPr>
          <w:trHeight w:val="530"/>
        </w:trPr>
        <w:tc>
          <w:tcPr>
            <w:tcW w:w="3060" w:type="dxa"/>
            <w:tcBorders>
              <w:bottom w:val="single" w:sz="4" w:space="0" w:color="auto"/>
            </w:tcBorders>
            <w:noWrap/>
            <w:hideMark/>
          </w:tcPr>
          <w:p w:rsidR="00CF71B6" w:rsidRPr="00A30DBC" w:rsidRDefault="00CF71B6" w:rsidP="0057606A">
            <w:r w:rsidRPr="00E749DD">
              <w:t>Test Delivery: C</w:t>
            </w:r>
            <w:r>
              <w:t>omputer</w:t>
            </w:r>
            <w:r w:rsidRPr="00E749DD">
              <w:t>-Based Testing (CBT) and Paper</w:t>
            </w:r>
            <w:r>
              <w:t>-</w:t>
            </w:r>
            <w:r w:rsidRPr="00E749DD">
              <w:t>Based Testing</w:t>
            </w:r>
            <w:r>
              <w:t xml:space="preserve"> </w:t>
            </w:r>
            <w:r w:rsidRPr="00E749DD">
              <w:t>(PBT)</w:t>
            </w:r>
          </w:p>
        </w:tc>
        <w:tc>
          <w:tcPr>
            <w:tcW w:w="6588" w:type="dxa"/>
            <w:tcBorders>
              <w:bottom w:val="single" w:sz="4" w:space="0" w:color="auto"/>
            </w:tcBorders>
            <w:hideMark/>
          </w:tcPr>
          <w:p w:rsidR="00CF71B6" w:rsidRDefault="00CF71B6" w:rsidP="00D6350D">
            <w:pPr>
              <w:pStyle w:val="ListParagraph"/>
              <w:numPr>
                <w:ilvl w:val="0"/>
                <w:numId w:val="14"/>
              </w:numPr>
            </w:pPr>
            <w:r w:rsidRPr="00A30DBC">
              <w:t xml:space="preserve">The </w:t>
            </w:r>
            <w:r>
              <w:t xml:space="preserve">vendor must provide evidence that the </w:t>
            </w:r>
            <w:r w:rsidRPr="00A30DBC">
              <w:t xml:space="preserve">HSE </w:t>
            </w:r>
            <w:r>
              <w:t>examination</w:t>
            </w:r>
            <w:r w:rsidRPr="00A30DBC">
              <w:t xml:space="preserve"> can be </w:t>
            </w:r>
            <w:r>
              <w:t xml:space="preserve">administered as </w:t>
            </w:r>
            <w:r w:rsidRPr="00A30DBC">
              <w:t>either computer-based testing (CBT) or paper-based test</w:t>
            </w:r>
            <w:r>
              <w:t>ing</w:t>
            </w:r>
            <w:r w:rsidRPr="00A30DBC">
              <w:t xml:space="preserve"> (PBT).</w:t>
            </w:r>
          </w:p>
          <w:p w:rsidR="00CF71B6" w:rsidRDefault="00CF71B6" w:rsidP="00D6350D">
            <w:pPr>
              <w:pStyle w:val="ListParagraph"/>
              <w:numPr>
                <w:ilvl w:val="0"/>
                <w:numId w:val="14"/>
              </w:numPr>
            </w:pPr>
            <w:r w:rsidRPr="00A30DBC">
              <w:t xml:space="preserve">The </w:t>
            </w:r>
            <w:r>
              <w:t>vendor</w:t>
            </w:r>
            <w:r w:rsidRPr="00A30DBC">
              <w:t xml:space="preserve"> must provide </w:t>
            </w:r>
            <w:r>
              <w:t xml:space="preserve">evidence that </w:t>
            </w:r>
            <w:r w:rsidRPr="00A30DBC">
              <w:t xml:space="preserve">a downloadable </w:t>
            </w:r>
            <w:r>
              <w:t xml:space="preserve">CBT </w:t>
            </w:r>
            <w:r w:rsidRPr="00A30DBC">
              <w:t xml:space="preserve">option </w:t>
            </w:r>
            <w:r>
              <w:t>is available for use by correctional facilities.</w:t>
            </w:r>
          </w:p>
          <w:p w:rsidR="00CF71B6" w:rsidRDefault="00CF71B6" w:rsidP="00D6350D">
            <w:pPr>
              <w:pStyle w:val="ListParagraph"/>
              <w:numPr>
                <w:ilvl w:val="0"/>
                <w:numId w:val="14"/>
              </w:numPr>
            </w:pPr>
            <w:r w:rsidRPr="00A30DBC">
              <w:t xml:space="preserve">The vendor must </w:t>
            </w:r>
            <w:r>
              <w:t xml:space="preserve">provide evidence that it is </w:t>
            </w:r>
            <w:r w:rsidRPr="00A30DBC">
              <w:t xml:space="preserve">equipped with the connectivity and computing capacity to </w:t>
            </w:r>
            <w:r>
              <w:t xml:space="preserve">handle </w:t>
            </w:r>
            <w:r w:rsidRPr="00A30DBC">
              <w:t xml:space="preserve">a high volume of HSE </w:t>
            </w:r>
            <w:r>
              <w:t xml:space="preserve">examination </w:t>
            </w:r>
            <w:r w:rsidRPr="00A30DBC">
              <w:t>data.</w:t>
            </w:r>
          </w:p>
          <w:p w:rsidR="00CF71B6" w:rsidRDefault="00CF71B6" w:rsidP="00D6350D">
            <w:pPr>
              <w:pStyle w:val="ListParagraph"/>
              <w:numPr>
                <w:ilvl w:val="0"/>
                <w:numId w:val="14"/>
              </w:numPr>
            </w:pPr>
            <w:r w:rsidRPr="00A30DBC">
              <w:t xml:space="preserve">The </w:t>
            </w:r>
            <w:r>
              <w:t xml:space="preserve">vendor must provide evidence that its </w:t>
            </w:r>
            <w:r w:rsidRPr="00A30DBC">
              <w:t>PBT meets the same standards as the CBT in alignment, rigor, reliability, and validity.</w:t>
            </w:r>
          </w:p>
          <w:p w:rsidR="00CF71B6" w:rsidRDefault="00CF71B6" w:rsidP="00D6350D">
            <w:pPr>
              <w:pStyle w:val="ListParagraph"/>
              <w:numPr>
                <w:ilvl w:val="0"/>
                <w:numId w:val="14"/>
              </w:numPr>
            </w:pPr>
            <w:r w:rsidRPr="00A30DBC">
              <w:t xml:space="preserve">The vendor must </w:t>
            </w:r>
            <w:r>
              <w:t xml:space="preserve">provide evidence of how it will securely </w:t>
            </w:r>
            <w:r w:rsidRPr="00A30DBC">
              <w:t xml:space="preserve">ship the PBT </w:t>
            </w:r>
            <w:r>
              <w:t>examination</w:t>
            </w:r>
            <w:r w:rsidRPr="00A30DBC">
              <w:t xml:space="preserve"> and related materials to</w:t>
            </w:r>
            <w:r>
              <w:t xml:space="preserve"> and from</w:t>
            </w:r>
            <w:r w:rsidRPr="00A30DBC">
              <w:t xml:space="preserve"> the tes</w:t>
            </w:r>
            <w:r>
              <w:t>t sites designated by the VDOE.</w:t>
            </w:r>
          </w:p>
          <w:p w:rsidR="00CF71B6" w:rsidRDefault="00CF71B6" w:rsidP="00D6350D">
            <w:pPr>
              <w:pStyle w:val="ListParagraph"/>
              <w:numPr>
                <w:ilvl w:val="0"/>
                <w:numId w:val="14"/>
              </w:numPr>
            </w:pPr>
            <w:r w:rsidRPr="00A30DBC">
              <w:t xml:space="preserve">The vendor </w:t>
            </w:r>
            <w:r>
              <w:t>must</w:t>
            </w:r>
            <w:r w:rsidRPr="00A30DBC">
              <w:t xml:space="preserve"> provide guidelines </w:t>
            </w:r>
            <w:r>
              <w:t>that will</w:t>
            </w:r>
            <w:r w:rsidRPr="00A30DBC">
              <w:t xml:space="preserve"> ensure a</w:t>
            </w:r>
            <w:r>
              <w:t xml:space="preserve"> secure method of scoring the PBT.</w:t>
            </w:r>
          </w:p>
          <w:p w:rsidR="00CF71B6" w:rsidRPr="00A30DBC" w:rsidRDefault="00CF71B6" w:rsidP="00C62A80"/>
        </w:tc>
      </w:tr>
      <w:tr w:rsidR="00CF71B6" w:rsidRPr="00A30DBC" w:rsidTr="00700A63">
        <w:trPr>
          <w:trHeight w:val="368"/>
        </w:trPr>
        <w:tc>
          <w:tcPr>
            <w:tcW w:w="3060" w:type="dxa"/>
            <w:tcBorders>
              <w:right w:val="nil"/>
            </w:tcBorders>
            <w:shd w:val="clear" w:color="auto" w:fill="D9D9D9" w:themeFill="background1" w:themeFillShade="D9"/>
            <w:noWrap/>
            <w:hideMark/>
          </w:tcPr>
          <w:p w:rsidR="00CF71B6" w:rsidRPr="00A30DBC" w:rsidRDefault="00CF71B6" w:rsidP="00D147E6">
            <w:r w:rsidRPr="00A30DBC">
              <w:rPr>
                <w:b/>
                <w:bCs/>
              </w:rPr>
              <w:t>Accessibility of the HSE Test:</w:t>
            </w:r>
          </w:p>
        </w:tc>
        <w:tc>
          <w:tcPr>
            <w:tcW w:w="6588" w:type="dxa"/>
            <w:tcBorders>
              <w:left w:val="nil"/>
            </w:tcBorders>
            <w:shd w:val="clear" w:color="auto" w:fill="D9D9D9" w:themeFill="background1" w:themeFillShade="D9"/>
            <w:hideMark/>
          </w:tcPr>
          <w:p w:rsidR="00CF71B6" w:rsidRPr="00A30DBC" w:rsidRDefault="00CF71B6" w:rsidP="00617473"/>
        </w:tc>
      </w:tr>
      <w:tr w:rsidR="00CF71B6" w:rsidRPr="00A30DBC" w:rsidTr="00700A63">
        <w:trPr>
          <w:trHeight w:val="3149"/>
        </w:trPr>
        <w:tc>
          <w:tcPr>
            <w:tcW w:w="3060" w:type="dxa"/>
            <w:noWrap/>
            <w:hideMark/>
          </w:tcPr>
          <w:p w:rsidR="00CF71B6" w:rsidRPr="00A30DBC" w:rsidRDefault="00CF71B6" w:rsidP="0057606A">
            <w:pPr>
              <w:rPr>
                <w:b/>
                <w:bCs/>
              </w:rPr>
            </w:pPr>
            <w:r w:rsidRPr="00A30DBC">
              <w:t>Registration process</w:t>
            </w:r>
          </w:p>
        </w:tc>
        <w:tc>
          <w:tcPr>
            <w:tcW w:w="6588" w:type="dxa"/>
            <w:noWrap/>
            <w:hideMark/>
          </w:tcPr>
          <w:p w:rsidR="00CF71B6" w:rsidRDefault="00CF71B6" w:rsidP="002D78D1">
            <w:pPr>
              <w:pStyle w:val="ListParagraph"/>
              <w:numPr>
                <w:ilvl w:val="0"/>
                <w:numId w:val="15"/>
              </w:numPr>
            </w:pPr>
            <w:r>
              <w:t>The vendor must describe the process for r</w:t>
            </w:r>
            <w:r w:rsidRPr="00A30DBC">
              <w:t>egistrat</w:t>
            </w:r>
            <w:r>
              <w:t xml:space="preserve">ion for CBT and PBT, including procedures for examinees needing accommodations and those in correctional facilities. </w:t>
            </w:r>
          </w:p>
          <w:p w:rsidR="00CF71B6" w:rsidRDefault="00CF71B6" w:rsidP="002D78D1">
            <w:pPr>
              <w:pStyle w:val="ListParagraph"/>
              <w:numPr>
                <w:ilvl w:val="0"/>
                <w:numId w:val="15"/>
              </w:numPr>
            </w:pPr>
            <w:r>
              <w:t>The vendor must confirm that the examinee is able to complete the entire r</w:t>
            </w:r>
            <w:r w:rsidRPr="00A30DBC">
              <w:t>egistration</w:t>
            </w:r>
            <w:r>
              <w:t xml:space="preserve"> process </w:t>
            </w:r>
            <w:r w:rsidRPr="00A30DBC">
              <w:t>online, with the</w:t>
            </w:r>
            <w:r>
              <w:t xml:space="preserve"> examinee’s chosen testing date and time confirmed during the online registration process.</w:t>
            </w:r>
          </w:p>
          <w:p w:rsidR="00CF71B6" w:rsidRPr="00A30DBC" w:rsidRDefault="00CF71B6" w:rsidP="00C62A80">
            <w:pPr>
              <w:pStyle w:val="ListParagraph"/>
              <w:numPr>
                <w:ilvl w:val="0"/>
                <w:numId w:val="15"/>
              </w:numPr>
            </w:pPr>
            <w:r>
              <w:t>T</w:t>
            </w:r>
            <w:r w:rsidRPr="00A30DBC">
              <w:t xml:space="preserve">he vendor must </w:t>
            </w:r>
            <w:r>
              <w:t xml:space="preserve">confirm that </w:t>
            </w:r>
            <w:r w:rsidRPr="00A30DBC">
              <w:t>customer service support during the registration process</w:t>
            </w:r>
            <w:r>
              <w:t xml:space="preserve"> is provided</w:t>
            </w:r>
            <w:r w:rsidRPr="007A5EAA">
              <w:t xml:space="preserve"> through phone and online options.</w:t>
            </w:r>
          </w:p>
        </w:tc>
      </w:tr>
      <w:tr w:rsidR="00700A63" w:rsidRPr="00A30DBC" w:rsidTr="00700A63">
        <w:trPr>
          <w:trHeight w:val="2069"/>
        </w:trPr>
        <w:tc>
          <w:tcPr>
            <w:tcW w:w="3060" w:type="dxa"/>
            <w:noWrap/>
            <w:hideMark/>
          </w:tcPr>
          <w:p w:rsidR="00700A63" w:rsidRPr="00A30DBC" w:rsidRDefault="00700A63" w:rsidP="0057606A">
            <w:r w:rsidRPr="00A30DBC">
              <w:lastRenderedPageBreak/>
              <w:t xml:space="preserve">Test Centers </w:t>
            </w:r>
          </w:p>
        </w:tc>
        <w:tc>
          <w:tcPr>
            <w:tcW w:w="6588" w:type="dxa"/>
            <w:hideMark/>
          </w:tcPr>
          <w:p w:rsidR="00700A63" w:rsidRDefault="00700A63" w:rsidP="00F92B99">
            <w:pPr>
              <w:pStyle w:val="ListParagraph"/>
              <w:numPr>
                <w:ilvl w:val="0"/>
                <w:numId w:val="16"/>
              </w:numPr>
            </w:pPr>
            <w:r w:rsidRPr="00A30DBC">
              <w:t xml:space="preserve">The vendor </w:t>
            </w:r>
            <w:proofErr w:type="gramStart"/>
            <w:r w:rsidRPr="00A30DBC">
              <w:t xml:space="preserve">must </w:t>
            </w:r>
            <w:r>
              <w:t xml:space="preserve"> confirm</w:t>
            </w:r>
            <w:proofErr w:type="gramEnd"/>
            <w:r>
              <w:t xml:space="preserve"> that its HSE examination may be administered at </w:t>
            </w:r>
            <w:r w:rsidRPr="00A30DBC">
              <w:t>any test center curr</w:t>
            </w:r>
            <w:r>
              <w:t xml:space="preserve">ently approved by VDOE.  </w:t>
            </w:r>
          </w:p>
          <w:p w:rsidR="00700A63" w:rsidRPr="00A30DBC" w:rsidRDefault="00700A63" w:rsidP="00C62A80">
            <w:pPr>
              <w:pStyle w:val="ListParagraph"/>
              <w:numPr>
                <w:ilvl w:val="0"/>
                <w:numId w:val="16"/>
              </w:numPr>
            </w:pPr>
            <w:r>
              <w:t xml:space="preserve">The vendor must confirm its understanding that </w:t>
            </w:r>
            <w:r w:rsidRPr="00A30DBC">
              <w:t xml:space="preserve">testing centers </w:t>
            </w:r>
            <w:r>
              <w:t xml:space="preserve">must be </w:t>
            </w:r>
            <w:r w:rsidRPr="00A30DBC">
              <w:t xml:space="preserve">approved by VDOE </w:t>
            </w:r>
            <w:r>
              <w:t xml:space="preserve">to administer an approved </w:t>
            </w:r>
            <w:r w:rsidRPr="00A30DBC">
              <w:t xml:space="preserve">HSE </w:t>
            </w:r>
            <w:r>
              <w:t>examination</w:t>
            </w:r>
            <w:r w:rsidRPr="00A30DBC">
              <w:t>.</w:t>
            </w:r>
          </w:p>
        </w:tc>
      </w:tr>
      <w:tr w:rsidR="00700A63" w:rsidRPr="00A30DBC" w:rsidTr="00700A63">
        <w:trPr>
          <w:trHeight w:val="1862"/>
        </w:trPr>
        <w:tc>
          <w:tcPr>
            <w:tcW w:w="3060" w:type="dxa"/>
            <w:noWrap/>
            <w:hideMark/>
          </w:tcPr>
          <w:p w:rsidR="00700A63" w:rsidRPr="00A30DBC" w:rsidRDefault="00700A63" w:rsidP="0057606A">
            <w:r w:rsidRPr="00A30DBC">
              <w:t>Cost</w:t>
            </w:r>
          </w:p>
        </w:tc>
        <w:tc>
          <w:tcPr>
            <w:tcW w:w="6588" w:type="dxa"/>
            <w:hideMark/>
          </w:tcPr>
          <w:p w:rsidR="00700A63" w:rsidRDefault="00700A63" w:rsidP="00081C34">
            <w:pPr>
              <w:pStyle w:val="ListParagraph"/>
              <w:numPr>
                <w:ilvl w:val="0"/>
                <w:numId w:val="35"/>
              </w:numPr>
            </w:pPr>
            <w:r w:rsidRPr="00A30DBC">
              <w:t xml:space="preserve">The vendor </w:t>
            </w:r>
            <w:r>
              <w:t>must provide</w:t>
            </w:r>
            <w:r w:rsidRPr="00A30DBC">
              <w:t xml:space="preserve"> </w:t>
            </w:r>
            <w:r>
              <w:t xml:space="preserve">an explanation and justification of its </w:t>
            </w:r>
            <w:r w:rsidRPr="00A30DBC">
              <w:t>cost structure</w:t>
            </w:r>
            <w:r>
              <w:t>,</w:t>
            </w:r>
            <w:r w:rsidRPr="00A30DBC">
              <w:t xml:space="preserve"> </w:t>
            </w:r>
            <w:r>
              <w:t xml:space="preserve">including the </w:t>
            </w:r>
            <w:r w:rsidRPr="00A30DBC">
              <w:t>pricing of services and the</w:t>
            </w:r>
            <w:r>
              <w:t xml:space="preserve"> costs to the</w:t>
            </w:r>
            <w:r w:rsidRPr="00A30DBC">
              <w:t xml:space="preserve"> </w:t>
            </w:r>
            <w:r>
              <w:t>examinee</w:t>
            </w:r>
            <w:r w:rsidRPr="00A30DBC">
              <w:t>, testing center, and the VDOE.</w:t>
            </w:r>
          </w:p>
          <w:p w:rsidR="00700A63" w:rsidRPr="00A30DBC" w:rsidRDefault="00700A63" w:rsidP="00C62A80">
            <w:pPr>
              <w:pStyle w:val="ListParagraph"/>
              <w:numPr>
                <w:ilvl w:val="0"/>
                <w:numId w:val="35"/>
              </w:numPr>
            </w:pPr>
            <w:r w:rsidRPr="00A30DBC">
              <w:t>The vendor will provide</w:t>
            </w:r>
            <w:r>
              <w:t xml:space="preserve"> to the testing centers and the VDOE </w:t>
            </w:r>
            <w:r w:rsidRPr="00A30DBC">
              <w:t>a list of all costs for administering and scoring the CBT and PBT.</w:t>
            </w:r>
            <w:r>
              <w:t xml:space="preserve"> </w:t>
            </w:r>
          </w:p>
        </w:tc>
      </w:tr>
      <w:tr w:rsidR="00700A63" w:rsidRPr="00A30DBC" w:rsidTr="00700A63">
        <w:trPr>
          <w:trHeight w:val="2978"/>
        </w:trPr>
        <w:tc>
          <w:tcPr>
            <w:tcW w:w="3060" w:type="dxa"/>
            <w:noWrap/>
            <w:hideMark/>
          </w:tcPr>
          <w:p w:rsidR="00700A63" w:rsidRPr="00A30DBC" w:rsidRDefault="00700A63" w:rsidP="0057606A">
            <w:r w:rsidRPr="00A30DBC">
              <w:t>Testing</w:t>
            </w:r>
          </w:p>
        </w:tc>
        <w:tc>
          <w:tcPr>
            <w:tcW w:w="6588" w:type="dxa"/>
            <w:hideMark/>
          </w:tcPr>
          <w:p w:rsidR="00700A63" w:rsidRDefault="00700A63" w:rsidP="00B0293F">
            <w:pPr>
              <w:pStyle w:val="ListParagraph"/>
              <w:numPr>
                <w:ilvl w:val="0"/>
                <w:numId w:val="17"/>
              </w:numPr>
            </w:pPr>
            <w:r w:rsidRPr="00A30DBC">
              <w:t xml:space="preserve">The vendor </w:t>
            </w:r>
            <w:r>
              <w:t xml:space="preserve">must confirm that examinees are </w:t>
            </w:r>
            <w:r w:rsidRPr="00A30DBC">
              <w:t>allow</w:t>
            </w:r>
            <w:r>
              <w:t>ed the flexibility</w:t>
            </w:r>
            <w:r w:rsidRPr="00A30DBC">
              <w:t xml:space="preserve"> to </w:t>
            </w:r>
            <w:r>
              <w:t>take</w:t>
            </w:r>
            <w:r w:rsidRPr="00A30DBC">
              <w:t xml:space="preserve"> individual subtests without taking the comple</w:t>
            </w:r>
            <w:r>
              <w:t>te HSE examination battery.</w:t>
            </w:r>
          </w:p>
          <w:p w:rsidR="00700A63" w:rsidRDefault="00700A63" w:rsidP="00B0293F">
            <w:pPr>
              <w:pStyle w:val="ListParagraph"/>
              <w:numPr>
                <w:ilvl w:val="0"/>
                <w:numId w:val="17"/>
              </w:numPr>
            </w:pPr>
            <w:r w:rsidRPr="00A30DBC">
              <w:t xml:space="preserve">The vendor must </w:t>
            </w:r>
            <w:r>
              <w:t xml:space="preserve">provide evidence of the </w:t>
            </w:r>
            <w:r w:rsidRPr="00A30DBC">
              <w:t xml:space="preserve">process </w:t>
            </w:r>
            <w:r>
              <w:t xml:space="preserve">to authenticate the examinee’s </w:t>
            </w:r>
            <w:r w:rsidRPr="00A30DBC">
              <w:t>identi</w:t>
            </w:r>
            <w:r>
              <w:t>ty and eligibility to test.</w:t>
            </w:r>
          </w:p>
          <w:p w:rsidR="00700A63" w:rsidRPr="00A30DBC" w:rsidRDefault="00700A63" w:rsidP="00617473">
            <w:pPr>
              <w:pStyle w:val="ListParagraph"/>
              <w:numPr>
                <w:ilvl w:val="0"/>
                <w:numId w:val="35"/>
              </w:numPr>
            </w:pPr>
            <w:r w:rsidRPr="00A30DBC">
              <w:t xml:space="preserve">The vendor </w:t>
            </w:r>
            <w:r>
              <w:t>must describe the process to ensure that anyone enrolled in public education will not be eligible to take the HSE examination</w:t>
            </w:r>
            <w:r>
              <w:rPr>
                <w:color w:val="FF0000"/>
              </w:rPr>
              <w:t xml:space="preserve"> </w:t>
            </w:r>
            <w:r w:rsidRPr="007A5EAA">
              <w:t xml:space="preserve">until </w:t>
            </w:r>
            <w:r>
              <w:t>VDOE’s</w:t>
            </w:r>
            <w:r w:rsidRPr="007A5EAA">
              <w:t xml:space="preserve"> eligibility requirements </w:t>
            </w:r>
            <w:r>
              <w:t xml:space="preserve">are met. </w:t>
            </w:r>
          </w:p>
        </w:tc>
      </w:tr>
      <w:tr w:rsidR="00700A63" w:rsidRPr="00A30DBC" w:rsidTr="007A5EAA">
        <w:trPr>
          <w:trHeight w:val="2385"/>
        </w:trPr>
        <w:tc>
          <w:tcPr>
            <w:tcW w:w="3060" w:type="dxa"/>
            <w:noWrap/>
            <w:hideMark/>
          </w:tcPr>
          <w:p w:rsidR="00700A63" w:rsidRPr="00A30DBC" w:rsidRDefault="00700A63" w:rsidP="0057606A">
            <w:r w:rsidRPr="00A30DBC">
              <w:t>Cancellations/No Shows</w:t>
            </w:r>
          </w:p>
        </w:tc>
        <w:tc>
          <w:tcPr>
            <w:tcW w:w="6588" w:type="dxa"/>
            <w:hideMark/>
          </w:tcPr>
          <w:p w:rsidR="00700A63" w:rsidRDefault="00700A63" w:rsidP="008A5D9C">
            <w:pPr>
              <w:pStyle w:val="ListParagraph"/>
              <w:numPr>
                <w:ilvl w:val="0"/>
                <w:numId w:val="18"/>
              </w:numPr>
            </w:pPr>
            <w:r w:rsidRPr="00A30DBC">
              <w:t xml:space="preserve">The vendor must </w:t>
            </w:r>
            <w:r>
              <w:t xml:space="preserve">provide evidence of </w:t>
            </w:r>
            <w:r w:rsidRPr="00A30DBC">
              <w:t xml:space="preserve">a clear policy on </w:t>
            </w:r>
            <w:r>
              <w:t xml:space="preserve">testing </w:t>
            </w:r>
            <w:r w:rsidRPr="00A30DBC">
              <w:t xml:space="preserve">cancellations, </w:t>
            </w:r>
            <w:r>
              <w:t xml:space="preserve">allowing for cancellations to occur within </w:t>
            </w:r>
            <w:r w:rsidRPr="00A30DBC">
              <w:t xml:space="preserve">24 hours </w:t>
            </w:r>
            <w:r>
              <w:t>of scheduled testing time,</w:t>
            </w:r>
            <w:r w:rsidRPr="00A30DBC">
              <w:t xml:space="preserve"> without penalty.</w:t>
            </w:r>
          </w:p>
          <w:p w:rsidR="00700A63" w:rsidRPr="00A30DBC" w:rsidRDefault="00700A63" w:rsidP="00C62A80">
            <w:pPr>
              <w:pStyle w:val="ListParagraph"/>
              <w:numPr>
                <w:ilvl w:val="0"/>
                <w:numId w:val="18"/>
              </w:numPr>
            </w:pPr>
            <w:r w:rsidRPr="00A30DBC">
              <w:t xml:space="preserve">The vendor </w:t>
            </w:r>
            <w:r>
              <w:t>must</w:t>
            </w:r>
            <w:r w:rsidRPr="00A30DBC">
              <w:t xml:space="preserve"> provide </w:t>
            </w:r>
            <w:r>
              <w:t xml:space="preserve">evidence of </w:t>
            </w:r>
            <w:r w:rsidRPr="00A30DBC">
              <w:t xml:space="preserve">guidelines </w:t>
            </w:r>
            <w:r>
              <w:t xml:space="preserve">for </w:t>
            </w:r>
            <w:r w:rsidRPr="00A30DBC">
              <w:t>exception</w:t>
            </w:r>
            <w:r>
              <w:t>s</w:t>
            </w:r>
            <w:r w:rsidRPr="00A30DBC">
              <w:t xml:space="preserve"> if someone is a </w:t>
            </w:r>
            <w:r>
              <w:t>“no s</w:t>
            </w:r>
            <w:r w:rsidRPr="00A30DBC">
              <w:t>how</w:t>
            </w:r>
            <w:r>
              <w:t>”</w:t>
            </w:r>
            <w:r w:rsidRPr="00A30DBC">
              <w:t xml:space="preserve"> to the testing center and the process to follow to reschedule at no additional cost.</w:t>
            </w:r>
          </w:p>
        </w:tc>
      </w:tr>
      <w:tr w:rsidR="00700A63" w:rsidRPr="00A30DBC" w:rsidTr="00700A63">
        <w:trPr>
          <w:trHeight w:val="3077"/>
        </w:trPr>
        <w:tc>
          <w:tcPr>
            <w:tcW w:w="3060" w:type="dxa"/>
            <w:noWrap/>
            <w:hideMark/>
          </w:tcPr>
          <w:p w:rsidR="00700A63" w:rsidRPr="00A30DBC" w:rsidRDefault="00700A63" w:rsidP="0057606A">
            <w:r w:rsidRPr="00A30DBC">
              <w:t>Retakes</w:t>
            </w:r>
          </w:p>
        </w:tc>
        <w:tc>
          <w:tcPr>
            <w:tcW w:w="6588" w:type="dxa"/>
            <w:hideMark/>
          </w:tcPr>
          <w:p w:rsidR="00700A63" w:rsidRPr="00A30DBC" w:rsidRDefault="00700A63" w:rsidP="00C62A80">
            <w:r>
              <w:t xml:space="preserve">The vendor must provide evidence of a </w:t>
            </w:r>
            <w:r w:rsidRPr="00A30DBC">
              <w:t xml:space="preserve">clear policy </w:t>
            </w:r>
            <w:r>
              <w:t xml:space="preserve">regarding </w:t>
            </w:r>
            <w:r w:rsidRPr="00A30DBC">
              <w:t xml:space="preserve">  when a</w:t>
            </w:r>
            <w:r>
              <w:t>n examinee</w:t>
            </w:r>
            <w:r w:rsidRPr="00A30DBC">
              <w:t xml:space="preserve"> </w:t>
            </w:r>
            <w:r>
              <w:t xml:space="preserve">may </w:t>
            </w:r>
            <w:r w:rsidRPr="00A30DBC">
              <w:t xml:space="preserve">retake the HSE </w:t>
            </w:r>
            <w:r>
              <w:t>examination</w:t>
            </w:r>
            <w:r w:rsidRPr="00A30DBC">
              <w:t xml:space="preserve"> (e.g., </w:t>
            </w:r>
            <w:r>
              <w:t>the number of times a person may</w:t>
            </w:r>
            <w:r w:rsidRPr="007A5EAA">
              <w:t xml:space="preserve"> </w:t>
            </w:r>
            <w:r w:rsidRPr="00A30DBC">
              <w:t xml:space="preserve">retake the </w:t>
            </w:r>
            <w:r>
              <w:t>examination</w:t>
            </w:r>
            <w:r w:rsidRPr="00A30DBC">
              <w:t xml:space="preserve"> in one year; wait time between retakes; costs of retakes)</w:t>
            </w:r>
            <w:r>
              <w:t>.</w:t>
            </w:r>
          </w:p>
        </w:tc>
      </w:tr>
      <w:tr w:rsidR="00700A63" w:rsidRPr="00A30DBC" w:rsidTr="007A5EAA">
        <w:trPr>
          <w:trHeight w:val="620"/>
        </w:trPr>
        <w:tc>
          <w:tcPr>
            <w:tcW w:w="3060" w:type="dxa"/>
            <w:noWrap/>
            <w:hideMark/>
          </w:tcPr>
          <w:p w:rsidR="00700A63" w:rsidRPr="00A30DBC" w:rsidRDefault="00700A63" w:rsidP="0057606A">
            <w:r w:rsidRPr="00A30DBC">
              <w:lastRenderedPageBreak/>
              <w:t>Accommodations</w:t>
            </w:r>
          </w:p>
        </w:tc>
        <w:tc>
          <w:tcPr>
            <w:tcW w:w="6588" w:type="dxa"/>
            <w:hideMark/>
          </w:tcPr>
          <w:p w:rsidR="00700A63" w:rsidRDefault="00700A63">
            <w:pPr>
              <w:pStyle w:val="ListParagraph"/>
              <w:numPr>
                <w:ilvl w:val="0"/>
                <w:numId w:val="19"/>
              </w:numPr>
            </w:pPr>
            <w:r w:rsidRPr="00A30DBC">
              <w:t xml:space="preserve">The vendor must </w:t>
            </w:r>
            <w:r>
              <w:t xml:space="preserve">provide evidence that it </w:t>
            </w:r>
            <w:r w:rsidRPr="00A30DBC">
              <w:t>offer</w:t>
            </w:r>
            <w:r>
              <w:t>s</w:t>
            </w:r>
            <w:r w:rsidRPr="00A30DBC">
              <w:t xml:space="preserve"> alternat</w:t>
            </w:r>
            <w:r>
              <w:t>iv</w:t>
            </w:r>
            <w:r w:rsidRPr="00A30DBC">
              <w:t xml:space="preserve">e forms of delivery for the HSE </w:t>
            </w:r>
            <w:r>
              <w:t>examination</w:t>
            </w:r>
            <w:r w:rsidRPr="00A30DBC">
              <w:t xml:space="preserve"> that accommodate</w:t>
            </w:r>
            <w:r>
              <w:t xml:space="preserve"> those</w:t>
            </w:r>
            <w:r w:rsidRPr="00A30DBC">
              <w:t xml:space="preserve"> diagnosed </w:t>
            </w:r>
            <w:r>
              <w:t xml:space="preserve">with </w:t>
            </w:r>
            <w:r w:rsidRPr="00A30DBC">
              <w:t>physical, mental, sensory, or cognitive disabilities</w:t>
            </w:r>
            <w:r>
              <w:t>.</w:t>
            </w:r>
            <w:r w:rsidRPr="00A30DBC">
              <w:t xml:space="preserve"> The </w:t>
            </w:r>
            <w:r>
              <w:t xml:space="preserve">vendor must confirm that the </w:t>
            </w:r>
            <w:r w:rsidRPr="00A30DBC">
              <w:t>available accommodations</w:t>
            </w:r>
            <w:r>
              <w:t xml:space="preserve"> are</w:t>
            </w:r>
            <w:r w:rsidRPr="00A30DBC">
              <w:t xml:space="preserve"> in compliance with the Americans with Disabilities Act of 1990, as amended.</w:t>
            </w:r>
          </w:p>
          <w:p w:rsidR="00700A63" w:rsidRDefault="00700A63" w:rsidP="00EC2004">
            <w:pPr>
              <w:pStyle w:val="ListParagraph"/>
              <w:numPr>
                <w:ilvl w:val="0"/>
                <w:numId w:val="19"/>
              </w:numPr>
            </w:pPr>
            <w:r w:rsidRPr="00A30DBC">
              <w:t xml:space="preserve">The vendor </w:t>
            </w:r>
            <w:r>
              <w:t>must describe the step</w:t>
            </w:r>
            <w:r w:rsidRPr="00A30DBC">
              <w:t xml:space="preserve">-by-step process to request accommodations for </w:t>
            </w:r>
            <w:r>
              <w:t>examinees</w:t>
            </w:r>
            <w:r w:rsidRPr="00A30DBC">
              <w:t xml:space="preserve"> </w:t>
            </w:r>
            <w:proofErr w:type="gramStart"/>
            <w:r w:rsidRPr="00A30DBC">
              <w:t>who</w:t>
            </w:r>
            <w:proofErr w:type="gramEnd"/>
            <w:r w:rsidRPr="00A30DBC">
              <w:t xml:space="preserve"> </w:t>
            </w:r>
            <w:r>
              <w:t xml:space="preserve">are eligible for testing </w:t>
            </w:r>
            <w:r w:rsidRPr="00A30DBC">
              <w:t xml:space="preserve"> </w:t>
            </w:r>
            <w:r>
              <w:t xml:space="preserve"> accommodations.</w:t>
            </w:r>
          </w:p>
          <w:p w:rsidR="00700A63" w:rsidRDefault="00700A63" w:rsidP="00EC2004">
            <w:pPr>
              <w:pStyle w:val="ListParagraph"/>
              <w:numPr>
                <w:ilvl w:val="0"/>
                <w:numId w:val="19"/>
              </w:numPr>
            </w:pPr>
            <w:r w:rsidRPr="00A30DBC">
              <w:t xml:space="preserve">The vendor </w:t>
            </w:r>
            <w:r>
              <w:t xml:space="preserve">must confirm sole </w:t>
            </w:r>
            <w:r w:rsidRPr="00A30DBC">
              <w:t xml:space="preserve">responsibility </w:t>
            </w:r>
            <w:r>
              <w:t>for</w:t>
            </w:r>
            <w:r w:rsidRPr="00A30DBC">
              <w:t xml:space="preserve"> </w:t>
            </w:r>
            <w:r>
              <w:t xml:space="preserve">reviewing and </w:t>
            </w:r>
            <w:r w:rsidRPr="00A30DBC">
              <w:t xml:space="preserve">approving </w:t>
            </w:r>
            <w:r>
              <w:t>examinees’ requests for accommodations.</w:t>
            </w:r>
          </w:p>
          <w:p w:rsidR="00700A63" w:rsidRDefault="00700A63" w:rsidP="00EC2004">
            <w:pPr>
              <w:pStyle w:val="ListParagraph"/>
              <w:numPr>
                <w:ilvl w:val="0"/>
                <w:numId w:val="19"/>
              </w:numPr>
            </w:pPr>
            <w:r w:rsidRPr="00A30DBC">
              <w:t xml:space="preserve">The vendor </w:t>
            </w:r>
            <w:r>
              <w:t>must confirm</w:t>
            </w:r>
            <w:r w:rsidRPr="00A30DBC">
              <w:t xml:space="preserve"> that the validity of all allowable accommodations is supported and documented.</w:t>
            </w:r>
          </w:p>
          <w:p w:rsidR="00700A63" w:rsidRDefault="00700A63" w:rsidP="00EC2004">
            <w:pPr>
              <w:pStyle w:val="ListParagraph"/>
              <w:numPr>
                <w:ilvl w:val="0"/>
                <w:numId w:val="19"/>
              </w:numPr>
            </w:pPr>
            <w:r w:rsidRPr="00A30DBC">
              <w:t xml:space="preserve">The vendor must </w:t>
            </w:r>
            <w:r>
              <w:t xml:space="preserve">describe the process for determining and providing appropriate </w:t>
            </w:r>
            <w:r w:rsidRPr="00A30DBC">
              <w:t>assistive technology</w:t>
            </w:r>
            <w:r>
              <w:t xml:space="preserve"> for eligible examinees</w:t>
            </w:r>
            <w:r w:rsidRPr="00A30DBC">
              <w:t>.</w:t>
            </w:r>
          </w:p>
          <w:p w:rsidR="00700A63" w:rsidRDefault="00700A63" w:rsidP="00EC2004">
            <w:pPr>
              <w:pStyle w:val="ListParagraph"/>
              <w:numPr>
                <w:ilvl w:val="0"/>
                <w:numId w:val="19"/>
              </w:numPr>
            </w:pPr>
            <w:r>
              <w:t>The vendor must confirm that the d</w:t>
            </w:r>
            <w:r w:rsidRPr="00A30DBC">
              <w:t xml:space="preserve">etermination of accommodations approval </w:t>
            </w:r>
            <w:r>
              <w:t>should</w:t>
            </w:r>
            <w:r w:rsidRPr="00A30DBC">
              <w:t xml:space="preserve"> be a timely process, completed in 30 days or less.</w:t>
            </w:r>
          </w:p>
          <w:p w:rsidR="00700A63" w:rsidRPr="00A30DBC" w:rsidRDefault="00700A63" w:rsidP="00C62A80">
            <w:pPr>
              <w:pStyle w:val="ListParagraph"/>
              <w:numPr>
                <w:ilvl w:val="0"/>
                <w:numId w:val="19"/>
              </w:numPr>
            </w:pPr>
            <w:r>
              <w:t>The vendor must confirm that it provides a</w:t>
            </w:r>
            <w:r w:rsidRPr="00A30DBC">
              <w:t>n appeals process to those who have been denied accommodations.</w:t>
            </w:r>
          </w:p>
        </w:tc>
      </w:tr>
      <w:tr w:rsidR="00700A63" w:rsidRPr="00A30DBC" w:rsidTr="00700A63">
        <w:trPr>
          <w:trHeight w:val="4958"/>
        </w:trPr>
        <w:tc>
          <w:tcPr>
            <w:tcW w:w="3060" w:type="dxa"/>
            <w:noWrap/>
            <w:hideMark/>
          </w:tcPr>
          <w:p w:rsidR="00700A63" w:rsidRPr="00A30DBC" w:rsidRDefault="00700A63" w:rsidP="0057606A">
            <w:r w:rsidRPr="00A30DBC">
              <w:t>Scoring of Tests/Access to Scores</w:t>
            </w:r>
          </w:p>
        </w:tc>
        <w:tc>
          <w:tcPr>
            <w:tcW w:w="6588" w:type="dxa"/>
            <w:hideMark/>
          </w:tcPr>
          <w:p w:rsidR="00700A63" w:rsidRDefault="00700A63" w:rsidP="00282C24">
            <w:pPr>
              <w:pStyle w:val="ListParagraph"/>
              <w:numPr>
                <w:ilvl w:val="0"/>
                <w:numId w:val="20"/>
              </w:numPr>
            </w:pPr>
            <w:r w:rsidRPr="00A30DBC">
              <w:t xml:space="preserve">The vendor must provide a description of how scoring will occur; </w:t>
            </w:r>
            <w:r>
              <w:t>examinations</w:t>
            </w:r>
            <w:r w:rsidRPr="00A30DBC">
              <w:t xml:space="preserve"> must be </w:t>
            </w:r>
            <w:proofErr w:type="spellStart"/>
            <w:r w:rsidRPr="00A30DBC">
              <w:t>s</w:t>
            </w:r>
            <w:r>
              <w:t>c</w:t>
            </w:r>
            <w:r w:rsidRPr="00A30DBC">
              <w:t>ored</w:t>
            </w:r>
            <w:proofErr w:type="spellEnd"/>
            <w:r w:rsidRPr="00A30DBC">
              <w:t xml:space="preserve"> electroni</w:t>
            </w:r>
            <w:r>
              <w:t>cally for both CBT and PBT, utilizing human scorers as needed.</w:t>
            </w:r>
          </w:p>
          <w:p w:rsidR="00700A63" w:rsidRDefault="00700A63" w:rsidP="00282C24">
            <w:pPr>
              <w:pStyle w:val="ListParagraph"/>
              <w:numPr>
                <w:ilvl w:val="0"/>
                <w:numId w:val="20"/>
              </w:numPr>
            </w:pPr>
            <w:r>
              <w:t xml:space="preserve">The vendor must confirm that examinees will </w:t>
            </w:r>
            <w:r w:rsidRPr="00A30DBC">
              <w:t xml:space="preserve">have direct, online access to their </w:t>
            </w:r>
            <w:r>
              <w:t>examination</w:t>
            </w:r>
            <w:r w:rsidRPr="00A30DBC">
              <w:t xml:space="preserve"> scores within 24 hours of completion for CBT and </w:t>
            </w:r>
            <w:r>
              <w:t>within</w:t>
            </w:r>
            <w:r w:rsidRPr="00A30DBC">
              <w:t xml:space="preserve"> </w:t>
            </w:r>
            <w:r>
              <w:t>four</w:t>
            </w:r>
            <w:r w:rsidRPr="00A30DBC">
              <w:t xml:space="preserve"> days after</w:t>
            </w:r>
            <w:r>
              <w:t xml:space="preserve"> the vendor’s</w:t>
            </w:r>
            <w:r w:rsidRPr="00A30DBC">
              <w:t xml:space="preserve"> receipt of answer sheets for PBT.</w:t>
            </w:r>
          </w:p>
          <w:p w:rsidR="00700A63" w:rsidRDefault="00700A63" w:rsidP="00282C24">
            <w:pPr>
              <w:pStyle w:val="ListParagraph"/>
              <w:numPr>
                <w:ilvl w:val="0"/>
                <w:numId w:val="20"/>
              </w:numPr>
            </w:pPr>
            <w:r w:rsidRPr="00A30DBC">
              <w:t xml:space="preserve">The vendor must </w:t>
            </w:r>
            <w:r>
              <w:t xml:space="preserve">provide evidence of </w:t>
            </w:r>
            <w:r w:rsidRPr="00A30DBC">
              <w:t>procedures for quality control and quality assurance to verify scoring results.</w:t>
            </w:r>
          </w:p>
          <w:p w:rsidR="00700A63" w:rsidRDefault="00700A63" w:rsidP="00282C24">
            <w:pPr>
              <w:pStyle w:val="ListParagraph"/>
              <w:numPr>
                <w:ilvl w:val="0"/>
                <w:numId w:val="20"/>
              </w:numPr>
            </w:pPr>
            <w:r w:rsidRPr="00A30DBC">
              <w:t xml:space="preserve">The vendor </w:t>
            </w:r>
            <w:r>
              <w:t>must</w:t>
            </w:r>
            <w:r w:rsidRPr="00A30DBC">
              <w:t xml:space="preserve"> provide </w:t>
            </w:r>
            <w:r>
              <w:t xml:space="preserve">evidence of </w:t>
            </w:r>
            <w:r w:rsidRPr="00A30DBC">
              <w:t xml:space="preserve">a score report that reflects </w:t>
            </w:r>
            <w:r>
              <w:t>the academic strengths</w:t>
            </w:r>
            <w:r w:rsidRPr="00A30DBC">
              <w:t xml:space="preserve"> of the graduate and a diagnostic report for the </w:t>
            </w:r>
            <w:r>
              <w:t>examinee</w:t>
            </w:r>
            <w:r w:rsidRPr="00A30DBC">
              <w:t xml:space="preserve"> </w:t>
            </w:r>
            <w:proofErr w:type="gramStart"/>
            <w:r w:rsidRPr="00A30DBC">
              <w:t>who</w:t>
            </w:r>
            <w:proofErr w:type="gramEnd"/>
            <w:r w:rsidRPr="00A30DBC">
              <w:t xml:space="preserve"> </w:t>
            </w:r>
            <w:r>
              <w:t xml:space="preserve">will </w:t>
            </w:r>
            <w:r w:rsidRPr="00A30DBC">
              <w:t>need to retake the test.</w:t>
            </w:r>
          </w:p>
          <w:p w:rsidR="00700A63" w:rsidRPr="00A30DBC" w:rsidRDefault="00700A63" w:rsidP="00C62A80">
            <w:pPr>
              <w:pStyle w:val="ListParagraph"/>
              <w:numPr>
                <w:ilvl w:val="0"/>
                <w:numId w:val="20"/>
              </w:numPr>
            </w:pPr>
            <w:r w:rsidRPr="00A30DBC">
              <w:t xml:space="preserve">The </w:t>
            </w:r>
            <w:r>
              <w:t xml:space="preserve">vendor must confirm that </w:t>
            </w:r>
            <w:r w:rsidRPr="00A30DBC">
              <w:t xml:space="preserve">VDOE will have electronic access to all </w:t>
            </w:r>
            <w:r>
              <w:t>examinees’</w:t>
            </w:r>
            <w:r w:rsidRPr="00A30DBC">
              <w:t xml:space="preserve"> scores in the </w:t>
            </w:r>
            <w:r>
              <w:t>state.</w:t>
            </w:r>
          </w:p>
        </w:tc>
      </w:tr>
      <w:tr w:rsidR="00700A63" w:rsidRPr="00A30DBC" w:rsidTr="00223033">
        <w:trPr>
          <w:trHeight w:val="350"/>
        </w:trPr>
        <w:tc>
          <w:tcPr>
            <w:tcW w:w="3060" w:type="dxa"/>
            <w:tcBorders>
              <w:bottom w:val="single" w:sz="4" w:space="0" w:color="auto"/>
            </w:tcBorders>
            <w:noWrap/>
            <w:hideMark/>
          </w:tcPr>
          <w:p w:rsidR="00700A63" w:rsidRPr="00A30DBC" w:rsidRDefault="00700A63" w:rsidP="0057606A">
            <w:r>
              <w:t>Suitability for Correctional Institutions, and City and Regional Jails</w:t>
            </w:r>
          </w:p>
        </w:tc>
        <w:tc>
          <w:tcPr>
            <w:tcW w:w="6588" w:type="dxa"/>
            <w:tcBorders>
              <w:bottom w:val="single" w:sz="4" w:space="0" w:color="auto"/>
            </w:tcBorders>
            <w:hideMark/>
          </w:tcPr>
          <w:p w:rsidR="00700A63" w:rsidRDefault="00700A63" w:rsidP="00282C24">
            <w:pPr>
              <w:pStyle w:val="ListParagraph"/>
              <w:numPr>
                <w:ilvl w:val="0"/>
                <w:numId w:val="21"/>
              </w:numPr>
            </w:pPr>
            <w:r w:rsidRPr="00A30DBC">
              <w:t xml:space="preserve">The </w:t>
            </w:r>
            <w:r>
              <w:t xml:space="preserve">vendor must provide evidence that the </w:t>
            </w:r>
            <w:r w:rsidRPr="00A30DBC">
              <w:t xml:space="preserve">delivery of the HSE </w:t>
            </w:r>
            <w:r>
              <w:t>examination</w:t>
            </w:r>
            <w:r w:rsidRPr="00A30DBC">
              <w:t xml:space="preserve"> </w:t>
            </w:r>
            <w:r>
              <w:t>is</w:t>
            </w:r>
            <w:r w:rsidRPr="00A30DBC">
              <w:t xml:space="preserve"> compatible with the administrative needs of city and regional jails</w:t>
            </w:r>
            <w:r>
              <w:t xml:space="preserve">, </w:t>
            </w:r>
            <w:r w:rsidRPr="00A30DBC">
              <w:t xml:space="preserve">the </w:t>
            </w:r>
            <w:r>
              <w:t>Virginia Department of Corrections (DOC), and the Virginia Department of Juvenile Justice (DJJ).</w:t>
            </w:r>
          </w:p>
          <w:p w:rsidR="00700A63" w:rsidRPr="00A30DBC" w:rsidRDefault="00700A63" w:rsidP="00C62A80">
            <w:pPr>
              <w:pStyle w:val="ListParagraph"/>
              <w:numPr>
                <w:ilvl w:val="0"/>
                <w:numId w:val="21"/>
              </w:numPr>
            </w:pPr>
            <w:r>
              <w:t>The vendor must describe an alternative registration process for city and regional jails, the Virginia DOC, and the Virginia DJJ as their</w:t>
            </w:r>
            <w:r w:rsidRPr="00EA5124">
              <w:t xml:space="preserve"> </w:t>
            </w:r>
            <w:r>
              <w:t>examinees cannot self-register.</w:t>
            </w:r>
          </w:p>
        </w:tc>
      </w:tr>
      <w:tr w:rsidR="00700A63" w:rsidRPr="00A30DBC" w:rsidTr="007E54FC">
        <w:trPr>
          <w:trHeight w:val="512"/>
        </w:trPr>
        <w:tc>
          <w:tcPr>
            <w:tcW w:w="3060" w:type="dxa"/>
            <w:tcBorders>
              <w:right w:val="nil"/>
            </w:tcBorders>
            <w:shd w:val="clear" w:color="auto" w:fill="D9D9D9" w:themeFill="background1" w:themeFillShade="D9"/>
            <w:noWrap/>
            <w:hideMark/>
          </w:tcPr>
          <w:p w:rsidR="00700A63" w:rsidRPr="00A30DBC" w:rsidRDefault="00700A63" w:rsidP="002B2D42">
            <w:r w:rsidRPr="00A30DBC">
              <w:rPr>
                <w:b/>
                <w:bCs/>
              </w:rPr>
              <w:lastRenderedPageBreak/>
              <w:t>Administration of the HSE Test:</w:t>
            </w:r>
          </w:p>
        </w:tc>
        <w:tc>
          <w:tcPr>
            <w:tcW w:w="6588" w:type="dxa"/>
            <w:tcBorders>
              <w:left w:val="nil"/>
            </w:tcBorders>
            <w:shd w:val="clear" w:color="auto" w:fill="D9D9D9" w:themeFill="background1" w:themeFillShade="D9"/>
            <w:hideMark/>
          </w:tcPr>
          <w:p w:rsidR="00700A63" w:rsidRPr="00A30DBC" w:rsidRDefault="00700A63" w:rsidP="00C62A80"/>
        </w:tc>
      </w:tr>
      <w:tr w:rsidR="00700A63" w:rsidRPr="00A30DBC" w:rsidTr="007E54FC">
        <w:trPr>
          <w:trHeight w:val="521"/>
        </w:trPr>
        <w:tc>
          <w:tcPr>
            <w:tcW w:w="3060" w:type="dxa"/>
            <w:noWrap/>
            <w:hideMark/>
          </w:tcPr>
          <w:p w:rsidR="00700A63" w:rsidRPr="00A30DBC" w:rsidRDefault="00700A63" w:rsidP="0057606A">
            <w:pPr>
              <w:rPr>
                <w:b/>
                <w:bCs/>
              </w:rPr>
            </w:pPr>
            <w:r w:rsidRPr="00A30DBC">
              <w:t>Technology</w:t>
            </w:r>
          </w:p>
        </w:tc>
        <w:tc>
          <w:tcPr>
            <w:tcW w:w="6588" w:type="dxa"/>
            <w:noWrap/>
            <w:hideMark/>
          </w:tcPr>
          <w:p w:rsidR="00700A63" w:rsidRPr="00A30DBC" w:rsidRDefault="00700A63" w:rsidP="0057606A">
            <w:r w:rsidRPr="00A30DBC">
              <w:t>The vendor will provide a complete description of technology required to provide CBT</w:t>
            </w:r>
            <w:r>
              <w:t>.</w:t>
            </w:r>
          </w:p>
        </w:tc>
      </w:tr>
      <w:tr w:rsidR="00700A63" w:rsidRPr="00A30DBC" w:rsidTr="009C4361">
        <w:trPr>
          <w:trHeight w:val="782"/>
        </w:trPr>
        <w:tc>
          <w:tcPr>
            <w:tcW w:w="3060" w:type="dxa"/>
            <w:noWrap/>
            <w:hideMark/>
          </w:tcPr>
          <w:p w:rsidR="00700A63" w:rsidRPr="00A30DBC" w:rsidRDefault="00700A63" w:rsidP="0057606A">
            <w:r w:rsidRPr="00A30DBC">
              <w:t>Data Management</w:t>
            </w:r>
          </w:p>
        </w:tc>
        <w:tc>
          <w:tcPr>
            <w:tcW w:w="6588" w:type="dxa"/>
            <w:hideMark/>
          </w:tcPr>
          <w:p w:rsidR="00700A63" w:rsidRDefault="00700A63" w:rsidP="009756F8">
            <w:pPr>
              <w:pStyle w:val="ListParagraph"/>
              <w:numPr>
                <w:ilvl w:val="0"/>
                <w:numId w:val="24"/>
              </w:numPr>
            </w:pPr>
            <w:r>
              <w:t>The vendor confirms that a</w:t>
            </w:r>
            <w:r w:rsidRPr="00A30DBC">
              <w:t xml:space="preserve">ll data, current and historical, is the intellectual property of </w:t>
            </w:r>
            <w:r>
              <w:t>VDOE</w:t>
            </w:r>
            <w:r w:rsidRPr="00A30DBC">
              <w:t xml:space="preserve">. </w:t>
            </w:r>
            <w:r>
              <w:t xml:space="preserve"> </w:t>
            </w:r>
          </w:p>
          <w:p w:rsidR="00700A63" w:rsidRDefault="00700A63" w:rsidP="00E34B31">
            <w:pPr>
              <w:pStyle w:val="ListParagraph"/>
              <w:numPr>
                <w:ilvl w:val="0"/>
                <w:numId w:val="24"/>
              </w:numPr>
            </w:pPr>
            <w:r w:rsidRPr="00A30DBC">
              <w:t xml:space="preserve">The vendor must </w:t>
            </w:r>
            <w:r>
              <w:t xml:space="preserve">provide evidence of how it will </w:t>
            </w:r>
            <w:r w:rsidRPr="00A30DBC">
              <w:t xml:space="preserve">maintain all </w:t>
            </w:r>
            <w:r>
              <w:t>p</w:t>
            </w:r>
            <w:r w:rsidRPr="00A30DBC">
              <w:t>ersonal</w:t>
            </w:r>
            <w:r>
              <w:t>ly</w:t>
            </w:r>
            <w:r w:rsidRPr="00A30DBC">
              <w:t xml:space="preserve"> </w:t>
            </w:r>
            <w:r>
              <w:t>i</w:t>
            </w:r>
            <w:r w:rsidRPr="00A30DBC">
              <w:t xml:space="preserve">dentifiable </w:t>
            </w:r>
            <w:r>
              <w:t>i</w:t>
            </w:r>
            <w:r w:rsidRPr="00A30DBC">
              <w:t>nformation (PII) in accordance with</w:t>
            </w:r>
            <w:r>
              <w:t xml:space="preserve"> FERPA, state privacy laws, and</w:t>
            </w:r>
            <w:r w:rsidRPr="00A30DBC">
              <w:t xml:space="preserve"> current Virginia Information S</w:t>
            </w:r>
            <w:r>
              <w:t>ecurity Standards (SEC 501).</w:t>
            </w:r>
          </w:p>
          <w:p w:rsidR="00700A63" w:rsidRDefault="00700A63" w:rsidP="009756F8">
            <w:pPr>
              <w:pStyle w:val="ListParagraph"/>
              <w:numPr>
                <w:ilvl w:val="0"/>
                <w:numId w:val="24"/>
              </w:numPr>
            </w:pPr>
            <w:r w:rsidRPr="00A30DBC">
              <w:t xml:space="preserve">The vendor </w:t>
            </w:r>
            <w:r>
              <w:t>must</w:t>
            </w:r>
            <w:r w:rsidRPr="00A30DBC">
              <w:t xml:space="preserve"> provide </w:t>
            </w:r>
            <w:r>
              <w:t xml:space="preserve">evidence of </w:t>
            </w:r>
            <w:r w:rsidRPr="00A30DBC">
              <w:t>a data management system that produces analysis of scores</w:t>
            </w:r>
            <w:r>
              <w:t>,</w:t>
            </w:r>
            <w:r w:rsidRPr="00A30DBC">
              <w:t xml:space="preserve"> statistical and demographic reports</w:t>
            </w:r>
            <w:r>
              <w:t>,</w:t>
            </w:r>
            <w:r w:rsidRPr="00A30DBC">
              <w:t xml:space="preserve"> and any other customized</w:t>
            </w:r>
            <w:r>
              <w:t>,</w:t>
            </w:r>
            <w:r w:rsidRPr="00A30DBC">
              <w:t xml:space="preserve"> generated reports requir</w:t>
            </w:r>
            <w:r>
              <w:t>ed by the VDOE.</w:t>
            </w:r>
          </w:p>
          <w:p w:rsidR="00700A63" w:rsidRDefault="00700A63" w:rsidP="009756F8">
            <w:pPr>
              <w:pStyle w:val="ListParagraph"/>
              <w:numPr>
                <w:ilvl w:val="0"/>
                <w:numId w:val="24"/>
              </w:numPr>
            </w:pPr>
            <w:r w:rsidRPr="00A30DBC">
              <w:t xml:space="preserve">The </w:t>
            </w:r>
            <w:r>
              <w:t xml:space="preserve">vendor must confirm that the </w:t>
            </w:r>
            <w:r w:rsidRPr="00A30DBC">
              <w:t xml:space="preserve">data management </w:t>
            </w:r>
            <w:r>
              <w:t xml:space="preserve">system is </w:t>
            </w:r>
            <w:r w:rsidRPr="00A30DBC">
              <w:t>available to the VDOE at all times, except for necessary maintenance.  All regular system maintenance must be confined to non-business hours (7 p</w:t>
            </w:r>
            <w:r>
              <w:t>.</w:t>
            </w:r>
            <w:r w:rsidRPr="00A30DBC">
              <w:t>m</w:t>
            </w:r>
            <w:r>
              <w:t xml:space="preserve">. to </w:t>
            </w:r>
            <w:r w:rsidRPr="00A30DBC">
              <w:t>6</w:t>
            </w:r>
            <w:r>
              <w:t> </w:t>
            </w:r>
            <w:r w:rsidRPr="00A30DBC">
              <w:t>a</w:t>
            </w:r>
            <w:r>
              <w:t>.</w:t>
            </w:r>
            <w:r w:rsidRPr="00A30DBC">
              <w:t>m</w:t>
            </w:r>
            <w:r>
              <w:t>.</w:t>
            </w:r>
            <w:r w:rsidRPr="00A30DBC">
              <w:t>)</w:t>
            </w:r>
            <w:r>
              <w:t>.</w:t>
            </w:r>
          </w:p>
          <w:p w:rsidR="00700A63" w:rsidRDefault="00700A63" w:rsidP="009756F8">
            <w:pPr>
              <w:pStyle w:val="ListParagraph"/>
              <w:numPr>
                <w:ilvl w:val="0"/>
                <w:numId w:val="24"/>
              </w:numPr>
            </w:pPr>
            <w:r w:rsidRPr="00A30DBC">
              <w:t xml:space="preserve">The vendor </w:t>
            </w:r>
            <w:r>
              <w:t xml:space="preserve">must describe the </w:t>
            </w:r>
            <w:r w:rsidRPr="00A30DBC">
              <w:t xml:space="preserve">technical assistance </w:t>
            </w:r>
            <w:r>
              <w:t xml:space="preserve">available with </w:t>
            </w:r>
            <w:r w:rsidRPr="00A30DBC">
              <w:t>the use of the data management system</w:t>
            </w:r>
            <w:r>
              <w:t xml:space="preserve">. </w:t>
            </w:r>
          </w:p>
          <w:p w:rsidR="00700A63" w:rsidRDefault="00700A63" w:rsidP="009756F8">
            <w:pPr>
              <w:pStyle w:val="ListParagraph"/>
              <w:numPr>
                <w:ilvl w:val="0"/>
                <w:numId w:val="24"/>
              </w:numPr>
            </w:pPr>
            <w:r w:rsidRPr="00A30DBC">
              <w:t xml:space="preserve">The vendor </w:t>
            </w:r>
            <w:r>
              <w:t>will describe</w:t>
            </w:r>
            <w:r w:rsidRPr="00A30DBC">
              <w:t xml:space="preserve"> the levels of access to the data management system in accorda</w:t>
            </w:r>
            <w:r>
              <w:t>nce with VDOE regulations.</w:t>
            </w:r>
          </w:p>
          <w:p w:rsidR="00700A63" w:rsidRDefault="00700A63" w:rsidP="009756F8">
            <w:pPr>
              <w:pStyle w:val="ListParagraph"/>
              <w:numPr>
                <w:ilvl w:val="0"/>
                <w:numId w:val="24"/>
              </w:numPr>
            </w:pPr>
            <w:r w:rsidRPr="00A30DBC">
              <w:t xml:space="preserve">The vendor </w:t>
            </w:r>
            <w:r>
              <w:t xml:space="preserve">must describe how it will </w:t>
            </w:r>
            <w:r w:rsidRPr="00A30DBC">
              <w:t>update and backup files in the database on</w:t>
            </w:r>
            <w:r>
              <w:t xml:space="preserve"> a daily basis.</w:t>
            </w:r>
          </w:p>
          <w:p w:rsidR="00700A63" w:rsidRPr="00A30DBC" w:rsidRDefault="00700A63" w:rsidP="00C62A80">
            <w:pPr>
              <w:pStyle w:val="ListParagraph"/>
              <w:numPr>
                <w:ilvl w:val="0"/>
                <w:numId w:val="24"/>
              </w:numPr>
            </w:pPr>
            <w:r w:rsidRPr="00A30DBC">
              <w:t xml:space="preserve">The vendor must </w:t>
            </w:r>
            <w:r>
              <w:t xml:space="preserve">describe a plan for how it will </w:t>
            </w:r>
            <w:r w:rsidRPr="00A30DBC">
              <w:t>maintain all necessary configurations and data for file restorations.  In the event files are lost</w:t>
            </w:r>
            <w:r>
              <w:t xml:space="preserve">, </w:t>
            </w:r>
            <w:r w:rsidRPr="00A30DBC">
              <w:t>or if for any reason data files must be restored, the vendor must notify VDOE and restore the system to full operating c</w:t>
            </w:r>
            <w:r>
              <w:t>apacity in a timely manner.</w:t>
            </w:r>
          </w:p>
        </w:tc>
      </w:tr>
      <w:tr w:rsidR="00700A63" w:rsidRPr="00A30DBC" w:rsidTr="00781E0F">
        <w:trPr>
          <w:trHeight w:val="269"/>
        </w:trPr>
        <w:tc>
          <w:tcPr>
            <w:tcW w:w="3060" w:type="dxa"/>
            <w:noWrap/>
            <w:hideMark/>
          </w:tcPr>
          <w:p w:rsidR="00700A63" w:rsidRPr="00A30DBC" w:rsidRDefault="00700A63" w:rsidP="0057606A">
            <w:r w:rsidRPr="00A30DBC">
              <w:t>Training: Teachers, Staff, Administrators</w:t>
            </w:r>
          </w:p>
        </w:tc>
        <w:tc>
          <w:tcPr>
            <w:tcW w:w="6588" w:type="dxa"/>
            <w:hideMark/>
          </w:tcPr>
          <w:p w:rsidR="00700A63" w:rsidRDefault="00700A63" w:rsidP="00EA6D30">
            <w:pPr>
              <w:pStyle w:val="ListParagraph"/>
              <w:numPr>
                <w:ilvl w:val="0"/>
                <w:numId w:val="25"/>
              </w:numPr>
            </w:pPr>
            <w:r w:rsidRPr="00A30DBC">
              <w:t xml:space="preserve">The vendor must </w:t>
            </w:r>
            <w:r>
              <w:t xml:space="preserve">describe the plan to </w:t>
            </w:r>
            <w:r w:rsidRPr="00A30DBC">
              <w:t>provide professional development</w:t>
            </w:r>
            <w:r>
              <w:t>,</w:t>
            </w:r>
            <w:r w:rsidRPr="00A30DBC">
              <w:t xml:space="preserve"> as it relates to testing</w:t>
            </w:r>
            <w:r>
              <w:t>,</w:t>
            </w:r>
            <w:r w:rsidRPr="00A30DBC">
              <w:t xml:space="preserve"> to the state at all levels</w:t>
            </w:r>
            <w:r>
              <w:t xml:space="preserve"> , including</w:t>
            </w:r>
            <w:r w:rsidRPr="00A30DBC">
              <w:t xml:space="preserve"> teachers, examiners, local program a</w:t>
            </w:r>
            <w:r>
              <w:t>dministrators, and state staff.</w:t>
            </w:r>
          </w:p>
          <w:p w:rsidR="00700A63" w:rsidRDefault="00700A63" w:rsidP="00EA6D30">
            <w:pPr>
              <w:pStyle w:val="ListParagraph"/>
              <w:numPr>
                <w:ilvl w:val="0"/>
                <w:numId w:val="25"/>
              </w:numPr>
            </w:pPr>
            <w:r w:rsidRPr="00A30DBC">
              <w:t xml:space="preserve">The vendor must </w:t>
            </w:r>
            <w:r>
              <w:t xml:space="preserve">confirm that it will </w:t>
            </w:r>
            <w:r w:rsidRPr="00A30DBC">
              <w:t xml:space="preserve">provide </w:t>
            </w:r>
            <w:r>
              <w:t>relevant</w:t>
            </w:r>
            <w:r>
              <w:rPr>
                <w:color w:val="FF0000"/>
              </w:rPr>
              <w:t xml:space="preserve"> </w:t>
            </w:r>
            <w:r w:rsidRPr="00A30DBC">
              <w:t xml:space="preserve">training materials to the VDOE for review and approval before issuance.  The VDOE reserves the right to edit and revise </w:t>
            </w:r>
            <w:r>
              <w:t>the materials as deemed necessary.</w:t>
            </w:r>
          </w:p>
          <w:p w:rsidR="00700A63" w:rsidRDefault="00700A63" w:rsidP="00EA6D30">
            <w:pPr>
              <w:pStyle w:val="ListParagraph"/>
              <w:numPr>
                <w:ilvl w:val="0"/>
                <w:numId w:val="25"/>
              </w:numPr>
            </w:pPr>
            <w:r>
              <w:t>The vendor will assure that all t</w:t>
            </w:r>
            <w:r w:rsidRPr="00A30DBC">
              <w:t xml:space="preserve">raining materials provided to </w:t>
            </w:r>
            <w:r>
              <w:t>state-supported adult education</w:t>
            </w:r>
            <w:r w:rsidRPr="00A30DBC">
              <w:t xml:space="preserve"> program</w:t>
            </w:r>
            <w:r>
              <w:t xml:space="preserve">s </w:t>
            </w:r>
            <w:r w:rsidRPr="00A30DBC">
              <w:t>must be provided at no additional charge</w:t>
            </w:r>
            <w:r>
              <w:t xml:space="preserve"> to the state or localities.</w:t>
            </w:r>
          </w:p>
          <w:p w:rsidR="00700A63" w:rsidRDefault="00700A63" w:rsidP="00EA6D30">
            <w:pPr>
              <w:pStyle w:val="ListParagraph"/>
              <w:numPr>
                <w:ilvl w:val="0"/>
                <w:numId w:val="25"/>
              </w:numPr>
            </w:pPr>
            <w:r w:rsidRPr="00A30DBC">
              <w:t xml:space="preserve">The vendor must </w:t>
            </w:r>
            <w:r>
              <w:t xml:space="preserve">describe </w:t>
            </w:r>
            <w:r w:rsidRPr="00A30DBC">
              <w:t>the specific minimum qualifications for testing</w:t>
            </w:r>
            <w:r>
              <w:t xml:space="preserve"> center</w:t>
            </w:r>
            <w:r w:rsidRPr="00A30DBC">
              <w:t xml:space="preserve"> personnel.</w:t>
            </w:r>
          </w:p>
          <w:p w:rsidR="00700A63" w:rsidRDefault="00700A63" w:rsidP="00EA6D30">
            <w:pPr>
              <w:pStyle w:val="ListParagraph"/>
              <w:numPr>
                <w:ilvl w:val="0"/>
                <w:numId w:val="25"/>
              </w:numPr>
            </w:pPr>
            <w:r w:rsidRPr="00A30DBC">
              <w:t xml:space="preserve">The vendor must </w:t>
            </w:r>
            <w:r>
              <w:t xml:space="preserve">describe the process to </w:t>
            </w:r>
            <w:r w:rsidRPr="00A30DBC">
              <w:t xml:space="preserve">certify testing </w:t>
            </w:r>
            <w:r>
              <w:t>center personnel.</w:t>
            </w:r>
          </w:p>
          <w:p w:rsidR="00700A63" w:rsidRDefault="00700A63" w:rsidP="00EA6D30">
            <w:pPr>
              <w:pStyle w:val="ListParagraph"/>
              <w:numPr>
                <w:ilvl w:val="0"/>
                <w:numId w:val="25"/>
              </w:numPr>
            </w:pPr>
            <w:r w:rsidRPr="00A30DBC">
              <w:t xml:space="preserve">The vendor </w:t>
            </w:r>
            <w:r>
              <w:t xml:space="preserve">must provide </w:t>
            </w:r>
            <w:r w:rsidRPr="00A30DBC">
              <w:t>test</w:t>
            </w:r>
            <w:r>
              <w:t xml:space="preserve"> administration</w:t>
            </w:r>
            <w:r w:rsidRPr="00A30DBC">
              <w:t xml:space="preserve"> guidelines</w:t>
            </w:r>
            <w:r>
              <w:t xml:space="preserve">. </w:t>
            </w:r>
          </w:p>
          <w:p w:rsidR="00700A63" w:rsidRPr="00A30DBC" w:rsidRDefault="00700A63" w:rsidP="00C62A80">
            <w:pPr>
              <w:pStyle w:val="ListParagraph"/>
              <w:numPr>
                <w:ilvl w:val="0"/>
                <w:numId w:val="25"/>
              </w:numPr>
            </w:pPr>
            <w:r>
              <w:t xml:space="preserve">The vendor must describe how it will make the test administration </w:t>
            </w:r>
            <w:r>
              <w:lastRenderedPageBreak/>
              <w:t>guidelines</w:t>
            </w:r>
            <w:r w:rsidRPr="00A30DBC">
              <w:t xml:space="preserve"> available to each certified testing site.</w:t>
            </w:r>
            <w:r>
              <w:t xml:space="preserve"> </w:t>
            </w:r>
          </w:p>
        </w:tc>
      </w:tr>
      <w:tr w:rsidR="007E54FC" w:rsidRPr="00A30DBC" w:rsidTr="007A5EAA">
        <w:trPr>
          <w:trHeight w:val="3797"/>
        </w:trPr>
        <w:tc>
          <w:tcPr>
            <w:tcW w:w="3060" w:type="dxa"/>
            <w:noWrap/>
            <w:hideMark/>
          </w:tcPr>
          <w:p w:rsidR="007E54FC" w:rsidRPr="00A30DBC" w:rsidRDefault="007E54FC" w:rsidP="0057606A">
            <w:r w:rsidRPr="00A30DBC">
              <w:lastRenderedPageBreak/>
              <w:t>Transcripts/Certificates</w:t>
            </w:r>
          </w:p>
        </w:tc>
        <w:tc>
          <w:tcPr>
            <w:tcW w:w="6588" w:type="dxa"/>
            <w:hideMark/>
          </w:tcPr>
          <w:p w:rsidR="007E54FC" w:rsidRDefault="007E54FC" w:rsidP="00276D5B">
            <w:pPr>
              <w:pStyle w:val="ListParagraph"/>
              <w:numPr>
                <w:ilvl w:val="0"/>
                <w:numId w:val="31"/>
              </w:numPr>
            </w:pPr>
            <w:r>
              <w:t>The vendor must confirm that the credentialing service used by the vendor is able to maintain all current and historical records for VDOE.</w:t>
            </w:r>
          </w:p>
          <w:p w:rsidR="007E54FC" w:rsidRDefault="007E54FC" w:rsidP="00521F2C">
            <w:pPr>
              <w:pStyle w:val="ListParagraph"/>
              <w:numPr>
                <w:ilvl w:val="0"/>
                <w:numId w:val="31"/>
              </w:numPr>
            </w:pPr>
            <w:r w:rsidRPr="007A5EAA">
              <w:t>The</w:t>
            </w:r>
            <w:r w:rsidRPr="00276D5B">
              <w:rPr>
                <w:color w:val="FF0000"/>
              </w:rPr>
              <w:t xml:space="preserve"> </w:t>
            </w:r>
            <w:r w:rsidRPr="00531929">
              <w:t>vendor must confirm that the</w:t>
            </w:r>
            <w:r>
              <w:rPr>
                <w:color w:val="FF0000"/>
              </w:rPr>
              <w:t xml:space="preserve"> </w:t>
            </w:r>
            <w:r w:rsidRPr="00A30DBC">
              <w:t>credentialing service used</w:t>
            </w:r>
            <w:r>
              <w:t xml:space="preserve"> by the vendor </w:t>
            </w:r>
            <w:r w:rsidRPr="007A5EAA">
              <w:t xml:space="preserve">will return, </w:t>
            </w:r>
            <w:r w:rsidRPr="00276D5B">
              <w:t xml:space="preserve">in a format that is agreeable to </w:t>
            </w:r>
            <w:r>
              <w:t>VDOE</w:t>
            </w:r>
            <w:r w:rsidRPr="007A5EAA">
              <w:t>,</w:t>
            </w:r>
            <w:r>
              <w:rPr>
                <w:color w:val="FF0000"/>
              </w:rPr>
              <w:t xml:space="preserve"> </w:t>
            </w:r>
            <w:r w:rsidRPr="00A30DBC">
              <w:t xml:space="preserve">all </w:t>
            </w:r>
            <w:r w:rsidRPr="007A5EAA">
              <w:t xml:space="preserve">current and </w:t>
            </w:r>
            <w:r w:rsidRPr="00A30DBC">
              <w:t xml:space="preserve">historical data to </w:t>
            </w:r>
            <w:r>
              <w:t xml:space="preserve">VDOE </w:t>
            </w:r>
            <w:r w:rsidRPr="00A30DBC">
              <w:t>if there is a cancella</w:t>
            </w:r>
            <w:r>
              <w:t>tion or termination of services.</w:t>
            </w:r>
          </w:p>
          <w:p w:rsidR="007E54FC" w:rsidRDefault="007E54FC" w:rsidP="00521F2C">
            <w:pPr>
              <w:pStyle w:val="ListParagraph"/>
              <w:numPr>
                <w:ilvl w:val="0"/>
                <w:numId w:val="31"/>
              </w:numPr>
            </w:pPr>
            <w:r>
              <w:t>T</w:t>
            </w:r>
            <w:r w:rsidRPr="00B12215">
              <w:t xml:space="preserve">he </w:t>
            </w:r>
            <w:r>
              <w:t xml:space="preserve">vendor must confirm that the </w:t>
            </w:r>
            <w:r w:rsidRPr="00B12215">
              <w:t xml:space="preserve">credentialing </w:t>
            </w:r>
            <w:r w:rsidRPr="007A5EAA">
              <w:t>service</w:t>
            </w:r>
            <w:r>
              <w:t xml:space="preserve"> used by the vendor</w:t>
            </w:r>
            <w:r>
              <w:rPr>
                <w:color w:val="FF0000"/>
              </w:rPr>
              <w:t xml:space="preserve"> </w:t>
            </w:r>
            <w:r w:rsidRPr="00B12215">
              <w:t>maintain</w:t>
            </w:r>
            <w:r>
              <w:t>s</w:t>
            </w:r>
            <w:r w:rsidRPr="00B12215">
              <w:t xml:space="preserve"> all PII in accordance with</w:t>
            </w:r>
            <w:r>
              <w:t xml:space="preserve"> FERPA, state privacy laws, and</w:t>
            </w:r>
            <w:r w:rsidRPr="00B12215">
              <w:t xml:space="preserve"> current Virginia Information Security Standards (SEC 501)</w:t>
            </w:r>
            <w:r>
              <w:t xml:space="preserve"> and sign a Restricted Use Data Agreement (RUDA)</w:t>
            </w:r>
            <w:r w:rsidRPr="00B12215">
              <w:t>.</w:t>
            </w:r>
          </w:p>
          <w:p w:rsidR="007E54FC" w:rsidRDefault="007E54FC" w:rsidP="00276D5B">
            <w:pPr>
              <w:pStyle w:val="ListParagraph"/>
              <w:numPr>
                <w:ilvl w:val="0"/>
                <w:numId w:val="31"/>
              </w:numPr>
            </w:pPr>
            <w:r w:rsidRPr="007A5EAA">
              <w:t xml:space="preserve">The </w:t>
            </w:r>
            <w:r>
              <w:t>vendor must confirm that the contract with the credentialing service identifies how all data will be provided to the credentialing service in a mutually approved format and in a timely manner.</w:t>
            </w:r>
            <w:r w:rsidRPr="007A5EAA">
              <w:t xml:space="preserve"> </w:t>
            </w:r>
          </w:p>
          <w:p w:rsidR="007E54FC" w:rsidRDefault="007E54FC" w:rsidP="00276D5B">
            <w:pPr>
              <w:pStyle w:val="ListParagraph"/>
              <w:numPr>
                <w:ilvl w:val="0"/>
                <w:numId w:val="31"/>
              </w:numPr>
            </w:pPr>
            <w:r>
              <w:t>The vendor must confirm that t</w:t>
            </w:r>
            <w:r w:rsidRPr="00A30DBC">
              <w:t xml:space="preserve">ranscripts </w:t>
            </w:r>
            <w:r>
              <w:t xml:space="preserve">and </w:t>
            </w:r>
            <w:r w:rsidRPr="00A30DBC">
              <w:t>certificates, both electronic and paper copies</w:t>
            </w:r>
            <w:r>
              <w:t>,</w:t>
            </w:r>
            <w:r w:rsidRPr="00A30DBC">
              <w:t xml:space="preserve"> will be given to all </w:t>
            </w:r>
            <w:r>
              <w:t xml:space="preserve">first- time </w:t>
            </w:r>
            <w:r w:rsidRPr="00A30DBC">
              <w:t>passers free of charge</w:t>
            </w:r>
            <w:r>
              <w:t>.</w:t>
            </w:r>
          </w:p>
          <w:p w:rsidR="007E54FC" w:rsidRDefault="007E54FC" w:rsidP="00276D5B">
            <w:pPr>
              <w:pStyle w:val="ListParagraph"/>
              <w:numPr>
                <w:ilvl w:val="0"/>
                <w:numId w:val="31"/>
              </w:numPr>
            </w:pPr>
            <w:r w:rsidRPr="00A30DBC">
              <w:t xml:space="preserve">The </w:t>
            </w:r>
            <w:r>
              <w:t xml:space="preserve">vendor must describe any fees that the </w:t>
            </w:r>
            <w:r w:rsidRPr="00A30DBC">
              <w:t xml:space="preserve">credentialing service may charge </w:t>
            </w:r>
            <w:r>
              <w:t xml:space="preserve">to provide </w:t>
            </w:r>
            <w:r w:rsidRPr="00A30DBC">
              <w:t xml:space="preserve">copies of </w:t>
            </w:r>
            <w:r>
              <w:t>transcripts or certificates.</w:t>
            </w:r>
          </w:p>
          <w:p w:rsidR="007E54FC" w:rsidRDefault="007E54FC" w:rsidP="00276D5B">
            <w:pPr>
              <w:pStyle w:val="ListParagraph"/>
              <w:numPr>
                <w:ilvl w:val="0"/>
                <w:numId w:val="31"/>
              </w:numPr>
            </w:pPr>
            <w:r>
              <w:t>The vendor must confirm that the credentialing service will provide electronic copies of transcripts</w:t>
            </w:r>
            <w:r w:rsidRPr="00A30DBC">
              <w:t xml:space="preserve"> </w:t>
            </w:r>
            <w:r>
              <w:t xml:space="preserve">and </w:t>
            </w:r>
            <w:r w:rsidRPr="00A30DBC">
              <w:t>certificates within 48 hours</w:t>
            </w:r>
            <w:r>
              <w:t xml:space="preserve"> of request.  Paper copies of transcripts and certificates shall</w:t>
            </w:r>
            <w:r w:rsidRPr="00A30DBC">
              <w:t xml:space="preserve"> </w:t>
            </w:r>
            <w:r>
              <w:t xml:space="preserve">be received within </w:t>
            </w:r>
            <w:r w:rsidRPr="00A30DBC">
              <w:t xml:space="preserve">five </w:t>
            </w:r>
            <w:r>
              <w:t xml:space="preserve">business </w:t>
            </w:r>
            <w:r w:rsidRPr="00A30DBC">
              <w:t>days</w:t>
            </w:r>
            <w:r>
              <w:t xml:space="preserve"> of request.</w:t>
            </w:r>
          </w:p>
          <w:p w:rsidR="007E54FC" w:rsidRDefault="007E54FC" w:rsidP="005E43FB">
            <w:pPr>
              <w:pStyle w:val="ListParagraph"/>
              <w:numPr>
                <w:ilvl w:val="0"/>
                <w:numId w:val="31"/>
              </w:numPr>
            </w:pPr>
            <w:r>
              <w:t xml:space="preserve">The vendor must provide a resolution process to address the concerns of </w:t>
            </w:r>
            <w:r w:rsidRPr="00A30DBC">
              <w:t xml:space="preserve">a graduate </w:t>
            </w:r>
            <w:r>
              <w:t xml:space="preserve">who </w:t>
            </w:r>
            <w:r w:rsidRPr="00A30DBC">
              <w:t>has requested</w:t>
            </w:r>
            <w:r>
              <w:t xml:space="preserve"> </w:t>
            </w:r>
            <w:r w:rsidRPr="00A30DBC">
              <w:t>a transcript or certificate and no records are found</w:t>
            </w:r>
            <w:r>
              <w:t xml:space="preserve"> by the credentialing service. </w:t>
            </w:r>
          </w:p>
          <w:p w:rsidR="007E54FC" w:rsidRPr="00A30DBC" w:rsidRDefault="007E54FC" w:rsidP="00C62A80">
            <w:pPr>
              <w:pStyle w:val="ListParagraph"/>
              <w:numPr>
                <w:ilvl w:val="0"/>
                <w:numId w:val="31"/>
              </w:numPr>
            </w:pPr>
            <w:r>
              <w:t>The vendor must confirm that no changes or modifications can be made to the official state certificate without VDOE’s permission.</w:t>
            </w:r>
          </w:p>
        </w:tc>
      </w:tr>
      <w:tr w:rsidR="007E54FC" w:rsidRPr="00A30DBC" w:rsidTr="00DB6409">
        <w:trPr>
          <w:trHeight w:val="2420"/>
        </w:trPr>
        <w:tc>
          <w:tcPr>
            <w:tcW w:w="3060" w:type="dxa"/>
            <w:noWrap/>
            <w:hideMark/>
          </w:tcPr>
          <w:p w:rsidR="007E54FC" w:rsidRPr="00A30DBC" w:rsidRDefault="007E54FC" w:rsidP="0057606A">
            <w:r w:rsidRPr="00A30DBC">
              <w:t>Classroom preparation materials</w:t>
            </w:r>
          </w:p>
        </w:tc>
        <w:tc>
          <w:tcPr>
            <w:tcW w:w="6588" w:type="dxa"/>
            <w:hideMark/>
          </w:tcPr>
          <w:p w:rsidR="007E54FC" w:rsidRDefault="007E54FC" w:rsidP="00AC1CCA">
            <w:pPr>
              <w:pStyle w:val="ListParagraph"/>
              <w:numPr>
                <w:ilvl w:val="0"/>
                <w:numId w:val="27"/>
              </w:numPr>
            </w:pPr>
            <w:r>
              <w:t xml:space="preserve">The vendor shall </w:t>
            </w:r>
            <w:r w:rsidRPr="00A30DBC">
              <w:t xml:space="preserve">provide information on the </w:t>
            </w:r>
            <w:r>
              <w:t>examination’s</w:t>
            </w:r>
            <w:r w:rsidRPr="00A30DBC">
              <w:t xml:space="preserve"> content, format, and scoring process</w:t>
            </w:r>
            <w:r>
              <w:t xml:space="preserve"> to VDOE</w:t>
            </w:r>
            <w:r w:rsidRPr="00A30DBC">
              <w:t>.</w:t>
            </w:r>
          </w:p>
          <w:p w:rsidR="007E54FC" w:rsidRPr="00A30DBC" w:rsidRDefault="007E54FC" w:rsidP="00C62A80">
            <w:pPr>
              <w:pStyle w:val="ListParagraph"/>
              <w:numPr>
                <w:ilvl w:val="0"/>
                <w:numId w:val="27"/>
              </w:numPr>
            </w:pPr>
            <w:r w:rsidRPr="00A30DBC">
              <w:t>The vendor must</w:t>
            </w:r>
            <w:r>
              <w:t xml:space="preserve"> describe </w:t>
            </w:r>
            <w:r w:rsidRPr="00A30DBC">
              <w:t>recommend</w:t>
            </w:r>
            <w:r>
              <w:t>ed</w:t>
            </w:r>
            <w:r w:rsidRPr="00A30DBC">
              <w:t xml:space="preserve"> study materials to prepare students to take the HSE </w:t>
            </w:r>
            <w:r>
              <w:t>examination</w:t>
            </w:r>
            <w:r w:rsidRPr="00A30DBC">
              <w:t>.</w:t>
            </w:r>
          </w:p>
        </w:tc>
      </w:tr>
      <w:tr w:rsidR="007E54FC" w:rsidRPr="00A30DBC" w:rsidTr="007E54FC">
        <w:trPr>
          <w:trHeight w:val="2267"/>
        </w:trPr>
        <w:tc>
          <w:tcPr>
            <w:tcW w:w="3060" w:type="dxa"/>
            <w:tcBorders>
              <w:bottom w:val="single" w:sz="4" w:space="0" w:color="auto"/>
            </w:tcBorders>
            <w:noWrap/>
            <w:hideMark/>
          </w:tcPr>
          <w:p w:rsidR="007E54FC" w:rsidRPr="00A30DBC" w:rsidRDefault="007E54FC" w:rsidP="0057606A">
            <w:r>
              <w:t>Collection of T</w:t>
            </w:r>
            <w:r w:rsidRPr="00A30DBC">
              <w:t xml:space="preserve">esting </w:t>
            </w:r>
            <w:r>
              <w:t>F</w:t>
            </w:r>
            <w:r w:rsidRPr="00A30DBC">
              <w:t>ees</w:t>
            </w:r>
          </w:p>
        </w:tc>
        <w:tc>
          <w:tcPr>
            <w:tcW w:w="6588" w:type="dxa"/>
            <w:tcBorders>
              <w:bottom w:val="single" w:sz="4" w:space="0" w:color="auto"/>
            </w:tcBorders>
            <w:hideMark/>
          </w:tcPr>
          <w:p w:rsidR="007E54FC" w:rsidRDefault="007E54FC" w:rsidP="00AC1CCA">
            <w:pPr>
              <w:pStyle w:val="ListParagraph"/>
              <w:numPr>
                <w:ilvl w:val="0"/>
                <w:numId w:val="28"/>
              </w:numPr>
            </w:pPr>
            <w:r w:rsidRPr="00A30DBC">
              <w:t xml:space="preserve">The vendor </w:t>
            </w:r>
            <w:r>
              <w:t>must provide a process of how testing fees will be collected</w:t>
            </w:r>
            <w:r w:rsidRPr="00A30DBC">
              <w:t xml:space="preserve"> during the</w:t>
            </w:r>
            <w:r>
              <w:t xml:space="preserve"> registration process.</w:t>
            </w:r>
          </w:p>
          <w:p w:rsidR="007E54FC" w:rsidRDefault="007E54FC" w:rsidP="00AC1CCA">
            <w:pPr>
              <w:pStyle w:val="ListParagraph"/>
              <w:numPr>
                <w:ilvl w:val="0"/>
                <w:numId w:val="28"/>
              </w:numPr>
            </w:pPr>
            <w:r w:rsidRPr="00A30DBC">
              <w:t xml:space="preserve">The vendor </w:t>
            </w:r>
            <w:r>
              <w:t xml:space="preserve">must describe its monthly reconciliation procedures with testing centers for the disbursements of testing center fees. </w:t>
            </w:r>
          </w:p>
          <w:p w:rsidR="007E54FC" w:rsidRPr="00A30DBC" w:rsidRDefault="007E54FC" w:rsidP="00280654">
            <w:pPr>
              <w:pStyle w:val="ListParagraph"/>
              <w:numPr>
                <w:ilvl w:val="0"/>
                <w:numId w:val="27"/>
              </w:numPr>
            </w:pPr>
            <w:r w:rsidRPr="00A30DBC">
              <w:t xml:space="preserve">The vendor </w:t>
            </w:r>
            <w:r>
              <w:t xml:space="preserve">must describe the process to allow state-supported adult education programs </w:t>
            </w:r>
            <w:r w:rsidRPr="00A30DBC">
              <w:t>the opportunity to purchase testing vouchers</w:t>
            </w:r>
            <w:r>
              <w:t>.</w:t>
            </w:r>
          </w:p>
        </w:tc>
      </w:tr>
      <w:tr w:rsidR="007E54FC" w:rsidRPr="00A30DBC" w:rsidTr="00CF71B6">
        <w:trPr>
          <w:trHeight w:val="422"/>
        </w:trPr>
        <w:tc>
          <w:tcPr>
            <w:tcW w:w="3060" w:type="dxa"/>
            <w:tcBorders>
              <w:right w:val="nil"/>
            </w:tcBorders>
            <w:shd w:val="clear" w:color="auto" w:fill="D9D9D9" w:themeFill="background1" w:themeFillShade="D9"/>
            <w:noWrap/>
            <w:hideMark/>
          </w:tcPr>
          <w:p w:rsidR="007E54FC" w:rsidRPr="00A30DBC" w:rsidRDefault="007E54FC" w:rsidP="002B2D42">
            <w:r w:rsidRPr="00A30DBC">
              <w:rPr>
                <w:b/>
                <w:bCs/>
              </w:rPr>
              <w:lastRenderedPageBreak/>
              <w:t>Vendor Quality</w:t>
            </w:r>
          </w:p>
        </w:tc>
        <w:tc>
          <w:tcPr>
            <w:tcW w:w="6588" w:type="dxa"/>
            <w:tcBorders>
              <w:left w:val="nil"/>
            </w:tcBorders>
            <w:shd w:val="clear" w:color="auto" w:fill="D9D9D9" w:themeFill="background1" w:themeFillShade="D9"/>
            <w:hideMark/>
          </w:tcPr>
          <w:p w:rsidR="007E54FC" w:rsidRPr="00A30DBC" w:rsidRDefault="007E54FC" w:rsidP="00C62A80">
            <w:pPr>
              <w:pStyle w:val="ListParagraph"/>
              <w:ind w:left="360"/>
            </w:pPr>
          </w:p>
        </w:tc>
      </w:tr>
      <w:tr w:rsidR="007E54FC" w:rsidRPr="00A30DBC" w:rsidTr="00223033">
        <w:trPr>
          <w:trHeight w:val="288"/>
        </w:trPr>
        <w:tc>
          <w:tcPr>
            <w:tcW w:w="3060" w:type="dxa"/>
            <w:noWrap/>
            <w:hideMark/>
          </w:tcPr>
          <w:p w:rsidR="007E54FC" w:rsidRPr="00A30DBC" w:rsidRDefault="007E54FC" w:rsidP="0057606A">
            <w:pPr>
              <w:rPr>
                <w:b/>
                <w:bCs/>
              </w:rPr>
            </w:pPr>
            <w:r w:rsidRPr="00A30DBC">
              <w:t xml:space="preserve">Vendor </w:t>
            </w:r>
            <w:r>
              <w:t>E</w:t>
            </w:r>
            <w:r w:rsidRPr="00A30DBC">
              <w:t xml:space="preserve">xperience with </w:t>
            </w:r>
            <w:r>
              <w:t>L</w:t>
            </w:r>
            <w:r w:rsidRPr="00A30DBC">
              <w:t xml:space="preserve">arge-scale </w:t>
            </w:r>
            <w:r>
              <w:t>A</w:t>
            </w:r>
            <w:r w:rsidRPr="00A30DBC">
              <w:t>ssessment</w:t>
            </w:r>
          </w:p>
        </w:tc>
        <w:tc>
          <w:tcPr>
            <w:tcW w:w="6588" w:type="dxa"/>
            <w:noWrap/>
            <w:hideMark/>
          </w:tcPr>
          <w:p w:rsidR="007E54FC" w:rsidRPr="00A30DBC" w:rsidRDefault="007E54FC" w:rsidP="0057606A">
            <w:r w:rsidRPr="00A30DBC">
              <w:t xml:space="preserve">The vendor must </w:t>
            </w:r>
            <w:r>
              <w:t xml:space="preserve">provide evidence that it has </w:t>
            </w:r>
            <w:r w:rsidRPr="00A30DBC">
              <w:t>a minimum of three years' proven experience of successfully providing services for large-scale (state or national)</w:t>
            </w:r>
            <w:r>
              <w:t>,</w:t>
            </w:r>
            <w:r w:rsidRPr="00A30DBC">
              <w:t xml:space="preserve"> high</w:t>
            </w:r>
            <w:r>
              <w:t>-</w:t>
            </w:r>
            <w:r w:rsidRPr="00A30DBC">
              <w:t>stakes testing programs.  A high</w:t>
            </w:r>
            <w:r>
              <w:t>-</w:t>
            </w:r>
            <w:r w:rsidRPr="00A30DBC">
              <w:t>stakes testing program is one which uses assessment results for high-stake decisions</w:t>
            </w:r>
            <w:r>
              <w:t>,</w:t>
            </w:r>
            <w:r w:rsidRPr="00A30DBC">
              <w:t xml:space="preserve"> such as federal and state educational accountability purposes, student graduation requirements, or qualification for entry into college</w:t>
            </w:r>
            <w:r>
              <w:t>.</w:t>
            </w:r>
            <w:r w:rsidRPr="00A30DBC">
              <w:t xml:space="preserve"> </w:t>
            </w:r>
          </w:p>
        </w:tc>
      </w:tr>
      <w:tr w:rsidR="007E54FC" w:rsidRPr="00A30DBC" w:rsidTr="007A5EAA">
        <w:trPr>
          <w:trHeight w:val="1925"/>
        </w:trPr>
        <w:tc>
          <w:tcPr>
            <w:tcW w:w="3060" w:type="dxa"/>
            <w:noWrap/>
            <w:hideMark/>
          </w:tcPr>
          <w:p w:rsidR="007E54FC" w:rsidRDefault="007E54FC" w:rsidP="0057606A">
            <w:r w:rsidRPr="00A30DBC">
              <w:t>Technical Assistance</w:t>
            </w:r>
          </w:p>
          <w:p w:rsidR="007E54FC" w:rsidRPr="00A30DBC" w:rsidRDefault="007E54FC" w:rsidP="002B2D42">
            <w:r>
              <w:t>For Testing Center Personnel</w:t>
            </w:r>
          </w:p>
        </w:tc>
        <w:tc>
          <w:tcPr>
            <w:tcW w:w="6588" w:type="dxa"/>
            <w:hideMark/>
          </w:tcPr>
          <w:p w:rsidR="007E54FC" w:rsidRPr="00A30DBC" w:rsidRDefault="007E54FC" w:rsidP="00252D89">
            <w:r w:rsidRPr="00A30DBC">
              <w:t>The vendor must provide</w:t>
            </w:r>
            <w:r>
              <w:t xml:space="preserve"> a technical assistance plan that includes 24-hour </w:t>
            </w:r>
            <w:r w:rsidRPr="00A30DBC">
              <w:t xml:space="preserve">technical </w:t>
            </w:r>
            <w:r>
              <w:t xml:space="preserve"> support </w:t>
            </w:r>
            <w:r w:rsidRPr="00A30DBC">
              <w:t>to testing centers</w:t>
            </w:r>
            <w:r>
              <w:t xml:space="preserve">, </w:t>
            </w:r>
            <w:r w:rsidRPr="005E43FB">
              <w:t xml:space="preserve"> designated personnel to be available</w:t>
            </w:r>
            <w:r>
              <w:t xml:space="preserve"> </w:t>
            </w:r>
            <w:r w:rsidRPr="00A30DBC">
              <w:t>during testing center operating hours</w:t>
            </w:r>
            <w:r>
              <w:t xml:space="preserve">,  and a dedicated, toll-free, non-automated telephone number that testing centers can use to report technical problems during testing  and expect to receive an immediate response. </w:t>
            </w:r>
          </w:p>
        </w:tc>
      </w:tr>
      <w:tr w:rsidR="007E54FC" w:rsidRPr="00A30DBC" w:rsidTr="007A5EAA">
        <w:trPr>
          <w:trHeight w:val="2150"/>
        </w:trPr>
        <w:tc>
          <w:tcPr>
            <w:tcW w:w="3060" w:type="dxa"/>
            <w:noWrap/>
            <w:hideMark/>
          </w:tcPr>
          <w:p w:rsidR="007E54FC" w:rsidRDefault="007E54FC" w:rsidP="0057606A">
            <w:r w:rsidRPr="00A30DBC">
              <w:t>Customer Service</w:t>
            </w:r>
          </w:p>
          <w:p w:rsidR="007E54FC" w:rsidRPr="00A30DBC" w:rsidRDefault="007E54FC" w:rsidP="0057606A">
            <w:r>
              <w:t>for Examinees</w:t>
            </w:r>
          </w:p>
        </w:tc>
        <w:tc>
          <w:tcPr>
            <w:tcW w:w="6588" w:type="dxa"/>
            <w:hideMark/>
          </w:tcPr>
          <w:p w:rsidR="007E54FC" w:rsidRDefault="007E54FC" w:rsidP="005C6099">
            <w:pPr>
              <w:pStyle w:val="ListParagraph"/>
              <w:numPr>
                <w:ilvl w:val="0"/>
                <w:numId w:val="30"/>
              </w:numPr>
            </w:pPr>
            <w:r w:rsidRPr="00A30DBC">
              <w:t xml:space="preserve">The vendor </w:t>
            </w:r>
            <w:r>
              <w:t>must provide</w:t>
            </w:r>
            <w:r w:rsidRPr="00A30DBC">
              <w:t xml:space="preserve"> a comprehensive </w:t>
            </w:r>
            <w:r>
              <w:t xml:space="preserve">customer service </w:t>
            </w:r>
            <w:r w:rsidRPr="00A30DBC">
              <w:t>plan</w:t>
            </w:r>
            <w:r>
              <w:t xml:space="preserve"> for examinees, including a toll-free telephone number and online support, with an expectation that a response would be received within one business day following initial contact.</w:t>
            </w:r>
          </w:p>
          <w:p w:rsidR="007E54FC" w:rsidRDefault="007E54FC" w:rsidP="005C6099">
            <w:pPr>
              <w:pStyle w:val="ListParagraph"/>
              <w:numPr>
                <w:ilvl w:val="0"/>
                <w:numId w:val="30"/>
              </w:numPr>
            </w:pPr>
            <w:r w:rsidRPr="00A30DBC">
              <w:t xml:space="preserve">The vendor </w:t>
            </w:r>
            <w:r>
              <w:t xml:space="preserve">must provide procedures for state personnel to identify and communicate concerns of testing centers and examinees. </w:t>
            </w:r>
          </w:p>
          <w:p w:rsidR="007E54FC" w:rsidRPr="00A30DBC" w:rsidRDefault="007E54FC" w:rsidP="00C62A80">
            <w:pPr>
              <w:pStyle w:val="ListParagraph"/>
              <w:numPr>
                <w:ilvl w:val="0"/>
                <w:numId w:val="30"/>
              </w:numPr>
            </w:pPr>
            <w:r w:rsidRPr="00A30DBC">
              <w:t xml:space="preserve">The vendor will provide </w:t>
            </w:r>
            <w:r>
              <w:t>the name(s) and telephone</w:t>
            </w:r>
            <w:r w:rsidRPr="00A30DBC">
              <w:t xml:space="preserve"> number</w:t>
            </w:r>
            <w:r>
              <w:t xml:space="preserve">(s) of the person(s) assigned to the resolution of specific issues </w:t>
            </w:r>
            <w:r w:rsidRPr="00A30DBC">
              <w:t>(e.g., technology, registration, scori</w:t>
            </w:r>
            <w:r>
              <w:t>ng, general issues, etc.).</w:t>
            </w:r>
          </w:p>
        </w:tc>
      </w:tr>
      <w:tr w:rsidR="007E54FC" w:rsidRPr="00A30DBC" w:rsidTr="007A5EAA">
        <w:trPr>
          <w:trHeight w:val="2978"/>
        </w:trPr>
        <w:tc>
          <w:tcPr>
            <w:tcW w:w="3060" w:type="dxa"/>
            <w:noWrap/>
            <w:hideMark/>
          </w:tcPr>
          <w:p w:rsidR="007E54FC" w:rsidRPr="00A30DBC" w:rsidRDefault="007E54FC" w:rsidP="0057606A">
            <w:r>
              <w:t>Compliance</w:t>
            </w:r>
          </w:p>
        </w:tc>
        <w:tc>
          <w:tcPr>
            <w:tcW w:w="6588" w:type="dxa"/>
            <w:hideMark/>
          </w:tcPr>
          <w:p w:rsidR="007E54FC" w:rsidRDefault="007E54FC" w:rsidP="00DA42D5">
            <w:pPr>
              <w:pStyle w:val="ListParagraph"/>
              <w:numPr>
                <w:ilvl w:val="0"/>
                <w:numId w:val="32"/>
              </w:numPr>
            </w:pPr>
            <w:r>
              <w:t>The approved HSE vendor(s) will comply with all of the criteria listed within these guidelines.</w:t>
            </w:r>
          </w:p>
          <w:p w:rsidR="007E54FC" w:rsidRPr="00A30DBC" w:rsidRDefault="007E54FC" w:rsidP="00C62A80">
            <w:pPr>
              <w:pStyle w:val="ListParagraph"/>
              <w:numPr>
                <w:ilvl w:val="0"/>
                <w:numId w:val="32"/>
              </w:numPr>
            </w:pPr>
            <w:r>
              <w:t>If an HSE vendor, once approved, does not comply, the VDOE has the right to remove the vendor from the list of vendors approved to administer an HSE examination in the Commonwealth of Virginia.</w:t>
            </w:r>
          </w:p>
        </w:tc>
      </w:tr>
    </w:tbl>
    <w:p w:rsidR="005E2F23" w:rsidRPr="005E43FB" w:rsidRDefault="005E2F23" w:rsidP="00DA42D5">
      <w:pPr>
        <w:spacing w:line="240" w:lineRule="auto"/>
      </w:pPr>
    </w:p>
    <w:sectPr w:rsidR="005E2F23" w:rsidRPr="005E43FB" w:rsidSect="002B520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A9" w:rsidRDefault="007574A9" w:rsidP="004954EE">
      <w:pPr>
        <w:spacing w:after="0" w:line="240" w:lineRule="auto"/>
      </w:pPr>
      <w:r>
        <w:separator/>
      </w:r>
    </w:p>
  </w:endnote>
  <w:endnote w:type="continuationSeparator" w:id="0">
    <w:p w:rsidR="007574A9" w:rsidRDefault="007574A9" w:rsidP="0049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024360"/>
      <w:docPartObj>
        <w:docPartGallery w:val="Page Numbers (Bottom of Page)"/>
        <w:docPartUnique/>
      </w:docPartObj>
    </w:sdtPr>
    <w:sdtEndPr/>
    <w:sdtContent>
      <w:sdt>
        <w:sdtPr>
          <w:id w:val="-1669238322"/>
          <w:docPartObj>
            <w:docPartGallery w:val="Page Numbers (Top of Page)"/>
            <w:docPartUnique/>
          </w:docPartObj>
        </w:sdtPr>
        <w:sdtEndPr/>
        <w:sdtContent>
          <w:p w:rsidR="00215A51" w:rsidRDefault="00215A51">
            <w:pPr>
              <w:pStyle w:val="Footer"/>
              <w:jc w:val="center"/>
            </w:pPr>
            <w:r w:rsidRPr="00215A51">
              <w:t xml:space="preserve">Page </w:t>
            </w:r>
            <w:r w:rsidRPr="00215A51">
              <w:rPr>
                <w:bCs/>
                <w:sz w:val="24"/>
                <w:szCs w:val="24"/>
              </w:rPr>
              <w:fldChar w:fldCharType="begin"/>
            </w:r>
            <w:r w:rsidRPr="00215A51">
              <w:rPr>
                <w:bCs/>
              </w:rPr>
              <w:instrText xml:space="preserve"> PAGE </w:instrText>
            </w:r>
            <w:r w:rsidRPr="00215A51">
              <w:rPr>
                <w:bCs/>
                <w:sz w:val="24"/>
                <w:szCs w:val="24"/>
              </w:rPr>
              <w:fldChar w:fldCharType="separate"/>
            </w:r>
            <w:r w:rsidR="0088471E">
              <w:rPr>
                <w:bCs/>
                <w:noProof/>
              </w:rPr>
              <w:t>1</w:t>
            </w:r>
            <w:r w:rsidRPr="00215A51">
              <w:rPr>
                <w:bCs/>
                <w:sz w:val="24"/>
                <w:szCs w:val="24"/>
              </w:rPr>
              <w:fldChar w:fldCharType="end"/>
            </w:r>
            <w:r w:rsidRPr="00215A51">
              <w:t xml:space="preserve"> of </w:t>
            </w:r>
            <w:r w:rsidRPr="00215A51">
              <w:rPr>
                <w:bCs/>
                <w:sz w:val="24"/>
                <w:szCs w:val="24"/>
              </w:rPr>
              <w:fldChar w:fldCharType="begin"/>
            </w:r>
            <w:r w:rsidRPr="00215A51">
              <w:rPr>
                <w:bCs/>
              </w:rPr>
              <w:instrText xml:space="preserve"> NUMPAGES  </w:instrText>
            </w:r>
            <w:r w:rsidRPr="00215A51">
              <w:rPr>
                <w:bCs/>
                <w:sz w:val="24"/>
                <w:szCs w:val="24"/>
              </w:rPr>
              <w:fldChar w:fldCharType="separate"/>
            </w:r>
            <w:r w:rsidR="0088471E">
              <w:rPr>
                <w:bCs/>
                <w:noProof/>
              </w:rPr>
              <w:t>8</w:t>
            </w:r>
            <w:r w:rsidRPr="00215A51">
              <w:rPr>
                <w:bCs/>
                <w:sz w:val="24"/>
                <w:szCs w:val="24"/>
              </w:rPr>
              <w:fldChar w:fldCharType="end"/>
            </w:r>
          </w:p>
        </w:sdtContent>
      </w:sdt>
    </w:sdtContent>
  </w:sdt>
  <w:p w:rsidR="00BF5C06" w:rsidRDefault="00BF5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A9" w:rsidRDefault="007574A9" w:rsidP="004954EE">
      <w:pPr>
        <w:spacing w:after="0" w:line="240" w:lineRule="auto"/>
      </w:pPr>
      <w:r>
        <w:separator/>
      </w:r>
    </w:p>
  </w:footnote>
  <w:footnote w:type="continuationSeparator" w:id="0">
    <w:p w:rsidR="007574A9" w:rsidRDefault="007574A9" w:rsidP="00495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2B2" w:rsidRPr="00A42CD9" w:rsidRDefault="009D6EC4" w:rsidP="00B84C21">
    <w:pPr>
      <w:tabs>
        <w:tab w:val="right" w:pos="9360"/>
      </w:tabs>
      <w:spacing w:after="0" w:line="240" w:lineRule="auto"/>
      <w:jc w:val="right"/>
    </w:pPr>
    <w:r>
      <w:t>Rev. 07/02/15</w:t>
    </w:r>
    <w:r w:rsidR="00B82F40">
      <w:t>; 0</w:t>
    </w:r>
    <w:r w:rsidR="004D2183">
      <w:t>6</w:t>
    </w:r>
    <w:r w:rsidR="00B82F40">
      <w:t>/17/16</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C14"/>
    <w:multiLevelType w:val="hybridMultilevel"/>
    <w:tmpl w:val="42D67348"/>
    <w:lvl w:ilvl="0" w:tplc="36E0A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1268C"/>
    <w:multiLevelType w:val="hybridMultilevel"/>
    <w:tmpl w:val="EFBA4D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3F2BF9"/>
    <w:multiLevelType w:val="hybridMultilevel"/>
    <w:tmpl w:val="31E22C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695A3E"/>
    <w:multiLevelType w:val="hybridMultilevel"/>
    <w:tmpl w:val="5E125BF0"/>
    <w:lvl w:ilvl="0" w:tplc="04090011">
      <w:start w:val="1"/>
      <w:numFmt w:val="decimal"/>
      <w:lvlText w:val="%1)"/>
      <w:lvlJc w:val="left"/>
      <w:pPr>
        <w:ind w:left="360" w:hanging="360"/>
      </w:pPr>
    </w:lvl>
    <w:lvl w:ilvl="1" w:tplc="0D2CCB2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EE49F6"/>
    <w:multiLevelType w:val="hybridMultilevel"/>
    <w:tmpl w:val="4A88B4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3A43FF"/>
    <w:multiLevelType w:val="hybridMultilevel"/>
    <w:tmpl w:val="4C744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57C18"/>
    <w:multiLevelType w:val="hybridMultilevel"/>
    <w:tmpl w:val="27A08AC4"/>
    <w:lvl w:ilvl="0" w:tplc="CADAA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72261"/>
    <w:multiLevelType w:val="hybridMultilevel"/>
    <w:tmpl w:val="735854DA"/>
    <w:lvl w:ilvl="0" w:tplc="FC2A9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05A5E"/>
    <w:multiLevelType w:val="hybridMultilevel"/>
    <w:tmpl w:val="178A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473EA"/>
    <w:multiLevelType w:val="hybridMultilevel"/>
    <w:tmpl w:val="68E800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386557"/>
    <w:multiLevelType w:val="hybridMultilevel"/>
    <w:tmpl w:val="F7F285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007A44"/>
    <w:multiLevelType w:val="hybridMultilevel"/>
    <w:tmpl w:val="C7164A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716432"/>
    <w:multiLevelType w:val="hybridMultilevel"/>
    <w:tmpl w:val="E610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D4B55"/>
    <w:multiLevelType w:val="hybridMultilevel"/>
    <w:tmpl w:val="0E344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4046DA"/>
    <w:multiLevelType w:val="hybridMultilevel"/>
    <w:tmpl w:val="9BE2B7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A44F68"/>
    <w:multiLevelType w:val="hybridMultilevel"/>
    <w:tmpl w:val="276842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BB22B8"/>
    <w:multiLevelType w:val="hybridMultilevel"/>
    <w:tmpl w:val="2E12BD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304E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0786AD4"/>
    <w:multiLevelType w:val="hybridMultilevel"/>
    <w:tmpl w:val="20A4B1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EE10F3"/>
    <w:multiLevelType w:val="hybridMultilevel"/>
    <w:tmpl w:val="F0DA88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890989"/>
    <w:multiLevelType w:val="hybridMultilevel"/>
    <w:tmpl w:val="E26490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B471FC"/>
    <w:multiLevelType w:val="hybridMultilevel"/>
    <w:tmpl w:val="1DEC416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F77D38"/>
    <w:multiLevelType w:val="hybridMultilevel"/>
    <w:tmpl w:val="66CC1E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9E04EC"/>
    <w:multiLevelType w:val="hybridMultilevel"/>
    <w:tmpl w:val="F4A2B5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451B78"/>
    <w:multiLevelType w:val="hybridMultilevel"/>
    <w:tmpl w:val="931E6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997481"/>
    <w:multiLevelType w:val="hybridMultilevel"/>
    <w:tmpl w:val="701446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58145E"/>
    <w:multiLevelType w:val="hybridMultilevel"/>
    <w:tmpl w:val="33022D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B744B9"/>
    <w:multiLevelType w:val="hybridMultilevel"/>
    <w:tmpl w:val="9FA2AC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052344"/>
    <w:multiLevelType w:val="hybridMultilevel"/>
    <w:tmpl w:val="21CC11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664003"/>
    <w:multiLevelType w:val="hybridMultilevel"/>
    <w:tmpl w:val="E2BE10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9C12E1"/>
    <w:multiLevelType w:val="hybridMultilevel"/>
    <w:tmpl w:val="E0C0A6B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FD1595"/>
    <w:multiLevelType w:val="hybridMultilevel"/>
    <w:tmpl w:val="68E800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FA7102"/>
    <w:multiLevelType w:val="hybridMultilevel"/>
    <w:tmpl w:val="A3E8899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EA2E05"/>
    <w:multiLevelType w:val="hybridMultilevel"/>
    <w:tmpl w:val="496C33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FC0748"/>
    <w:multiLevelType w:val="hybridMultilevel"/>
    <w:tmpl w:val="1DD6EA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9D3356"/>
    <w:multiLevelType w:val="hybridMultilevel"/>
    <w:tmpl w:val="4620B8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26"/>
  </w:num>
  <w:num w:numId="4">
    <w:abstractNumId w:val="35"/>
  </w:num>
  <w:num w:numId="5">
    <w:abstractNumId w:val="34"/>
  </w:num>
  <w:num w:numId="6">
    <w:abstractNumId w:val="25"/>
  </w:num>
  <w:num w:numId="7">
    <w:abstractNumId w:val="18"/>
  </w:num>
  <w:num w:numId="8">
    <w:abstractNumId w:val="6"/>
  </w:num>
  <w:num w:numId="9">
    <w:abstractNumId w:val="1"/>
  </w:num>
  <w:num w:numId="10">
    <w:abstractNumId w:val="2"/>
  </w:num>
  <w:num w:numId="11">
    <w:abstractNumId w:val="7"/>
  </w:num>
  <w:num w:numId="12">
    <w:abstractNumId w:val="19"/>
  </w:num>
  <w:num w:numId="13">
    <w:abstractNumId w:val="15"/>
  </w:num>
  <w:num w:numId="14">
    <w:abstractNumId w:val="20"/>
  </w:num>
  <w:num w:numId="15">
    <w:abstractNumId w:val="23"/>
  </w:num>
  <w:num w:numId="16">
    <w:abstractNumId w:val="28"/>
  </w:num>
  <w:num w:numId="17">
    <w:abstractNumId w:val="10"/>
  </w:num>
  <w:num w:numId="18">
    <w:abstractNumId w:val="16"/>
  </w:num>
  <w:num w:numId="19">
    <w:abstractNumId w:val="29"/>
  </w:num>
  <w:num w:numId="20">
    <w:abstractNumId w:val="11"/>
  </w:num>
  <w:num w:numId="21">
    <w:abstractNumId w:val="14"/>
  </w:num>
  <w:num w:numId="22">
    <w:abstractNumId w:val="0"/>
  </w:num>
  <w:num w:numId="23">
    <w:abstractNumId w:val="33"/>
  </w:num>
  <w:num w:numId="24">
    <w:abstractNumId w:val="27"/>
  </w:num>
  <w:num w:numId="25">
    <w:abstractNumId w:val="3"/>
  </w:num>
  <w:num w:numId="26">
    <w:abstractNumId w:val="30"/>
  </w:num>
  <w:num w:numId="27">
    <w:abstractNumId w:val="21"/>
  </w:num>
  <w:num w:numId="28">
    <w:abstractNumId w:val="4"/>
  </w:num>
  <w:num w:numId="29">
    <w:abstractNumId w:val="22"/>
  </w:num>
  <w:num w:numId="30">
    <w:abstractNumId w:val="31"/>
  </w:num>
  <w:num w:numId="31">
    <w:abstractNumId w:val="32"/>
  </w:num>
  <w:num w:numId="32">
    <w:abstractNumId w:val="9"/>
  </w:num>
  <w:num w:numId="33">
    <w:abstractNumId w:val="5"/>
  </w:num>
  <w:num w:numId="34">
    <w:abstractNumId w:val="24"/>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BC"/>
    <w:rsid w:val="000272F1"/>
    <w:rsid w:val="000355A6"/>
    <w:rsid w:val="00053F66"/>
    <w:rsid w:val="00073ADC"/>
    <w:rsid w:val="0007547A"/>
    <w:rsid w:val="00081C34"/>
    <w:rsid w:val="00087ECC"/>
    <w:rsid w:val="000B08C0"/>
    <w:rsid w:val="000B225F"/>
    <w:rsid w:val="000B3DE5"/>
    <w:rsid w:val="000D7CDA"/>
    <w:rsid w:val="001029B3"/>
    <w:rsid w:val="00103835"/>
    <w:rsid w:val="00104460"/>
    <w:rsid w:val="001446B4"/>
    <w:rsid w:val="001502D1"/>
    <w:rsid w:val="00157737"/>
    <w:rsid w:val="00171240"/>
    <w:rsid w:val="00171841"/>
    <w:rsid w:val="00197481"/>
    <w:rsid w:val="001A3700"/>
    <w:rsid w:val="001A6FD8"/>
    <w:rsid w:val="001B76D4"/>
    <w:rsid w:val="001C3096"/>
    <w:rsid w:val="0020217E"/>
    <w:rsid w:val="00215A51"/>
    <w:rsid w:val="00244039"/>
    <w:rsid w:val="002478EE"/>
    <w:rsid w:val="00252D89"/>
    <w:rsid w:val="00261A0D"/>
    <w:rsid w:val="00264B5B"/>
    <w:rsid w:val="00264F22"/>
    <w:rsid w:val="002708AA"/>
    <w:rsid w:val="00271F01"/>
    <w:rsid w:val="00276D5B"/>
    <w:rsid w:val="00280654"/>
    <w:rsid w:val="00282096"/>
    <w:rsid w:val="00282C24"/>
    <w:rsid w:val="002B2D42"/>
    <w:rsid w:val="002B319D"/>
    <w:rsid w:val="002B4D5A"/>
    <w:rsid w:val="002B520C"/>
    <w:rsid w:val="002D67C2"/>
    <w:rsid w:val="002D78D1"/>
    <w:rsid w:val="002F450C"/>
    <w:rsid w:val="00300C6C"/>
    <w:rsid w:val="003558FD"/>
    <w:rsid w:val="003619A8"/>
    <w:rsid w:val="00362420"/>
    <w:rsid w:val="0038329F"/>
    <w:rsid w:val="0039477B"/>
    <w:rsid w:val="003C1170"/>
    <w:rsid w:val="003D647C"/>
    <w:rsid w:val="003F7950"/>
    <w:rsid w:val="00403EBA"/>
    <w:rsid w:val="00414598"/>
    <w:rsid w:val="00434943"/>
    <w:rsid w:val="00447C12"/>
    <w:rsid w:val="004556A3"/>
    <w:rsid w:val="00460684"/>
    <w:rsid w:val="0047580F"/>
    <w:rsid w:val="004771D0"/>
    <w:rsid w:val="00477E01"/>
    <w:rsid w:val="004849B2"/>
    <w:rsid w:val="004954EE"/>
    <w:rsid w:val="00496093"/>
    <w:rsid w:val="004B1054"/>
    <w:rsid w:val="004B29C4"/>
    <w:rsid w:val="004C5EC6"/>
    <w:rsid w:val="004D20B8"/>
    <w:rsid w:val="004D2183"/>
    <w:rsid w:val="004D4E94"/>
    <w:rsid w:val="004D502C"/>
    <w:rsid w:val="004D56FD"/>
    <w:rsid w:val="005102CD"/>
    <w:rsid w:val="00521F2C"/>
    <w:rsid w:val="0052639C"/>
    <w:rsid w:val="00531929"/>
    <w:rsid w:val="005349C8"/>
    <w:rsid w:val="0057606A"/>
    <w:rsid w:val="005765FD"/>
    <w:rsid w:val="005C320F"/>
    <w:rsid w:val="005C6099"/>
    <w:rsid w:val="005E2F23"/>
    <w:rsid w:val="005E43FB"/>
    <w:rsid w:val="005F2170"/>
    <w:rsid w:val="005F502A"/>
    <w:rsid w:val="00617473"/>
    <w:rsid w:val="00646ABE"/>
    <w:rsid w:val="006532DC"/>
    <w:rsid w:val="00655026"/>
    <w:rsid w:val="0065718C"/>
    <w:rsid w:val="006721F8"/>
    <w:rsid w:val="006874B3"/>
    <w:rsid w:val="00694896"/>
    <w:rsid w:val="006A5A12"/>
    <w:rsid w:val="006C3C39"/>
    <w:rsid w:val="006C5CD9"/>
    <w:rsid w:val="006C664D"/>
    <w:rsid w:val="006D7574"/>
    <w:rsid w:val="006D7C6B"/>
    <w:rsid w:val="006E00E1"/>
    <w:rsid w:val="006E5004"/>
    <w:rsid w:val="00700A63"/>
    <w:rsid w:val="00730CB8"/>
    <w:rsid w:val="00740E11"/>
    <w:rsid w:val="00750F1D"/>
    <w:rsid w:val="007574A9"/>
    <w:rsid w:val="007602B5"/>
    <w:rsid w:val="00774B14"/>
    <w:rsid w:val="00781E0F"/>
    <w:rsid w:val="007A2924"/>
    <w:rsid w:val="007A5EAA"/>
    <w:rsid w:val="007B0ACE"/>
    <w:rsid w:val="007B4678"/>
    <w:rsid w:val="007C4026"/>
    <w:rsid w:val="007D2818"/>
    <w:rsid w:val="007E54FC"/>
    <w:rsid w:val="007E5B46"/>
    <w:rsid w:val="00813664"/>
    <w:rsid w:val="008306B0"/>
    <w:rsid w:val="00836970"/>
    <w:rsid w:val="008379CA"/>
    <w:rsid w:val="008419EF"/>
    <w:rsid w:val="00844CA0"/>
    <w:rsid w:val="0084652E"/>
    <w:rsid w:val="00865725"/>
    <w:rsid w:val="0088471E"/>
    <w:rsid w:val="008856CD"/>
    <w:rsid w:val="008A043E"/>
    <w:rsid w:val="008A5D9C"/>
    <w:rsid w:val="008A66E1"/>
    <w:rsid w:val="008B3233"/>
    <w:rsid w:val="008F0617"/>
    <w:rsid w:val="009119DF"/>
    <w:rsid w:val="00926274"/>
    <w:rsid w:val="00952636"/>
    <w:rsid w:val="00953F67"/>
    <w:rsid w:val="0096279C"/>
    <w:rsid w:val="009655F4"/>
    <w:rsid w:val="009756F8"/>
    <w:rsid w:val="00983CF5"/>
    <w:rsid w:val="009909E3"/>
    <w:rsid w:val="009B5C7A"/>
    <w:rsid w:val="009C159A"/>
    <w:rsid w:val="009C4361"/>
    <w:rsid w:val="009D6EC4"/>
    <w:rsid w:val="009D77E4"/>
    <w:rsid w:val="00A141DE"/>
    <w:rsid w:val="00A24F12"/>
    <w:rsid w:val="00A265B3"/>
    <w:rsid w:val="00A27B81"/>
    <w:rsid w:val="00A30DBC"/>
    <w:rsid w:val="00A42CD9"/>
    <w:rsid w:val="00A55E12"/>
    <w:rsid w:val="00A63E21"/>
    <w:rsid w:val="00A76D7C"/>
    <w:rsid w:val="00A81E22"/>
    <w:rsid w:val="00A81E91"/>
    <w:rsid w:val="00AC1CCA"/>
    <w:rsid w:val="00AF1F7C"/>
    <w:rsid w:val="00AF6B6B"/>
    <w:rsid w:val="00B0293F"/>
    <w:rsid w:val="00B1076D"/>
    <w:rsid w:val="00B12215"/>
    <w:rsid w:val="00B50AFE"/>
    <w:rsid w:val="00B82F40"/>
    <w:rsid w:val="00B84C21"/>
    <w:rsid w:val="00BE6E11"/>
    <w:rsid w:val="00BF5C06"/>
    <w:rsid w:val="00C12836"/>
    <w:rsid w:val="00C3764B"/>
    <w:rsid w:val="00C51CB4"/>
    <w:rsid w:val="00C563A0"/>
    <w:rsid w:val="00C5735A"/>
    <w:rsid w:val="00C62A80"/>
    <w:rsid w:val="00C644A0"/>
    <w:rsid w:val="00C7624A"/>
    <w:rsid w:val="00C801D3"/>
    <w:rsid w:val="00CA68EB"/>
    <w:rsid w:val="00CD24C6"/>
    <w:rsid w:val="00CE50E4"/>
    <w:rsid w:val="00CF71B6"/>
    <w:rsid w:val="00D054C5"/>
    <w:rsid w:val="00D147E6"/>
    <w:rsid w:val="00D443D5"/>
    <w:rsid w:val="00D54751"/>
    <w:rsid w:val="00D62B86"/>
    <w:rsid w:val="00D6350D"/>
    <w:rsid w:val="00D662B2"/>
    <w:rsid w:val="00DA42D5"/>
    <w:rsid w:val="00DB6409"/>
    <w:rsid w:val="00DB734C"/>
    <w:rsid w:val="00DD0FD3"/>
    <w:rsid w:val="00DD248B"/>
    <w:rsid w:val="00DE6350"/>
    <w:rsid w:val="00E05C5A"/>
    <w:rsid w:val="00E06B78"/>
    <w:rsid w:val="00E27152"/>
    <w:rsid w:val="00E34B31"/>
    <w:rsid w:val="00E37466"/>
    <w:rsid w:val="00E512F1"/>
    <w:rsid w:val="00E60DBC"/>
    <w:rsid w:val="00E62D95"/>
    <w:rsid w:val="00E700A5"/>
    <w:rsid w:val="00E749DD"/>
    <w:rsid w:val="00E94E09"/>
    <w:rsid w:val="00EA10AD"/>
    <w:rsid w:val="00EA15ED"/>
    <w:rsid w:val="00EA1FF4"/>
    <w:rsid w:val="00EA5124"/>
    <w:rsid w:val="00EA6D30"/>
    <w:rsid w:val="00EC2004"/>
    <w:rsid w:val="00EF036F"/>
    <w:rsid w:val="00F169D5"/>
    <w:rsid w:val="00F230D6"/>
    <w:rsid w:val="00F24DD9"/>
    <w:rsid w:val="00F24FD3"/>
    <w:rsid w:val="00F32BCF"/>
    <w:rsid w:val="00F43895"/>
    <w:rsid w:val="00F6549B"/>
    <w:rsid w:val="00F66CA4"/>
    <w:rsid w:val="00F676B0"/>
    <w:rsid w:val="00F92B99"/>
    <w:rsid w:val="00FA2135"/>
    <w:rsid w:val="00FA7FE3"/>
    <w:rsid w:val="00FC16B0"/>
    <w:rsid w:val="00FC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02A"/>
    <w:pPr>
      <w:ind w:left="720"/>
      <w:contextualSpacing/>
    </w:pPr>
  </w:style>
  <w:style w:type="paragraph" w:styleId="Header">
    <w:name w:val="header"/>
    <w:basedOn w:val="Normal"/>
    <w:link w:val="HeaderChar"/>
    <w:uiPriority w:val="99"/>
    <w:unhideWhenUsed/>
    <w:rsid w:val="00495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4EE"/>
  </w:style>
  <w:style w:type="paragraph" w:styleId="Footer">
    <w:name w:val="footer"/>
    <w:basedOn w:val="Normal"/>
    <w:link w:val="FooterChar"/>
    <w:uiPriority w:val="99"/>
    <w:unhideWhenUsed/>
    <w:rsid w:val="00495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4EE"/>
  </w:style>
  <w:style w:type="paragraph" w:styleId="BalloonText">
    <w:name w:val="Balloon Text"/>
    <w:basedOn w:val="Normal"/>
    <w:link w:val="BalloonTextChar"/>
    <w:uiPriority w:val="99"/>
    <w:semiHidden/>
    <w:unhideWhenUsed/>
    <w:rsid w:val="00D66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B2"/>
    <w:rPr>
      <w:rFonts w:ascii="Tahoma" w:hAnsi="Tahoma" w:cs="Tahoma"/>
      <w:sz w:val="16"/>
      <w:szCs w:val="16"/>
    </w:rPr>
  </w:style>
  <w:style w:type="paragraph" w:styleId="Revision">
    <w:name w:val="Revision"/>
    <w:hidden/>
    <w:uiPriority w:val="99"/>
    <w:semiHidden/>
    <w:rsid w:val="00081C34"/>
    <w:pPr>
      <w:spacing w:after="0" w:line="240" w:lineRule="auto"/>
    </w:pPr>
  </w:style>
  <w:style w:type="character" w:styleId="CommentReference">
    <w:name w:val="annotation reference"/>
    <w:basedOn w:val="DefaultParagraphFont"/>
    <w:uiPriority w:val="99"/>
    <w:semiHidden/>
    <w:unhideWhenUsed/>
    <w:rsid w:val="00813664"/>
    <w:rPr>
      <w:sz w:val="16"/>
      <w:szCs w:val="16"/>
    </w:rPr>
  </w:style>
  <w:style w:type="paragraph" w:styleId="CommentText">
    <w:name w:val="annotation text"/>
    <w:basedOn w:val="Normal"/>
    <w:link w:val="CommentTextChar"/>
    <w:uiPriority w:val="99"/>
    <w:semiHidden/>
    <w:unhideWhenUsed/>
    <w:rsid w:val="00813664"/>
    <w:pPr>
      <w:spacing w:line="240" w:lineRule="auto"/>
    </w:pPr>
    <w:rPr>
      <w:sz w:val="20"/>
      <w:szCs w:val="20"/>
    </w:rPr>
  </w:style>
  <w:style w:type="character" w:customStyle="1" w:styleId="CommentTextChar">
    <w:name w:val="Comment Text Char"/>
    <w:basedOn w:val="DefaultParagraphFont"/>
    <w:link w:val="CommentText"/>
    <w:uiPriority w:val="99"/>
    <w:semiHidden/>
    <w:rsid w:val="00813664"/>
    <w:rPr>
      <w:sz w:val="20"/>
      <w:szCs w:val="20"/>
    </w:rPr>
  </w:style>
  <w:style w:type="paragraph" w:styleId="CommentSubject">
    <w:name w:val="annotation subject"/>
    <w:basedOn w:val="CommentText"/>
    <w:next w:val="CommentText"/>
    <w:link w:val="CommentSubjectChar"/>
    <w:uiPriority w:val="99"/>
    <w:semiHidden/>
    <w:unhideWhenUsed/>
    <w:rsid w:val="00813664"/>
    <w:rPr>
      <w:b/>
      <w:bCs/>
    </w:rPr>
  </w:style>
  <w:style w:type="character" w:customStyle="1" w:styleId="CommentSubjectChar">
    <w:name w:val="Comment Subject Char"/>
    <w:basedOn w:val="CommentTextChar"/>
    <w:link w:val="CommentSubject"/>
    <w:uiPriority w:val="99"/>
    <w:semiHidden/>
    <w:rsid w:val="008136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02A"/>
    <w:pPr>
      <w:ind w:left="720"/>
      <w:contextualSpacing/>
    </w:pPr>
  </w:style>
  <w:style w:type="paragraph" w:styleId="Header">
    <w:name w:val="header"/>
    <w:basedOn w:val="Normal"/>
    <w:link w:val="HeaderChar"/>
    <w:uiPriority w:val="99"/>
    <w:unhideWhenUsed/>
    <w:rsid w:val="00495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4EE"/>
  </w:style>
  <w:style w:type="paragraph" w:styleId="Footer">
    <w:name w:val="footer"/>
    <w:basedOn w:val="Normal"/>
    <w:link w:val="FooterChar"/>
    <w:uiPriority w:val="99"/>
    <w:unhideWhenUsed/>
    <w:rsid w:val="00495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4EE"/>
  </w:style>
  <w:style w:type="paragraph" w:styleId="BalloonText">
    <w:name w:val="Balloon Text"/>
    <w:basedOn w:val="Normal"/>
    <w:link w:val="BalloonTextChar"/>
    <w:uiPriority w:val="99"/>
    <w:semiHidden/>
    <w:unhideWhenUsed/>
    <w:rsid w:val="00D66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B2"/>
    <w:rPr>
      <w:rFonts w:ascii="Tahoma" w:hAnsi="Tahoma" w:cs="Tahoma"/>
      <w:sz w:val="16"/>
      <w:szCs w:val="16"/>
    </w:rPr>
  </w:style>
  <w:style w:type="paragraph" w:styleId="Revision">
    <w:name w:val="Revision"/>
    <w:hidden/>
    <w:uiPriority w:val="99"/>
    <w:semiHidden/>
    <w:rsid w:val="00081C34"/>
    <w:pPr>
      <w:spacing w:after="0" w:line="240" w:lineRule="auto"/>
    </w:pPr>
  </w:style>
  <w:style w:type="character" w:styleId="CommentReference">
    <w:name w:val="annotation reference"/>
    <w:basedOn w:val="DefaultParagraphFont"/>
    <w:uiPriority w:val="99"/>
    <w:semiHidden/>
    <w:unhideWhenUsed/>
    <w:rsid w:val="00813664"/>
    <w:rPr>
      <w:sz w:val="16"/>
      <w:szCs w:val="16"/>
    </w:rPr>
  </w:style>
  <w:style w:type="paragraph" w:styleId="CommentText">
    <w:name w:val="annotation text"/>
    <w:basedOn w:val="Normal"/>
    <w:link w:val="CommentTextChar"/>
    <w:uiPriority w:val="99"/>
    <w:semiHidden/>
    <w:unhideWhenUsed/>
    <w:rsid w:val="00813664"/>
    <w:pPr>
      <w:spacing w:line="240" w:lineRule="auto"/>
    </w:pPr>
    <w:rPr>
      <w:sz w:val="20"/>
      <w:szCs w:val="20"/>
    </w:rPr>
  </w:style>
  <w:style w:type="character" w:customStyle="1" w:styleId="CommentTextChar">
    <w:name w:val="Comment Text Char"/>
    <w:basedOn w:val="DefaultParagraphFont"/>
    <w:link w:val="CommentText"/>
    <w:uiPriority w:val="99"/>
    <w:semiHidden/>
    <w:rsid w:val="00813664"/>
    <w:rPr>
      <w:sz w:val="20"/>
      <w:szCs w:val="20"/>
    </w:rPr>
  </w:style>
  <w:style w:type="paragraph" w:styleId="CommentSubject">
    <w:name w:val="annotation subject"/>
    <w:basedOn w:val="CommentText"/>
    <w:next w:val="CommentText"/>
    <w:link w:val="CommentSubjectChar"/>
    <w:uiPriority w:val="99"/>
    <w:semiHidden/>
    <w:unhideWhenUsed/>
    <w:rsid w:val="00813664"/>
    <w:rPr>
      <w:b/>
      <w:bCs/>
    </w:rPr>
  </w:style>
  <w:style w:type="character" w:customStyle="1" w:styleId="CommentSubjectChar">
    <w:name w:val="Comment Subject Char"/>
    <w:basedOn w:val="CommentTextChar"/>
    <w:link w:val="CommentSubject"/>
    <w:uiPriority w:val="99"/>
    <w:semiHidden/>
    <w:rsid w:val="008136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22688">
      <w:bodyDiv w:val="1"/>
      <w:marLeft w:val="0"/>
      <w:marRight w:val="0"/>
      <w:marTop w:val="0"/>
      <w:marBottom w:val="0"/>
      <w:divBdr>
        <w:top w:val="none" w:sz="0" w:space="0" w:color="auto"/>
        <w:left w:val="none" w:sz="0" w:space="0" w:color="auto"/>
        <w:bottom w:val="none" w:sz="0" w:space="0" w:color="auto"/>
        <w:right w:val="none" w:sz="0" w:space="0" w:color="auto"/>
      </w:divBdr>
    </w:div>
    <w:div w:id="1171456222">
      <w:bodyDiv w:val="1"/>
      <w:marLeft w:val="0"/>
      <w:marRight w:val="0"/>
      <w:marTop w:val="0"/>
      <w:marBottom w:val="0"/>
      <w:divBdr>
        <w:top w:val="none" w:sz="0" w:space="0" w:color="auto"/>
        <w:left w:val="none" w:sz="0" w:space="0" w:color="auto"/>
        <w:bottom w:val="none" w:sz="0" w:space="0" w:color="auto"/>
        <w:right w:val="none" w:sz="0" w:space="0" w:color="auto"/>
      </w:divBdr>
    </w:div>
    <w:div w:id="12372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5D238-4B91-4FAF-BBD8-1352F92D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Sue (DOE)</dc:creator>
  <cp:lastModifiedBy>tcv75933</cp:lastModifiedBy>
  <cp:revision>2</cp:revision>
  <cp:lastPrinted>2016-09-07T17:35:00Z</cp:lastPrinted>
  <dcterms:created xsi:type="dcterms:W3CDTF">2017-11-30T15:50:00Z</dcterms:created>
  <dcterms:modified xsi:type="dcterms:W3CDTF">2017-11-30T15:50:00Z</dcterms:modified>
</cp:coreProperties>
</file>