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936" w:rsidRDefault="00A14936" w:rsidP="00A14936">
      <w:pPr>
        <w:jc w:val="center"/>
        <w:rPr>
          <w:b/>
          <w:sz w:val="32"/>
          <w:szCs w:val="32"/>
        </w:rPr>
      </w:pPr>
      <w:r>
        <w:rPr>
          <w:b/>
          <w:sz w:val="32"/>
          <w:szCs w:val="32"/>
        </w:rPr>
        <w:t xml:space="preserve">Standards of Learning </w:t>
      </w:r>
      <w:r w:rsidR="008F5828">
        <w:rPr>
          <w:b/>
          <w:sz w:val="32"/>
          <w:szCs w:val="32"/>
        </w:rPr>
        <w:t>Course Introductions</w:t>
      </w:r>
    </w:p>
    <w:p w:rsidR="00A14936" w:rsidRDefault="00A14936" w:rsidP="00A14936">
      <w:pPr>
        <w:jc w:val="center"/>
        <w:rPr>
          <w:b/>
          <w:sz w:val="32"/>
          <w:szCs w:val="32"/>
        </w:rPr>
      </w:pPr>
    </w:p>
    <w:p w:rsidR="00255481" w:rsidRPr="00255481" w:rsidRDefault="00255481" w:rsidP="008F5828">
      <w:pPr>
        <w:jc w:val="both"/>
        <w:rPr>
          <w:b/>
          <w:sz w:val="32"/>
          <w:szCs w:val="32"/>
        </w:rPr>
      </w:pPr>
      <w:r w:rsidRPr="00255481">
        <w:rPr>
          <w:b/>
          <w:sz w:val="32"/>
          <w:szCs w:val="32"/>
        </w:rPr>
        <w:t>Algebra I</w:t>
      </w:r>
    </w:p>
    <w:p w:rsidR="00255481" w:rsidRPr="00A14936" w:rsidRDefault="00255481" w:rsidP="00255481">
      <w:pPr>
        <w:pStyle w:val="Paragraph"/>
        <w:rPr>
          <w:rFonts w:asciiTheme="minorHAnsi" w:hAnsiTheme="minorHAnsi"/>
          <w:sz w:val="20"/>
        </w:rPr>
      </w:pPr>
      <w:r w:rsidRPr="00A14936">
        <w:rPr>
          <w:rFonts w:asciiTheme="minorHAnsi" w:eastAsia="Times New Roman" w:hAnsiTheme="minorHAnsi"/>
          <w:sz w:val="20"/>
        </w:rPr>
        <w:t>The successful mastery of Algebra I is widely considered to be the gatekeeper to success in the study of upper-level mathematics. The</w:t>
      </w:r>
      <w:bookmarkStart w:id="0" w:name="_GoBack"/>
      <w:bookmarkEnd w:id="0"/>
      <w:r w:rsidRPr="00A14936">
        <w:rPr>
          <w:rFonts w:asciiTheme="minorHAnsi" w:eastAsia="Times New Roman" w:hAnsiTheme="minorHAnsi"/>
          <w:sz w:val="20"/>
        </w:rPr>
        <w:t xml:space="preserve"> study of algebraic thinking begins in kindergarten and is progressively formalized prior to the study of the algebraic content found in the Algebra I Standards of Learning.  Included in the progression of algebraic content is patterning, generalization of arithmetic concepts, proportional reasoning, and representing mathematical relationships using tables, symbols, and graphs. </w:t>
      </w:r>
      <w:r w:rsidRPr="00A14936">
        <w:rPr>
          <w:rFonts w:asciiTheme="minorHAnsi" w:hAnsiTheme="minorHAnsi"/>
          <w:sz w:val="20"/>
        </w:rPr>
        <w:t>All students are expected to achieve the Algebra I standards. The study of Algebra I assists students in generalizing patterns or modeling relevant, practical situations with algebraic models.  In order to assist students in developing meaning and connecting algebraic concepts to geometry and statistics, consideration should be given to the sequential development of concepts and skills by using concrete materials to assist students in making the transition from the numeric to the symbolic. Connections between Algebra I and other subject areas through practical applications may assist in helping students attach meaning to the abstract concepts of algebra.</w:t>
      </w:r>
    </w:p>
    <w:p w:rsidR="00255481" w:rsidRPr="00A14936" w:rsidRDefault="00255481" w:rsidP="00255481">
      <w:pPr>
        <w:pStyle w:val="Paragraph"/>
        <w:rPr>
          <w:rFonts w:asciiTheme="minorHAnsi" w:hAnsiTheme="minorHAnsi"/>
          <w:sz w:val="20"/>
        </w:rPr>
      </w:pPr>
      <w:r w:rsidRPr="00A14936">
        <w:rPr>
          <w:rFonts w:asciiTheme="minorHAnsi" w:hAnsiTheme="minorHAnsi"/>
          <w:sz w:val="20"/>
        </w:rPr>
        <w:t>These standards require students to use algebra as a tool for representing and solving a variety of practical problems. Tables and graphs will be used to interpret algebraic expressions, equations, and inequalities and to analyze behaviors of functions.  These standards include a transformational approach to graphing functions and writing equations when given the graph of the equation. Transformational graphing builds a strong connection between algebraic and graphic representations of functions. Graphing utilities (calculators, computers, and other technology tools) will be used to assist in teaching and learning. Graphing utilities facilitate visualizing, analyzing, and understanding algebraic and statistical behaviors and provide a powerful tool for solving and verifying solutions.</w:t>
      </w:r>
    </w:p>
    <w:p w:rsidR="00255481" w:rsidRPr="00255481" w:rsidRDefault="00255481" w:rsidP="008F5828">
      <w:pPr>
        <w:pStyle w:val="Paragraph"/>
        <w:spacing w:after="0"/>
        <w:rPr>
          <w:rFonts w:asciiTheme="minorHAnsi" w:hAnsiTheme="minorHAnsi" w:cs="Arial"/>
          <w:b/>
          <w:sz w:val="32"/>
          <w:szCs w:val="32"/>
        </w:rPr>
      </w:pPr>
      <w:r w:rsidRPr="00255481">
        <w:rPr>
          <w:rFonts w:asciiTheme="minorHAnsi" w:hAnsiTheme="minorHAnsi" w:cs="Arial"/>
          <w:b/>
          <w:sz w:val="32"/>
          <w:szCs w:val="32"/>
        </w:rPr>
        <w:t>Geometry</w:t>
      </w:r>
    </w:p>
    <w:p w:rsidR="00255481" w:rsidRPr="00A14936" w:rsidRDefault="00255481" w:rsidP="00255481">
      <w:pPr>
        <w:pStyle w:val="Paragraph"/>
        <w:rPr>
          <w:rFonts w:asciiTheme="minorHAnsi" w:hAnsiTheme="minorHAnsi"/>
          <w:sz w:val="20"/>
        </w:rPr>
      </w:pPr>
      <w:r w:rsidRPr="00A14936">
        <w:rPr>
          <w:rFonts w:asciiTheme="minorHAnsi" w:hAnsiTheme="minorHAnsi"/>
          <w:sz w:val="20"/>
        </w:rPr>
        <w:t>This course is designed for students who have successfully completed the standards for Algebra I. All students are expected to achieve the Geometry standards. The course includes an emphasis on developing reasoning skills through the exploration of geometric relationships including properties of geometric figures, trigonometric relationships, and mathematical proofs. In this course, deductive reasoning and logic are used in direct proofs. Direct proofs are presented in different formats (typically two-column or paragraph) and employ definitions, postulates, theorems, and algebraic justifications including coordinate methods.</w:t>
      </w:r>
    </w:p>
    <w:p w:rsidR="00255481" w:rsidRPr="00A14936" w:rsidRDefault="00255481" w:rsidP="00255481">
      <w:pPr>
        <w:pStyle w:val="Paragraph"/>
        <w:rPr>
          <w:rFonts w:asciiTheme="minorHAnsi" w:hAnsiTheme="minorHAnsi"/>
          <w:sz w:val="20"/>
        </w:rPr>
      </w:pPr>
      <w:r w:rsidRPr="00A14936">
        <w:rPr>
          <w:rFonts w:asciiTheme="minorHAnsi" w:hAnsiTheme="minorHAnsi"/>
          <w:sz w:val="20"/>
        </w:rPr>
        <w:t xml:space="preserve">This set of standards includes emphasis on two- and three-dimensional reasoning skills, coordinate and transformational geometry, and the use of geometric models to solve problems. A variety of applications and some general problem-solving techniques, including algebraic skills, should be used to implement these standards. Graphing utilities (calculators, computers, and other technology tools) and dynamic geometry applications will be used to assist in teaching and learning. </w:t>
      </w:r>
    </w:p>
    <w:p w:rsidR="00255481" w:rsidRPr="00255481" w:rsidRDefault="00255481" w:rsidP="008F5828">
      <w:pPr>
        <w:jc w:val="both"/>
        <w:rPr>
          <w:b/>
          <w:sz w:val="32"/>
          <w:szCs w:val="32"/>
        </w:rPr>
      </w:pPr>
      <w:r w:rsidRPr="00255481">
        <w:rPr>
          <w:b/>
          <w:sz w:val="32"/>
          <w:szCs w:val="32"/>
        </w:rPr>
        <w:t>Algebra II</w:t>
      </w:r>
    </w:p>
    <w:p w:rsidR="00255481" w:rsidRPr="00A14936" w:rsidRDefault="00255481" w:rsidP="00255481">
      <w:pPr>
        <w:pStyle w:val="Paragraph"/>
        <w:rPr>
          <w:rFonts w:asciiTheme="minorHAnsi" w:hAnsiTheme="minorHAnsi"/>
          <w:sz w:val="20"/>
        </w:rPr>
      </w:pPr>
      <w:r w:rsidRPr="00A14936">
        <w:rPr>
          <w:rFonts w:asciiTheme="minorHAnsi" w:hAnsiTheme="minorHAnsi"/>
          <w:sz w:val="20"/>
        </w:rPr>
        <w:t>Students enrolled in Algebra II are assumed to have mastered those concepts outlined in the Algebra I standards. A thorough treatment of advanced algebraic concepts will be provided through the study of functions, equations, inequalities, systems of equations, polynomials, rational and radical equations, complex numbers, and sequences and series. Emphasis will be placed on practical applications and modeling throughout the course of study. Oral and written communication concerning the language of algebra, logic of procedures, and interpretation of results should also permeate the course.</w:t>
      </w:r>
    </w:p>
    <w:p w:rsidR="00255481" w:rsidRPr="00A14936" w:rsidRDefault="00255481" w:rsidP="00255481">
      <w:pPr>
        <w:pStyle w:val="Paragraph"/>
        <w:rPr>
          <w:rFonts w:asciiTheme="minorHAnsi" w:hAnsiTheme="minorHAnsi"/>
          <w:sz w:val="20"/>
        </w:rPr>
      </w:pPr>
      <w:r w:rsidRPr="00A14936">
        <w:rPr>
          <w:rFonts w:asciiTheme="minorHAnsi" w:hAnsiTheme="minorHAnsi"/>
          <w:sz w:val="20"/>
        </w:rPr>
        <w:t>These standards include a transformational approach to graphing functions. Transformational graphing uses translation, reflection, dilation, and rotation to generate a “family of functions” from a given “parent” function and builds a strong connection between algebraic and graphic representations of functions. Students will vary the coefficients and constants of an equation, observe the changes in the graph of the equation, and make generalizations that can be applied to many graphs.</w:t>
      </w:r>
    </w:p>
    <w:p w:rsidR="00AC1C28" w:rsidRPr="00A14936" w:rsidRDefault="00255481" w:rsidP="00255481">
      <w:pPr>
        <w:pStyle w:val="Paragraph"/>
        <w:rPr>
          <w:rFonts w:asciiTheme="minorHAnsi" w:hAnsiTheme="minorHAnsi"/>
          <w:sz w:val="20"/>
        </w:rPr>
      </w:pPr>
      <w:r w:rsidRPr="00A14936">
        <w:rPr>
          <w:rFonts w:asciiTheme="minorHAnsi" w:hAnsiTheme="minorHAnsi"/>
          <w:sz w:val="20"/>
        </w:rPr>
        <w:t>Graphing utilities (calculators, computers, and other technology tools) will be used to assist in teaching and learning. Graphing utilities facilitate visualizing, analyzing, and understanding algebraic and statistical behaviors and provide a powerful tool for solving and verifying solutions.</w:t>
      </w:r>
    </w:p>
    <w:sectPr w:rsidR="00AC1C28" w:rsidRPr="00A14936" w:rsidSect="00255481">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CFE" w:rsidRDefault="00405CFE" w:rsidP="00405CFE">
      <w:r>
        <w:separator/>
      </w:r>
    </w:p>
  </w:endnote>
  <w:endnote w:type="continuationSeparator" w:id="0">
    <w:p w:rsidR="00405CFE" w:rsidRDefault="00405CFE" w:rsidP="00405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G Omega">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CFE" w:rsidRDefault="00405CFE">
    <w:pPr>
      <w:pStyle w:val="Footer"/>
    </w:pPr>
    <w:r>
      <w:t>Virginia Department of Education</w:t>
    </w:r>
    <w:r>
      <w:tab/>
    </w:r>
    <w:r>
      <w:tab/>
      <w:t>2017 Mathematics Institute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CFE" w:rsidRDefault="00405CFE" w:rsidP="00405CFE">
      <w:r>
        <w:separator/>
      </w:r>
    </w:p>
  </w:footnote>
  <w:footnote w:type="continuationSeparator" w:id="0">
    <w:p w:rsidR="00405CFE" w:rsidRDefault="00405CFE" w:rsidP="00405C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481"/>
    <w:rsid w:val="00156834"/>
    <w:rsid w:val="00255481"/>
    <w:rsid w:val="00405CFE"/>
    <w:rsid w:val="008F5828"/>
    <w:rsid w:val="00A14936"/>
    <w:rsid w:val="00AC1C28"/>
    <w:rsid w:val="00F05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255481"/>
    <w:pPr>
      <w:keepNext/>
      <w:pageBreakBefore/>
      <w:spacing w:after="220"/>
      <w:outlineLvl w:val="3"/>
    </w:pPr>
    <w:rPr>
      <w:rFonts w:ascii="CG Omega" w:eastAsia="Times" w:hAnsi="CG Omega" w:cs="Times New Roman"/>
      <w:b/>
      <w:sz w:val="3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55481"/>
    <w:rPr>
      <w:rFonts w:ascii="CG Omega" w:eastAsia="Times" w:hAnsi="CG Omega" w:cs="Times New Roman"/>
      <w:b/>
      <w:sz w:val="30"/>
      <w:szCs w:val="28"/>
    </w:rPr>
  </w:style>
  <w:style w:type="paragraph" w:customStyle="1" w:styleId="Paragraph">
    <w:name w:val="Paragraph"/>
    <w:basedOn w:val="Normal"/>
    <w:next w:val="Normal"/>
    <w:link w:val="ParagraphChar"/>
    <w:rsid w:val="00255481"/>
    <w:pPr>
      <w:spacing w:after="100"/>
      <w:jc w:val="both"/>
    </w:pPr>
    <w:rPr>
      <w:rFonts w:ascii="Times New Roman" w:eastAsia="Times" w:hAnsi="Times New Roman" w:cs="Times New Roman"/>
      <w:szCs w:val="20"/>
    </w:rPr>
  </w:style>
  <w:style w:type="character" w:customStyle="1" w:styleId="ParagraphChar">
    <w:name w:val="Paragraph Char"/>
    <w:link w:val="Paragraph"/>
    <w:rsid w:val="00255481"/>
    <w:rPr>
      <w:rFonts w:ascii="Times New Roman" w:eastAsia="Times" w:hAnsi="Times New Roman" w:cs="Times New Roman"/>
      <w:szCs w:val="20"/>
    </w:rPr>
  </w:style>
  <w:style w:type="paragraph" w:styleId="Header">
    <w:name w:val="header"/>
    <w:basedOn w:val="Normal"/>
    <w:link w:val="HeaderChar"/>
    <w:uiPriority w:val="99"/>
    <w:unhideWhenUsed/>
    <w:rsid w:val="00405CFE"/>
    <w:pPr>
      <w:tabs>
        <w:tab w:val="center" w:pos="4680"/>
        <w:tab w:val="right" w:pos="9360"/>
      </w:tabs>
    </w:pPr>
  </w:style>
  <w:style w:type="character" w:customStyle="1" w:styleId="HeaderChar">
    <w:name w:val="Header Char"/>
    <w:basedOn w:val="DefaultParagraphFont"/>
    <w:link w:val="Header"/>
    <w:uiPriority w:val="99"/>
    <w:rsid w:val="00405CFE"/>
  </w:style>
  <w:style w:type="paragraph" w:styleId="Footer">
    <w:name w:val="footer"/>
    <w:basedOn w:val="Normal"/>
    <w:link w:val="FooterChar"/>
    <w:uiPriority w:val="99"/>
    <w:unhideWhenUsed/>
    <w:rsid w:val="00405CFE"/>
    <w:pPr>
      <w:tabs>
        <w:tab w:val="center" w:pos="4680"/>
        <w:tab w:val="right" w:pos="9360"/>
      </w:tabs>
    </w:pPr>
  </w:style>
  <w:style w:type="character" w:customStyle="1" w:styleId="FooterChar">
    <w:name w:val="Footer Char"/>
    <w:basedOn w:val="DefaultParagraphFont"/>
    <w:link w:val="Footer"/>
    <w:uiPriority w:val="99"/>
    <w:rsid w:val="00405C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255481"/>
    <w:pPr>
      <w:keepNext/>
      <w:pageBreakBefore/>
      <w:spacing w:after="220"/>
      <w:outlineLvl w:val="3"/>
    </w:pPr>
    <w:rPr>
      <w:rFonts w:ascii="CG Omega" w:eastAsia="Times" w:hAnsi="CG Omega" w:cs="Times New Roman"/>
      <w:b/>
      <w:sz w:val="3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55481"/>
    <w:rPr>
      <w:rFonts w:ascii="CG Omega" w:eastAsia="Times" w:hAnsi="CG Omega" w:cs="Times New Roman"/>
      <w:b/>
      <w:sz w:val="30"/>
      <w:szCs w:val="28"/>
    </w:rPr>
  </w:style>
  <w:style w:type="paragraph" w:customStyle="1" w:styleId="Paragraph">
    <w:name w:val="Paragraph"/>
    <w:basedOn w:val="Normal"/>
    <w:next w:val="Normal"/>
    <w:link w:val="ParagraphChar"/>
    <w:rsid w:val="00255481"/>
    <w:pPr>
      <w:spacing w:after="100"/>
      <w:jc w:val="both"/>
    </w:pPr>
    <w:rPr>
      <w:rFonts w:ascii="Times New Roman" w:eastAsia="Times" w:hAnsi="Times New Roman" w:cs="Times New Roman"/>
      <w:szCs w:val="20"/>
    </w:rPr>
  </w:style>
  <w:style w:type="character" w:customStyle="1" w:styleId="ParagraphChar">
    <w:name w:val="Paragraph Char"/>
    <w:link w:val="Paragraph"/>
    <w:rsid w:val="00255481"/>
    <w:rPr>
      <w:rFonts w:ascii="Times New Roman" w:eastAsia="Times" w:hAnsi="Times New Roman" w:cs="Times New Roman"/>
      <w:szCs w:val="20"/>
    </w:rPr>
  </w:style>
  <w:style w:type="paragraph" w:styleId="Header">
    <w:name w:val="header"/>
    <w:basedOn w:val="Normal"/>
    <w:link w:val="HeaderChar"/>
    <w:uiPriority w:val="99"/>
    <w:unhideWhenUsed/>
    <w:rsid w:val="00405CFE"/>
    <w:pPr>
      <w:tabs>
        <w:tab w:val="center" w:pos="4680"/>
        <w:tab w:val="right" w:pos="9360"/>
      </w:tabs>
    </w:pPr>
  </w:style>
  <w:style w:type="character" w:customStyle="1" w:styleId="HeaderChar">
    <w:name w:val="Header Char"/>
    <w:basedOn w:val="DefaultParagraphFont"/>
    <w:link w:val="Header"/>
    <w:uiPriority w:val="99"/>
    <w:rsid w:val="00405CFE"/>
  </w:style>
  <w:style w:type="paragraph" w:styleId="Footer">
    <w:name w:val="footer"/>
    <w:basedOn w:val="Normal"/>
    <w:link w:val="FooterChar"/>
    <w:uiPriority w:val="99"/>
    <w:unhideWhenUsed/>
    <w:rsid w:val="00405CFE"/>
    <w:pPr>
      <w:tabs>
        <w:tab w:val="center" w:pos="4680"/>
        <w:tab w:val="right" w:pos="9360"/>
      </w:tabs>
    </w:pPr>
  </w:style>
  <w:style w:type="character" w:customStyle="1" w:styleId="FooterChar">
    <w:name w:val="Footer Char"/>
    <w:basedOn w:val="DefaultParagraphFont"/>
    <w:link w:val="Footer"/>
    <w:uiPriority w:val="99"/>
    <w:rsid w:val="00405C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538458">
      <w:bodyDiv w:val="1"/>
      <w:marLeft w:val="0"/>
      <w:marRight w:val="0"/>
      <w:marTop w:val="0"/>
      <w:marBottom w:val="0"/>
      <w:divBdr>
        <w:top w:val="none" w:sz="0" w:space="0" w:color="auto"/>
        <w:left w:val="none" w:sz="0" w:space="0" w:color="auto"/>
        <w:bottom w:val="none" w:sz="0" w:space="0" w:color="auto"/>
        <w:right w:val="none" w:sz="0" w:space="0" w:color="auto"/>
      </w:divBdr>
    </w:div>
    <w:div w:id="122637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677</Words>
  <Characters>3862</Characters>
  <Application>Microsoft Office Word</Application>
  <DocSecurity>0</DocSecurity>
  <Lines>32</Lines>
  <Paragraphs>9</Paragraphs>
  <ScaleCrop>false</ScaleCrop>
  <Company>Henrico County Public Schools</Company>
  <LinksUpToDate>false</LinksUpToDate>
  <CharactersWithSpaces>4530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Erven S. Tyler, Jr (estyler)</dc:creator>
  <cp:keywords/>
  <dc:description/>
  <cp:lastModifiedBy>Mazzacane, Tina (DOE)</cp:lastModifiedBy>
  <cp:revision>4</cp:revision>
  <dcterms:created xsi:type="dcterms:W3CDTF">2017-02-28T16:31:00Z</dcterms:created>
  <dcterms:modified xsi:type="dcterms:W3CDTF">2017-04-25T20:08:00Z</dcterms:modified>
</cp:coreProperties>
</file>