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8"/>
        <w:tblW w:w="0" w:type="auto"/>
        <w:tblLook w:val="04A0" w:firstRow="1" w:lastRow="0" w:firstColumn="1" w:lastColumn="0" w:noHBand="0" w:noVBand="1"/>
        <w:tblCaption w:val="Principles to Action verses Process Goals Matching"/>
        <w:tblDescription w:val="Chart that explains teaching practices."/>
      </w:tblPr>
      <w:tblGrid>
        <w:gridCol w:w="9895"/>
        <w:gridCol w:w="4495"/>
      </w:tblGrid>
      <w:tr w:rsidR="00A3470D" w:rsidRPr="00CF56B7" w:rsidTr="00E67B6C">
        <w:trPr>
          <w:tblHeader/>
        </w:trPr>
        <w:tc>
          <w:tcPr>
            <w:tcW w:w="9895" w:type="dxa"/>
            <w:shd w:val="clear" w:color="auto" w:fill="D5DCE4" w:themeFill="text2" w:themeFillTint="33"/>
            <w:vAlign w:val="center"/>
          </w:tcPr>
          <w:p w:rsidR="00A3470D" w:rsidRPr="00BB2CC6" w:rsidRDefault="00A3470D" w:rsidP="00904F0E">
            <w:pPr>
              <w:jc w:val="center"/>
              <w:rPr>
                <w:rFonts w:asciiTheme="minorHAnsi" w:hAnsiTheme="minorHAnsi" w:cstheme="minorHAnsi"/>
                <w:b/>
                <w:i/>
                <w:sz w:val="28"/>
                <w:szCs w:val="28"/>
              </w:rPr>
            </w:pPr>
          </w:p>
          <w:p w:rsidR="00A3470D" w:rsidRPr="00BB2CC6" w:rsidRDefault="00A3470D" w:rsidP="00904F0E">
            <w:pPr>
              <w:jc w:val="center"/>
              <w:rPr>
                <w:rFonts w:asciiTheme="minorHAnsi" w:hAnsiTheme="minorHAnsi" w:cstheme="minorHAnsi"/>
                <w:b/>
                <w:sz w:val="28"/>
                <w:szCs w:val="28"/>
              </w:rPr>
            </w:pPr>
            <w:r w:rsidRPr="00BB2CC6">
              <w:rPr>
                <w:rFonts w:asciiTheme="minorHAnsi" w:hAnsiTheme="minorHAnsi" w:cstheme="minorHAnsi"/>
                <w:b/>
                <w:i/>
                <w:sz w:val="28"/>
                <w:szCs w:val="28"/>
              </w:rPr>
              <w:t>Principles to Action</w:t>
            </w:r>
            <w:r w:rsidRPr="00BB2CC6">
              <w:rPr>
                <w:rFonts w:asciiTheme="minorHAnsi" w:hAnsiTheme="minorHAnsi" w:cstheme="minorHAnsi"/>
                <w:b/>
                <w:sz w:val="28"/>
                <w:szCs w:val="28"/>
              </w:rPr>
              <w:t xml:space="preserve"> –Mathematics Teaching Practices</w:t>
            </w:r>
          </w:p>
          <w:p w:rsidR="00A3470D" w:rsidRPr="00BB2CC6" w:rsidRDefault="00A3470D" w:rsidP="00904F0E">
            <w:pPr>
              <w:jc w:val="center"/>
              <w:rPr>
                <w:rFonts w:asciiTheme="minorHAnsi" w:hAnsiTheme="minorHAnsi" w:cstheme="minorHAnsi"/>
                <w:b/>
                <w:sz w:val="28"/>
                <w:szCs w:val="24"/>
              </w:rPr>
            </w:pPr>
          </w:p>
        </w:tc>
        <w:tc>
          <w:tcPr>
            <w:tcW w:w="4495" w:type="dxa"/>
            <w:shd w:val="clear" w:color="auto" w:fill="F8C2EE"/>
          </w:tcPr>
          <w:p w:rsidR="00A3470D" w:rsidRPr="00BB2CC6" w:rsidRDefault="00A3470D" w:rsidP="00904F0E">
            <w:pPr>
              <w:jc w:val="center"/>
              <w:rPr>
                <w:rFonts w:asciiTheme="minorHAnsi" w:hAnsiTheme="minorHAnsi" w:cstheme="minorHAnsi"/>
                <w:b/>
                <w:sz w:val="28"/>
                <w:szCs w:val="28"/>
              </w:rPr>
            </w:pPr>
            <w:r w:rsidRPr="00BB2CC6">
              <w:rPr>
                <w:rFonts w:asciiTheme="minorHAnsi" w:hAnsiTheme="minorHAnsi" w:cstheme="minorHAnsi"/>
                <w:b/>
                <w:sz w:val="28"/>
                <w:szCs w:val="28"/>
              </w:rPr>
              <w:t>Related Virginia Mathematics Process Goals</w:t>
            </w:r>
          </w:p>
          <w:p w:rsidR="00A3470D" w:rsidRPr="00CF56B7" w:rsidRDefault="00A3470D" w:rsidP="00904F0E">
            <w:pPr>
              <w:jc w:val="center"/>
              <w:rPr>
                <w:rFonts w:asciiTheme="minorHAnsi" w:hAnsiTheme="minorHAnsi" w:cstheme="minorHAnsi"/>
                <w:sz w:val="18"/>
                <w:szCs w:val="28"/>
              </w:rPr>
            </w:pPr>
            <w:r w:rsidRPr="00CF56B7">
              <w:rPr>
                <w:rFonts w:asciiTheme="minorHAnsi" w:hAnsiTheme="minorHAnsi" w:cstheme="minorHAnsi"/>
                <w:sz w:val="18"/>
                <w:szCs w:val="28"/>
              </w:rPr>
              <w:t xml:space="preserve">(PS = Problem Solving; CM = Communication; </w:t>
            </w:r>
            <w:r w:rsidR="00BB2CC6">
              <w:rPr>
                <w:rFonts w:asciiTheme="minorHAnsi" w:hAnsiTheme="minorHAnsi" w:cstheme="minorHAnsi"/>
                <w:sz w:val="18"/>
                <w:szCs w:val="28"/>
              </w:rPr>
              <w:br/>
            </w:r>
            <w:r w:rsidRPr="00CF56B7">
              <w:rPr>
                <w:rFonts w:asciiTheme="minorHAnsi" w:hAnsiTheme="minorHAnsi" w:cstheme="minorHAnsi"/>
                <w:sz w:val="18"/>
                <w:szCs w:val="28"/>
              </w:rPr>
              <w:t>RN = Reasoning; CN = Connections; RP = Representations)</w:t>
            </w:r>
          </w:p>
        </w:tc>
      </w:tr>
      <w:tr w:rsidR="00A3470D" w:rsidRPr="00CF56B7" w:rsidTr="00904F0E">
        <w:trPr>
          <w:trHeight w:val="854"/>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1. Establish mathematics goals to focus learning.</w:t>
            </w:r>
            <w:r w:rsidRPr="00904F0E">
              <w:rPr>
                <w:rFonts w:asciiTheme="minorHAnsi" w:hAnsiTheme="minorHAnsi" w:cstheme="minorHAnsi"/>
                <w:sz w:val="24"/>
                <w:szCs w:val="27"/>
              </w:rPr>
              <w:t xml:space="preserve">  Effective teaching of mathematics establishes clear goals for the mathematics that students are learning, situates goals within learning progressions, and uses the goals to guide instructional decisions.</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800"/>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2. Implement tasks that promote reasoning and problem solving.</w:t>
            </w:r>
            <w:r w:rsidRPr="00904F0E">
              <w:rPr>
                <w:rFonts w:asciiTheme="minorHAnsi" w:hAnsiTheme="minorHAnsi" w:cstheme="minorHAnsi"/>
                <w:sz w:val="24"/>
                <w:szCs w:val="27"/>
              </w:rPr>
              <w:t xml:space="preserve"> Effective teaching of mathematics engages students in solving and discussing tasks that promote mathematical reasoning and problem solving and allow multiple entry points and varied solution strategies.</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773"/>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3. Use and connect mathematical representations.</w:t>
            </w:r>
            <w:r w:rsidRPr="00904F0E">
              <w:rPr>
                <w:rFonts w:asciiTheme="minorHAnsi" w:hAnsiTheme="minorHAnsi" w:cstheme="minorHAnsi"/>
                <w:sz w:val="24"/>
                <w:szCs w:val="27"/>
              </w:rPr>
              <w:t xml:space="preserve"> Effective teaching of mathematics engages students in making connections among mathematical representations to deepen understanding of mathematics concepts and procedures and as tools for problem solving.</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746"/>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4. Facilitate meaningful mathematical discourse.</w:t>
            </w:r>
            <w:r w:rsidRPr="00904F0E">
              <w:rPr>
                <w:rFonts w:asciiTheme="minorHAnsi" w:hAnsiTheme="minorHAnsi" w:cstheme="minorHAnsi"/>
                <w:sz w:val="24"/>
                <w:szCs w:val="27"/>
              </w:rPr>
              <w:t xml:space="preserve">  Effective teaching of mathematics facilitates discourse among students to build shared understanding of mathematical ideas by analyzing and comparing student approaches and arguments.</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719"/>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5. Pose purposeful questions.</w:t>
            </w:r>
            <w:r w:rsidRPr="00904F0E">
              <w:rPr>
                <w:rFonts w:asciiTheme="minorHAnsi" w:hAnsiTheme="minorHAnsi" w:cstheme="minorHAnsi"/>
                <w:sz w:val="24"/>
                <w:szCs w:val="27"/>
              </w:rPr>
              <w:t xml:space="preserve"> Effective teaching of mathematics uses purposeful questions to assess and advance students’ reasoning and sense making about important mathematical ideas and relationships.</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773"/>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6. Build procedural fluency from conceptual understanding.</w:t>
            </w:r>
            <w:r w:rsidRPr="00904F0E">
              <w:rPr>
                <w:rFonts w:asciiTheme="minorHAnsi" w:hAnsiTheme="minorHAnsi" w:cstheme="minorHAnsi"/>
                <w:sz w:val="24"/>
                <w:szCs w:val="27"/>
              </w:rPr>
              <w:t xml:space="preserve"> Effective teaching of mathematics builds fluency with procedures on a foundation of conceptual understanding so that students, over time, become skillful in using procedures flexibly as they solve contextual and mathematical problems.</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746"/>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7. Support productive struggle in learning mathematics.</w:t>
            </w:r>
            <w:r w:rsidRPr="00904F0E">
              <w:rPr>
                <w:rFonts w:asciiTheme="minorHAnsi" w:hAnsiTheme="minorHAnsi" w:cstheme="minorHAnsi"/>
                <w:sz w:val="24"/>
                <w:szCs w:val="27"/>
              </w:rPr>
              <w:t xml:space="preserve">  Effective teaching of mathematics consistently provides students, individually and collectively, with opportunities and supports to engage in productive struggle as they grapple with mathematical ideas and relationships.</w:t>
            </w:r>
          </w:p>
        </w:tc>
        <w:tc>
          <w:tcPr>
            <w:tcW w:w="4495" w:type="dxa"/>
          </w:tcPr>
          <w:p w:rsidR="00A3470D" w:rsidRPr="00CF56B7" w:rsidRDefault="00A3470D" w:rsidP="00904F0E">
            <w:pPr>
              <w:rPr>
                <w:rFonts w:asciiTheme="minorHAnsi" w:hAnsiTheme="minorHAnsi" w:cstheme="minorHAnsi"/>
                <w:color w:val="0033CC"/>
                <w:sz w:val="24"/>
                <w:szCs w:val="24"/>
              </w:rPr>
            </w:pPr>
          </w:p>
        </w:tc>
      </w:tr>
      <w:tr w:rsidR="00A3470D" w:rsidRPr="00CF56B7" w:rsidTr="00904F0E">
        <w:trPr>
          <w:trHeight w:val="809"/>
        </w:trPr>
        <w:tc>
          <w:tcPr>
            <w:tcW w:w="9895" w:type="dxa"/>
          </w:tcPr>
          <w:p w:rsidR="00A3470D" w:rsidRPr="00904F0E" w:rsidRDefault="00A3470D" w:rsidP="00904F0E">
            <w:pPr>
              <w:rPr>
                <w:rFonts w:asciiTheme="minorHAnsi" w:hAnsiTheme="minorHAnsi" w:cstheme="minorHAnsi"/>
                <w:sz w:val="24"/>
                <w:szCs w:val="27"/>
              </w:rPr>
            </w:pPr>
            <w:r w:rsidRPr="00904F0E">
              <w:rPr>
                <w:rFonts w:asciiTheme="minorHAnsi" w:hAnsiTheme="minorHAnsi" w:cstheme="minorHAnsi"/>
                <w:color w:val="0033CC"/>
                <w:sz w:val="24"/>
                <w:szCs w:val="27"/>
              </w:rPr>
              <w:t>8. Elicit and use evidence of student thinking.</w:t>
            </w:r>
            <w:r w:rsidRPr="00904F0E">
              <w:rPr>
                <w:rFonts w:asciiTheme="minorHAnsi" w:hAnsiTheme="minorHAnsi" w:cstheme="minorHAnsi"/>
                <w:sz w:val="24"/>
                <w:szCs w:val="27"/>
              </w:rPr>
              <w:t xml:space="preserve">  Effective teaching of mathematics uses evidence of student thinking to assess progress toward mathematical understanding and to adjust instruction continually in ways to support and extend learning.</w:t>
            </w:r>
          </w:p>
        </w:tc>
        <w:tc>
          <w:tcPr>
            <w:tcW w:w="4495" w:type="dxa"/>
          </w:tcPr>
          <w:p w:rsidR="00A3470D" w:rsidRPr="00CF56B7" w:rsidRDefault="00A3470D" w:rsidP="00904F0E">
            <w:pPr>
              <w:rPr>
                <w:rFonts w:asciiTheme="minorHAnsi" w:hAnsiTheme="minorHAnsi" w:cstheme="minorHAnsi"/>
                <w:noProof/>
                <w:sz w:val="32"/>
                <w:szCs w:val="32"/>
              </w:rPr>
            </w:pPr>
          </w:p>
        </w:tc>
      </w:tr>
    </w:tbl>
    <w:p w:rsidR="00CF56B7" w:rsidRPr="00CF56B7" w:rsidRDefault="00CF56B7">
      <w:pPr>
        <w:rPr>
          <w:rFonts w:asciiTheme="minorHAnsi" w:hAnsiTheme="minorHAnsi" w:cstheme="minorHAnsi"/>
        </w:rPr>
      </w:pPr>
    </w:p>
    <w:p w:rsidR="00CF56B7" w:rsidRPr="00CF56B7" w:rsidRDefault="00904F0E" w:rsidP="00741359">
      <w:pPr>
        <w:jc w:val="center"/>
        <w:rPr>
          <w:rFonts w:asciiTheme="minorHAnsi" w:hAnsiTheme="minorHAnsi" w:cstheme="minorHAnsi"/>
        </w:rPr>
      </w:pPr>
      <w:r w:rsidRPr="00CF56B7">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3907F8B9" wp14:editId="01DD9373">
                <wp:simplePos x="0" y="0"/>
                <wp:positionH relativeFrom="margin">
                  <wp:posOffset>-31573</wp:posOffset>
                </wp:positionH>
                <wp:positionV relativeFrom="paragraph">
                  <wp:posOffset>5961705</wp:posOffset>
                </wp:positionV>
                <wp:extent cx="9122735" cy="244549"/>
                <wp:effectExtent l="0" t="0" r="0" b="3175"/>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2735"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0D" w:rsidRPr="00CF56B7" w:rsidRDefault="00A3470D" w:rsidP="00A3470D">
                            <w:pPr>
                              <w:pStyle w:val="NormalWeb"/>
                              <w:spacing w:before="0" w:beforeAutospacing="0" w:after="0" w:afterAutospacing="0"/>
                              <w:rPr>
                                <w:sz w:val="20"/>
                              </w:rPr>
                            </w:pPr>
                            <w:r w:rsidRPr="00CF56B7">
                              <w:rPr>
                                <w:rFonts w:asciiTheme="minorHAnsi" w:hAnsi="Calibri" w:cstheme="minorBidi"/>
                                <w:color w:val="000000" w:themeColor="text1"/>
                                <w:kern w:val="24"/>
                                <w:sz w:val="20"/>
                              </w:rPr>
                              <w:t xml:space="preserve">Adapted from </w:t>
                            </w:r>
                            <w:proofErr w:type="spellStart"/>
                            <w:r w:rsidRPr="00CF56B7">
                              <w:rPr>
                                <w:rFonts w:asciiTheme="minorHAnsi" w:hAnsi="Calibri" w:cstheme="minorBidi"/>
                                <w:color w:val="000000" w:themeColor="text1"/>
                                <w:kern w:val="24"/>
                                <w:sz w:val="20"/>
                              </w:rPr>
                              <w:t>Leinwand</w:t>
                            </w:r>
                            <w:proofErr w:type="spellEnd"/>
                            <w:r w:rsidRPr="00CF56B7">
                              <w:rPr>
                                <w:rFonts w:asciiTheme="minorHAnsi" w:hAnsi="Calibri" w:cstheme="minorBidi"/>
                                <w:color w:val="000000" w:themeColor="text1"/>
                                <w:kern w:val="24"/>
                                <w:sz w:val="20"/>
                              </w:rPr>
                              <w:t xml:space="preserve">, S. et al. (2014) </w:t>
                            </w:r>
                            <w:r w:rsidRPr="00CF56B7">
                              <w:rPr>
                                <w:rFonts w:asciiTheme="minorHAnsi" w:hAnsi="Calibri" w:cstheme="minorBidi"/>
                                <w:i/>
                                <w:iCs/>
                                <w:color w:val="000000" w:themeColor="text1"/>
                                <w:kern w:val="24"/>
                                <w:sz w:val="20"/>
                              </w:rPr>
                              <w:t xml:space="preserve">Principles to Actions – Ensuring Mathematical Success for All, </w:t>
                            </w:r>
                            <w:r w:rsidRPr="00CF56B7">
                              <w:rPr>
                                <w:rFonts w:asciiTheme="minorHAnsi" w:hAnsi="Calibri" w:cstheme="minorBidi"/>
                                <w:color w:val="000000" w:themeColor="text1"/>
                                <w:kern w:val="24"/>
                                <w:sz w:val="20"/>
                              </w:rPr>
                              <w:t xml:space="preserve">National Council of Teachers of Mathematics.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907F8B9" id="_x0000_t202" coordsize="21600,21600" o:spt="202" path="m,l,21600r21600,l21600,xe">
                <v:stroke joinstyle="miter"/>
                <v:path gradientshapeok="t" o:connecttype="rect"/>
              </v:shapetype>
              <v:shape id="TextBox 7" o:spid="_x0000_s1026" type="#_x0000_t202" style="position:absolute;left:0;text-align:left;margin-left:-2.5pt;margin-top:469.45pt;width:718.35pt;height: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OmfAIAAEsFAAAOAAAAZHJzL2Uyb0RvYy54bWysVNtunDAQfa/Uf7D8TrjEewGFjZJl6Ut6&#10;kZJ+gBebxSrY1HYWoqr/3rHZ3WwSVara8mDBeHxmzpyDr67HrkV7ro1QMsfxRYQRl5ViQu5y/PWh&#10;DJYYGUslo62SPMdP3ODr1ft3V0Of8UQ1qmVcIwCRJhv6HDfW9lkYmqrhHTUXqucSNmulO2rhU+9C&#10;pukA6F0bJlE0DwelWa9VxY2BaDFt4pXHr2te2c91bbhFbY6hN+tX7detW8PVFc12mvaNqA5t0L/o&#10;oqNCQtETVEEtRY9avIHqRKWVUbW9qFQXqroWFfccgE0cvWJz39Ceey4wHNOfxmT+H2z1af9FI8Fy&#10;DEJJ2oFED3y0t2pECzecoTcZ5Nz3kGVHCIPInqjp71T1zSCp1g2VO36jtRoaThk0F7uT4dnRCcc4&#10;kO3wUTGoQh+t8kBjrTs3OZgFAnQQ6ekkDHSCKgimcZIsLmcYVbCXEDIjqS9Bs+PpXhv7gasOuZcc&#10;axDeo9P9nbGuG5odU1wxqUrRtl78Vr4IQOIUgdpw1O25LryWP9Io3Sw3SxKQZL4JSFQUwU25JsG8&#10;jBez4rJYr4v4p6sbk6wRjHHpyhx9FZM/0+3g8MkRJ2cZ1Qrm4FxLRu+261ajPQVfl/45DOQsLXzZ&#10;hh8CcHlFKU5IdJukQTlfLgJSklmQLqJlEMXpbTqPSEqK8iWlOyH5v1NCA8g6S2aTmX7LLfLPW240&#10;64SFm6MVHVj3lEQzZ8GNZF5aS0U7vZ+NwrX/PAqQ+yi0N6zz6ORWO25HQHEu3ir2BNYd4JrIsfn+&#10;SLX7K52LbsDFtfAGe048eB/+WF/ncLu4K+H822c934GrXwAAAP//AwBQSwMEFAAGAAgAAAAhANNE&#10;EEjgAAAACwEAAA8AAABkcnMvZG93bnJldi54bWxMj81OwzAQhO9IvIO1SNzadWlKmhCnQiCuIMqP&#10;xM2Nt0lEvI5itwlvX/dUjrMzmv2m2Ey2E0cafOtYwWIuQRBXzrRcK/j8eJmtQfig2ejOMSn4Iw+b&#10;8vqq0LlxI7/TcRtqEUvY51pBE0KfI/qqIav93PXE0du7weoQ5VCjGfQYy22Hd1Leo9Utxw+N7ump&#10;oep3e7AKvl73P9+JfKuf7aof3SSRbYZK3d5Mjw8gAk3hEoYzfkSHMjLt3IGNF52C2SpOCQqy5ToD&#10;cQ4ky0UKYhdPaZoAlgX+31CeAAAA//8DAFBLAQItABQABgAIAAAAIQC2gziS/gAAAOEBAAATAAAA&#10;AAAAAAAAAAAAAAAAAABbQ29udGVudF9UeXBlc10ueG1sUEsBAi0AFAAGAAgAAAAhADj9If/WAAAA&#10;lAEAAAsAAAAAAAAAAAAAAAAALwEAAF9yZWxzLy5yZWxzUEsBAi0AFAAGAAgAAAAhAIYcs6Z8AgAA&#10;SwUAAA4AAAAAAAAAAAAAAAAALgIAAGRycy9lMm9Eb2MueG1sUEsBAi0AFAAGAAgAAAAhANNEEEjg&#10;AAAACwEAAA8AAAAAAAAAAAAAAAAA1gQAAGRycy9kb3ducmV2LnhtbFBLBQYAAAAABAAEAPMAAADj&#10;BQAAAAA=&#10;" filled="f" stroked="f">
                <v:textbox>
                  <w:txbxContent>
                    <w:p w:rsidR="00A3470D" w:rsidRPr="00CF56B7" w:rsidRDefault="00A3470D" w:rsidP="00A3470D">
                      <w:pPr>
                        <w:pStyle w:val="NormalWeb"/>
                        <w:spacing w:before="0" w:beforeAutospacing="0" w:after="0" w:afterAutospacing="0"/>
                        <w:rPr>
                          <w:sz w:val="20"/>
                        </w:rPr>
                      </w:pPr>
                      <w:r w:rsidRPr="00CF56B7">
                        <w:rPr>
                          <w:rFonts w:asciiTheme="minorHAnsi" w:hAnsi="Calibri" w:cstheme="minorBidi"/>
                          <w:color w:val="000000" w:themeColor="text1"/>
                          <w:kern w:val="24"/>
                          <w:sz w:val="20"/>
                        </w:rPr>
                        <w:t xml:space="preserve">Adapted from </w:t>
                      </w:r>
                      <w:proofErr w:type="spellStart"/>
                      <w:r w:rsidRPr="00CF56B7">
                        <w:rPr>
                          <w:rFonts w:asciiTheme="minorHAnsi" w:hAnsi="Calibri" w:cstheme="minorBidi"/>
                          <w:color w:val="000000" w:themeColor="text1"/>
                          <w:kern w:val="24"/>
                          <w:sz w:val="20"/>
                        </w:rPr>
                        <w:t>Leinwand</w:t>
                      </w:r>
                      <w:proofErr w:type="spellEnd"/>
                      <w:r w:rsidRPr="00CF56B7">
                        <w:rPr>
                          <w:rFonts w:asciiTheme="minorHAnsi" w:hAnsi="Calibri" w:cstheme="minorBidi"/>
                          <w:color w:val="000000" w:themeColor="text1"/>
                          <w:kern w:val="24"/>
                          <w:sz w:val="20"/>
                        </w:rPr>
                        <w:t xml:space="preserve">, S. et al. (2014) </w:t>
                      </w:r>
                      <w:r w:rsidRPr="00CF56B7">
                        <w:rPr>
                          <w:rFonts w:asciiTheme="minorHAnsi" w:hAnsi="Calibri" w:cstheme="minorBidi"/>
                          <w:i/>
                          <w:iCs/>
                          <w:color w:val="000000" w:themeColor="text1"/>
                          <w:kern w:val="24"/>
                          <w:sz w:val="20"/>
                        </w:rPr>
                        <w:t xml:space="preserve">Principles to Actions – Ensuring Mathematical Success for All, </w:t>
                      </w:r>
                      <w:r w:rsidRPr="00CF56B7">
                        <w:rPr>
                          <w:rFonts w:asciiTheme="minorHAnsi" w:hAnsi="Calibri" w:cstheme="minorBidi"/>
                          <w:color w:val="000000" w:themeColor="text1"/>
                          <w:kern w:val="24"/>
                          <w:sz w:val="20"/>
                        </w:rPr>
                        <w:t xml:space="preserve">National Council of Teachers of Mathematics. </w:t>
                      </w:r>
                    </w:p>
                  </w:txbxContent>
                </v:textbox>
                <w10:wrap anchorx="margin"/>
              </v:shape>
            </w:pict>
          </mc:Fallback>
        </mc:AlternateContent>
      </w:r>
      <w:r w:rsidR="00741359">
        <w:rPr>
          <w:rFonts w:asciiTheme="minorHAnsi" w:hAnsiTheme="minorHAnsi" w:cstheme="minorHAnsi"/>
          <w:sz w:val="28"/>
        </w:rPr>
        <w:t>Activity: Comparing NCTM Mathematics Teaching Practice to Virginia Mathematics Process Goals for Students</w:t>
      </w:r>
      <w:bookmarkStart w:id="0" w:name="_GoBack"/>
      <w:bookmarkEnd w:id="0"/>
    </w:p>
    <w:p w:rsidR="00CF56B7" w:rsidRPr="00424CE2" w:rsidRDefault="00CF56B7" w:rsidP="00CF56B7">
      <w:pPr>
        <w:keepNext/>
        <w:pBdr>
          <w:bottom w:val="single" w:sz="12" w:space="1" w:color="auto"/>
        </w:pBdr>
        <w:spacing w:before="160"/>
        <w:outlineLvl w:val="0"/>
        <w:rPr>
          <w:rFonts w:asciiTheme="minorHAnsi" w:hAnsiTheme="minorHAnsi" w:cs="Arial"/>
          <w:b w:val="0"/>
          <w:sz w:val="28"/>
          <w:szCs w:val="30"/>
        </w:rPr>
      </w:pPr>
      <w:r w:rsidRPr="00424CE2">
        <w:rPr>
          <w:rFonts w:asciiTheme="minorHAnsi" w:hAnsiTheme="minorHAnsi" w:cs="Arial"/>
          <w:sz w:val="28"/>
          <w:szCs w:val="30"/>
        </w:rPr>
        <w:lastRenderedPageBreak/>
        <w:t>Mathematical Process Goals for Students</w:t>
      </w:r>
    </w:p>
    <w:p w:rsidR="00CF56B7" w:rsidRPr="00BB2CC6" w:rsidRDefault="00CF56B7" w:rsidP="00CF56B7">
      <w:pPr>
        <w:spacing w:before="120"/>
        <w:jc w:val="both"/>
        <w:rPr>
          <w:rFonts w:asciiTheme="minorHAnsi" w:hAnsiTheme="minorHAnsi"/>
          <w:b w:val="0"/>
        </w:rPr>
      </w:pPr>
      <w:r w:rsidRPr="00BB2CC6">
        <w:rPr>
          <w:rFonts w:asciiTheme="minorHAnsi" w:hAnsiTheme="minorHAnsi"/>
          <w:b w:val="0"/>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Problem Solving</w:t>
      </w:r>
      <w:r>
        <w:rPr>
          <w:rFonts w:asciiTheme="minorHAnsi" w:hAnsiTheme="minorHAnsi"/>
          <w:sz w:val="24"/>
          <w:szCs w:val="24"/>
        </w:rPr>
        <w:t xml:space="preserve"> (PS)</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 types. A major goal of the mathematics program is to help students apply mathematics concepts and skills to become mathematical problem solvers.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Communication</w:t>
      </w:r>
      <w:r>
        <w:rPr>
          <w:rFonts w:asciiTheme="minorHAnsi" w:hAnsiTheme="minorHAnsi"/>
          <w:sz w:val="24"/>
          <w:szCs w:val="24"/>
        </w:rPr>
        <w:t xml:space="preserve"> (CM)</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to clarify their thinking and deepen their understanding of the mathematics being studied. Mathematical communication becomes visible where learning involves participation in mathematical discussions.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Reasoning</w:t>
      </w:r>
      <w:r>
        <w:rPr>
          <w:rFonts w:asciiTheme="minorHAnsi" w:hAnsiTheme="minorHAnsi"/>
          <w:sz w:val="24"/>
          <w:szCs w:val="24"/>
        </w:rPr>
        <w:t xml:space="preserve"> (RN)</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Connections</w:t>
      </w:r>
      <w:r>
        <w:rPr>
          <w:rFonts w:asciiTheme="minorHAnsi" w:hAnsiTheme="minorHAnsi"/>
          <w:sz w:val="24"/>
          <w:szCs w:val="24"/>
        </w:rPr>
        <w:t xml:space="preserve"> (CN)</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 xml:space="preserve">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 </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Representations</w:t>
      </w:r>
      <w:r>
        <w:rPr>
          <w:rFonts w:asciiTheme="minorHAnsi" w:hAnsiTheme="minorHAnsi"/>
          <w:sz w:val="24"/>
          <w:szCs w:val="24"/>
        </w:rPr>
        <w:t xml:space="preserve"> (RP)</w:t>
      </w:r>
    </w:p>
    <w:p w:rsidR="00CF56B7" w:rsidRPr="00424CE2" w:rsidRDefault="00CF56B7" w:rsidP="00CF56B7">
      <w:pPr>
        <w:spacing w:after="100"/>
        <w:jc w:val="both"/>
        <w:rPr>
          <w:rFonts w:asciiTheme="minorHAnsi" w:hAnsiTheme="minorHAnsi"/>
        </w:rPr>
      </w:pPr>
      <w:r w:rsidRPr="00BB2CC6">
        <w:rPr>
          <w:rFonts w:asciiTheme="minorHAnsi" w:hAnsiTheme="minorHAnsi"/>
          <w:b w:val="0"/>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10086A" w:rsidRDefault="00CF56B7">
      <w:r>
        <w:rPr>
          <w:noProof/>
        </w:rPr>
        <mc:AlternateContent>
          <mc:Choice Requires="wps">
            <w:drawing>
              <wp:inline distT="0" distB="0" distL="0" distR="0">
                <wp:extent cx="5701085" cy="318052"/>
                <wp:effectExtent l="0" t="0" r="0" b="6350"/>
                <wp:docPr id="1" name="Text Box 1"/>
                <wp:cNvGraphicFramePr/>
                <a:graphic xmlns:a="http://schemas.openxmlformats.org/drawingml/2006/main">
                  <a:graphicData uri="http://schemas.microsoft.com/office/word/2010/wordprocessingShape">
                    <wps:wsp>
                      <wps:cNvSpPr txBox="1"/>
                      <wps:spPr>
                        <a:xfrm>
                          <a:off x="0" y="0"/>
                          <a:ext cx="5701085" cy="318052"/>
                        </a:xfrm>
                        <a:prstGeom prst="rect">
                          <a:avLst/>
                        </a:prstGeom>
                        <a:noFill/>
                        <a:ln w="6350">
                          <a:noFill/>
                        </a:ln>
                      </wps:spPr>
                      <wps:txbx>
                        <w:txbxContent>
                          <w:p w:rsidR="00CF56B7" w:rsidRPr="0067503F" w:rsidRDefault="00CF56B7" w:rsidP="00CF56B7">
                            <w:pPr>
                              <w:pStyle w:val="Header"/>
                              <w:rPr>
                                <w:rFonts w:asciiTheme="minorHAnsi" w:hAnsiTheme="minorHAnsi" w:cs="Arial"/>
                                <w:sz w:val="22"/>
                                <w:szCs w:val="22"/>
                              </w:rPr>
                            </w:pPr>
                            <w:r w:rsidRPr="0067503F">
                              <w:rPr>
                                <w:rFonts w:asciiTheme="minorHAnsi" w:hAnsiTheme="minorHAnsi" w:cs="Arial"/>
                                <w:sz w:val="22"/>
                                <w:szCs w:val="22"/>
                              </w:rPr>
                              <w:t xml:space="preserve">Mathematics Standards of Learning for Virginia Public Schools – September 2016 </w:t>
                            </w:r>
                          </w:p>
                          <w:p w:rsidR="00CF56B7" w:rsidRDefault="00CF5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448.9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4LLgIAAFgEAAAOAAAAZHJzL2Uyb0RvYy54bWysVFFv2jAQfp+0/2D5fSRQaGlEqFgrpkmo&#10;rQRTn41jQyTb59mGhP36nZ1AUbenaS/mfHe5u+/7zsweWq3IUThfgynpcJBTIgyHqja7kv7YLL9M&#10;KfGBmYopMKKkJ+Hpw/zzp1ljCzGCPahKOIJFjC8aW9J9CLbIMs/3QjM/ACsMBiU4zQJe3S6rHGuw&#10;ulbZKM9vswZcZR1w4T16n7ognaf6UgoeXqT0IhBVUpwtpNOlcxvPbD5jxc4xu695Pwb7hyk0qw02&#10;vZR6YoGRg6v/KKVr7sCDDAMOOgMpay4SBkQzzD+gWe+ZFQkLkuPthSb//8ry5+OrI3WF2lFimEaJ&#10;NqIN5Cu0ZBjZaawvMGltMS206I6Zvd+jM4JupdPxF+EQjCPPpwu3sRhH5+QO8U0nlHCM3Qyn+WQU&#10;y2TvX1vnwzcBmkSjpA61S5Sy48qHLvWcEpsZWNZKoZ8VypCmpLc3kzx9cIlgcWWwR8TQzRqt0G7b&#10;HnGPYwvVCeE56NbDW76scYYV8+GVOdwHRIQ7Hl7wkAqwF/QWJXtwv/7mj/koE0YpaXC/Sup/HpgT&#10;lKjvBgW8H47HcSHTZTy5G+HFXUe21xFz0I+AK4wi4XTJjPlBnU3pQL/hU1jErhhihmPvkoaz+Ri6&#10;rcenxMVikZJwBS0LK7O2PJaOVEaGN+0bc7aXIaCAz3DeRFZ8UKPL7fRYHALIOkkVee5Y7enH9U1i&#10;908tvo/re8p6/0OY/wYAAP//AwBQSwMEFAAGAAgAAAAhAItAqaTcAAAABAEAAA8AAABkcnMvZG93&#10;bnJldi54bWxMj0FLw0AQhe+C/2EZwZvdtFCNMZtSAkUQPbT24m2SnSbB7GzMbtvor3f0opcHwxve&#10;+16+mlyvTjSGzrOB+SwBRVx723FjYP+6uUlBhYhssfdMBj4pwKq4vMgxs/7MWzrtYqMkhEOGBtoY&#10;h0zrULfkMMz8QCzewY8Oo5xjo+2IZwl3vV4kya122LE0tDhQ2VL9vjs6A0/l5gW31cKlX335+HxY&#10;Dx/7t6Ux11fT+gFUpCn+PcMPvqBDIUyVP7INqjcgQ+Kvipfe38mMysAymYMucv0fvvgGAAD//wMA&#10;UEsBAi0AFAAGAAgAAAAhALaDOJL+AAAA4QEAABMAAAAAAAAAAAAAAAAAAAAAAFtDb250ZW50X1R5&#10;cGVzXS54bWxQSwECLQAUAAYACAAAACEAOP0h/9YAAACUAQAACwAAAAAAAAAAAAAAAAAvAQAAX3Jl&#10;bHMvLnJlbHNQSwECLQAUAAYACAAAACEAzq7OCy4CAABYBAAADgAAAAAAAAAAAAAAAAAuAgAAZHJz&#10;L2Uyb0RvYy54bWxQSwECLQAUAAYACAAAACEAi0CppNwAAAAEAQAADwAAAAAAAAAAAAAAAACIBAAA&#10;ZHJzL2Rvd25yZXYueG1sUEsFBgAAAAAEAAQA8wAAAJEFAAAAAA==&#10;" filled="f" stroked="f" strokeweight=".5pt">
                <v:textbox>
                  <w:txbxContent>
                    <w:p w:rsidR="00CF56B7" w:rsidRPr="0067503F" w:rsidRDefault="00CF56B7" w:rsidP="00CF56B7">
                      <w:pPr>
                        <w:pStyle w:val="Header"/>
                        <w:rPr>
                          <w:rFonts w:asciiTheme="minorHAnsi" w:hAnsiTheme="minorHAnsi" w:cs="Arial"/>
                          <w:sz w:val="22"/>
                          <w:szCs w:val="22"/>
                        </w:rPr>
                      </w:pPr>
                      <w:r w:rsidRPr="0067503F">
                        <w:rPr>
                          <w:rFonts w:asciiTheme="minorHAnsi" w:hAnsiTheme="minorHAnsi" w:cs="Arial"/>
                          <w:sz w:val="22"/>
                          <w:szCs w:val="22"/>
                        </w:rPr>
                        <w:t xml:space="preserve">Mathematics Standards of Learning for Virginia Public Schools – September 2016 </w:t>
                      </w:r>
                    </w:p>
                    <w:p w:rsidR="00CF56B7" w:rsidRDefault="00CF56B7"/>
                  </w:txbxContent>
                </v:textbox>
                <w10:anchorlock/>
              </v:shape>
            </w:pict>
          </mc:Fallback>
        </mc:AlternateContent>
      </w:r>
    </w:p>
    <w:sectPr w:rsidR="0010086A" w:rsidSect="00A3470D">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EF" w:rsidRDefault="00A726EF" w:rsidP="00A726EF">
      <w:r>
        <w:separator/>
      </w:r>
    </w:p>
  </w:endnote>
  <w:endnote w:type="continuationSeparator" w:id="0">
    <w:p w:rsidR="00A726EF" w:rsidRDefault="00A726EF" w:rsidP="00A7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EF" w:rsidRPr="00572329" w:rsidRDefault="00A726EF" w:rsidP="00A726EF">
    <w:pPr>
      <w:pStyle w:val="Footer"/>
      <w:rPr>
        <w:rFonts w:ascii="Verdana" w:hAnsi="Verdana"/>
        <w:b w:val="0"/>
      </w:rPr>
    </w:pPr>
    <w:r w:rsidRPr="00572329">
      <w:rPr>
        <w:rFonts w:ascii="Verdana" w:hAnsi="Verdana"/>
        <w:b w:val="0"/>
      </w:rPr>
      <w:t>Virginia Department of Education</w:t>
    </w:r>
    <w:r w:rsidRPr="00572329">
      <w:rPr>
        <w:rFonts w:ascii="Verdana" w:hAnsi="Verdana"/>
        <w:b w:val="0"/>
      </w:rPr>
      <w:tab/>
    </w:r>
    <w:r w:rsidRPr="00572329">
      <w:rPr>
        <w:rFonts w:ascii="Verdana" w:hAnsi="Verdana"/>
        <w:b w:val="0"/>
      </w:rPr>
      <w:ptab w:relativeTo="margin" w:alignment="center" w:leader="none"/>
    </w:r>
    <w:r w:rsidRPr="00572329">
      <w:rPr>
        <w:rFonts w:ascii="Verdana" w:hAnsi="Verdana"/>
        <w:b w:val="0"/>
      </w:rPr>
      <w:t xml:space="preserve"> </w:t>
    </w:r>
    <w:r w:rsidRPr="00572329">
      <w:rPr>
        <w:rFonts w:ascii="Verdana" w:hAnsi="Verdana"/>
        <w:b w:val="0"/>
      </w:rPr>
      <w:ptab w:relativeTo="margin" w:alignment="right" w:leader="none"/>
    </w:r>
    <w:r w:rsidRPr="00572329">
      <w:rPr>
        <w:rFonts w:ascii="Verdana" w:hAnsi="Verdana"/>
        <w:b w:val="0"/>
      </w:rPr>
      <w:t>Mathematics Institute 2018</w:t>
    </w:r>
  </w:p>
  <w:p w:rsidR="00A726EF" w:rsidRDefault="00A7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EF" w:rsidRDefault="00A726EF" w:rsidP="00A726EF">
      <w:r>
        <w:separator/>
      </w:r>
    </w:p>
  </w:footnote>
  <w:footnote w:type="continuationSeparator" w:id="0">
    <w:p w:rsidR="00A726EF" w:rsidRDefault="00A726EF" w:rsidP="00A72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0D"/>
    <w:rsid w:val="00572329"/>
    <w:rsid w:val="00741359"/>
    <w:rsid w:val="00804EAB"/>
    <w:rsid w:val="00904F0E"/>
    <w:rsid w:val="00A3470D"/>
    <w:rsid w:val="00A726EF"/>
    <w:rsid w:val="00BB2CC6"/>
    <w:rsid w:val="00CF56B7"/>
    <w:rsid w:val="00D3435E"/>
    <w:rsid w:val="00E6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355B1-D717-42F4-8B7B-FD56EE01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0D"/>
    <w:pPr>
      <w:spacing w:after="0" w:line="240" w:lineRule="auto"/>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0D"/>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470D"/>
    <w:pPr>
      <w:spacing w:before="100" w:beforeAutospacing="1" w:after="100" w:afterAutospacing="1"/>
    </w:pPr>
    <w:rPr>
      <w:rFonts w:eastAsiaTheme="minorEastAsia"/>
      <w:b w:val="0"/>
      <w:sz w:val="24"/>
      <w:szCs w:val="24"/>
    </w:rPr>
  </w:style>
  <w:style w:type="paragraph" w:styleId="Header">
    <w:name w:val="header"/>
    <w:basedOn w:val="Normal"/>
    <w:link w:val="HeaderChar"/>
    <w:rsid w:val="00CF56B7"/>
    <w:rPr>
      <w:rFonts w:ascii="CG Omega" w:eastAsia="Times" w:hAnsi="CG Omega"/>
      <w:b w:val="0"/>
      <w:i/>
      <w:sz w:val="18"/>
      <w:szCs w:val="20"/>
    </w:rPr>
  </w:style>
  <w:style w:type="character" w:customStyle="1" w:styleId="HeaderChar">
    <w:name w:val="Header Char"/>
    <w:basedOn w:val="DefaultParagraphFont"/>
    <w:link w:val="Header"/>
    <w:rsid w:val="00CF56B7"/>
    <w:rPr>
      <w:rFonts w:ascii="CG Omega" w:eastAsia="Times" w:hAnsi="CG Omega" w:cs="Times New Roman"/>
      <w:i/>
      <w:sz w:val="18"/>
      <w:szCs w:val="20"/>
    </w:rPr>
  </w:style>
  <w:style w:type="paragraph" w:styleId="Footer">
    <w:name w:val="footer"/>
    <w:basedOn w:val="Normal"/>
    <w:link w:val="FooterChar"/>
    <w:uiPriority w:val="99"/>
    <w:unhideWhenUsed/>
    <w:rsid w:val="00A726EF"/>
    <w:pPr>
      <w:tabs>
        <w:tab w:val="center" w:pos="4680"/>
        <w:tab w:val="right" w:pos="9360"/>
      </w:tabs>
    </w:pPr>
  </w:style>
  <w:style w:type="character" w:customStyle="1" w:styleId="FooterChar">
    <w:name w:val="Footer Char"/>
    <w:basedOn w:val="DefaultParagraphFont"/>
    <w:link w:val="Footer"/>
    <w:uiPriority w:val="99"/>
    <w:rsid w:val="00A726EF"/>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1FC3-4A8D-487F-9BC1-F2B6A24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Hope, Kristin (DOE)</cp:lastModifiedBy>
  <cp:revision>4</cp:revision>
  <dcterms:created xsi:type="dcterms:W3CDTF">2018-08-28T19:43:00Z</dcterms:created>
  <dcterms:modified xsi:type="dcterms:W3CDTF">2018-10-25T21:14:00Z</dcterms:modified>
</cp:coreProperties>
</file>